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4AB2C" w14:textId="77777777" w:rsidR="003E3EC1" w:rsidRPr="00B64F95" w:rsidRDefault="003E3EC1" w:rsidP="009F23E2">
      <w:pPr>
        <w:jc w:val="center"/>
        <w:rPr>
          <w:rFonts w:ascii="Arial" w:hAnsi="Arial" w:cs="Arial"/>
          <w:b/>
          <w:bCs/>
          <w:sz w:val="24"/>
          <w:szCs w:val="24"/>
        </w:rPr>
      </w:pPr>
      <w:r w:rsidRPr="00B64F95">
        <w:rPr>
          <w:rFonts w:ascii="Arial" w:hAnsi="Arial" w:cs="Arial"/>
          <w:b/>
          <w:bCs/>
          <w:sz w:val="24"/>
          <w:szCs w:val="24"/>
        </w:rPr>
        <w:t>Kent Police and Crime Commissioner</w:t>
      </w:r>
    </w:p>
    <w:p w14:paraId="09D76897" w14:textId="6AC65397" w:rsidR="00940DF6" w:rsidRPr="00B64F95" w:rsidRDefault="009943AD" w:rsidP="009F23E2">
      <w:pPr>
        <w:jc w:val="center"/>
        <w:rPr>
          <w:rFonts w:ascii="Arial" w:hAnsi="Arial" w:cs="Arial"/>
          <w:b/>
          <w:bCs/>
          <w:sz w:val="24"/>
          <w:szCs w:val="24"/>
        </w:rPr>
      </w:pPr>
      <w:r w:rsidRPr="00B64F95">
        <w:rPr>
          <w:rFonts w:ascii="Arial" w:hAnsi="Arial" w:cs="Arial"/>
          <w:b/>
          <w:bCs/>
          <w:sz w:val="24"/>
          <w:szCs w:val="24"/>
        </w:rPr>
        <w:t>Treasury Management S</w:t>
      </w:r>
      <w:r w:rsidR="00B6697E" w:rsidRPr="00B64F95">
        <w:rPr>
          <w:rFonts w:ascii="Arial" w:hAnsi="Arial" w:cs="Arial"/>
          <w:b/>
          <w:bCs/>
          <w:sz w:val="24"/>
          <w:szCs w:val="24"/>
        </w:rPr>
        <w:t>trategy Statement 20</w:t>
      </w:r>
      <w:r w:rsidR="00F26255" w:rsidRPr="00B64F95">
        <w:rPr>
          <w:rFonts w:ascii="Arial" w:hAnsi="Arial" w:cs="Arial"/>
          <w:b/>
          <w:bCs/>
          <w:sz w:val="24"/>
          <w:szCs w:val="24"/>
        </w:rPr>
        <w:t>2</w:t>
      </w:r>
      <w:r w:rsidR="005D72D5">
        <w:rPr>
          <w:rFonts w:ascii="Arial" w:hAnsi="Arial" w:cs="Arial"/>
          <w:b/>
          <w:bCs/>
          <w:sz w:val="24"/>
          <w:szCs w:val="24"/>
        </w:rPr>
        <w:t>6</w:t>
      </w:r>
      <w:r w:rsidR="00F8587A" w:rsidRPr="00B64F95">
        <w:rPr>
          <w:rFonts w:ascii="Arial" w:hAnsi="Arial" w:cs="Arial"/>
          <w:b/>
          <w:bCs/>
          <w:sz w:val="24"/>
          <w:szCs w:val="24"/>
        </w:rPr>
        <w:t>/2</w:t>
      </w:r>
      <w:r w:rsidR="005D72D5">
        <w:rPr>
          <w:rFonts w:ascii="Arial" w:hAnsi="Arial" w:cs="Arial"/>
          <w:b/>
          <w:bCs/>
          <w:sz w:val="24"/>
          <w:szCs w:val="24"/>
        </w:rPr>
        <w:t>7</w:t>
      </w:r>
    </w:p>
    <w:p w14:paraId="27D425C6" w14:textId="77777777" w:rsidR="00B04814" w:rsidRPr="00B64F95" w:rsidRDefault="00235D66" w:rsidP="009F23E2">
      <w:pPr>
        <w:pStyle w:val="ListParagraph"/>
        <w:ind w:left="0"/>
        <w:contextualSpacing w:val="0"/>
        <w:jc w:val="both"/>
        <w:rPr>
          <w:rFonts w:ascii="Arial" w:hAnsi="Arial" w:cs="Arial"/>
          <w:b/>
          <w:sz w:val="20"/>
          <w:szCs w:val="20"/>
          <w:u w:val="single"/>
        </w:rPr>
      </w:pPr>
      <w:r w:rsidRPr="00B64F95">
        <w:rPr>
          <w:rFonts w:ascii="Arial" w:hAnsi="Arial" w:cs="Arial"/>
          <w:b/>
          <w:sz w:val="20"/>
          <w:szCs w:val="20"/>
          <w:u w:val="single"/>
        </w:rPr>
        <w:t>Summary</w:t>
      </w:r>
    </w:p>
    <w:p w14:paraId="10B9EA42" w14:textId="4E4E277A" w:rsidR="00235D66" w:rsidRPr="00B64F95" w:rsidRDefault="00235D66" w:rsidP="00235D66">
      <w:pPr>
        <w:rPr>
          <w:rFonts w:ascii="Arial" w:eastAsiaTheme="minorHAnsi" w:hAnsi="Arial" w:cs="Arial"/>
          <w:sz w:val="20"/>
          <w:szCs w:val="20"/>
        </w:rPr>
      </w:pPr>
      <w:r w:rsidRPr="00B64F95">
        <w:rPr>
          <w:rFonts w:ascii="Arial" w:eastAsiaTheme="minorHAnsi" w:hAnsi="Arial" w:cs="Arial"/>
          <w:sz w:val="20"/>
          <w:szCs w:val="20"/>
        </w:rPr>
        <w:t xml:space="preserve">The Treasury Management Strategy </w:t>
      </w:r>
      <w:r w:rsidR="009F7CB1" w:rsidRPr="00B64F95">
        <w:rPr>
          <w:rFonts w:ascii="Arial" w:eastAsiaTheme="minorHAnsi" w:hAnsi="Arial" w:cs="Arial"/>
          <w:sz w:val="20"/>
          <w:szCs w:val="20"/>
        </w:rPr>
        <w:t xml:space="preserve">Statement </w:t>
      </w:r>
      <w:r w:rsidRPr="00B64F95">
        <w:rPr>
          <w:rFonts w:ascii="Arial" w:eastAsiaTheme="minorHAnsi" w:hAnsi="Arial" w:cs="Arial"/>
          <w:sz w:val="20"/>
          <w:szCs w:val="20"/>
        </w:rPr>
        <w:t>(</w:t>
      </w:r>
      <w:r w:rsidR="009F7CB1" w:rsidRPr="00B64F95">
        <w:rPr>
          <w:rFonts w:ascii="Arial" w:eastAsiaTheme="minorHAnsi" w:hAnsi="Arial" w:cs="Arial"/>
          <w:sz w:val="20"/>
          <w:szCs w:val="20"/>
        </w:rPr>
        <w:t>TMSS</w:t>
      </w:r>
      <w:r w:rsidRPr="00B64F95">
        <w:rPr>
          <w:rFonts w:ascii="Arial" w:eastAsiaTheme="minorHAnsi" w:hAnsi="Arial" w:cs="Arial"/>
          <w:sz w:val="20"/>
          <w:szCs w:val="20"/>
        </w:rPr>
        <w:t xml:space="preserve">) outlines </w:t>
      </w:r>
      <w:r w:rsidR="00143036" w:rsidRPr="00B64F95">
        <w:rPr>
          <w:rFonts w:ascii="Arial" w:hAnsi="Arial" w:cs="Arial"/>
          <w:sz w:val="20"/>
          <w:szCs w:val="20"/>
          <w:lang w:eastAsia="en-GB"/>
        </w:rPr>
        <w:t>the management of the P</w:t>
      </w:r>
      <w:r w:rsidR="009F7CB1" w:rsidRPr="00B64F95">
        <w:rPr>
          <w:rFonts w:ascii="Arial" w:hAnsi="Arial" w:cs="Arial"/>
          <w:sz w:val="20"/>
          <w:szCs w:val="20"/>
          <w:lang w:eastAsia="en-GB"/>
        </w:rPr>
        <w:t>olice and Crime Commissioner</w:t>
      </w:r>
      <w:r w:rsidR="00143036" w:rsidRPr="00B64F95">
        <w:rPr>
          <w:rFonts w:ascii="Arial" w:hAnsi="Arial" w:cs="Arial"/>
          <w:sz w:val="20"/>
          <w:szCs w:val="20"/>
          <w:lang w:eastAsia="en-GB"/>
        </w:rPr>
        <w:t>’s</w:t>
      </w:r>
      <w:r w:rsidR="009F7CB1" w:rsidRPr="00B64F95">
        <w:rPr>
          <w:rFonts w:ascii="Arial" w:hAnsi="Arial" w:cs="Arial"/>
          <w:sz w:val="20"/>
          <w:szCs w:val="20"/>
          <w:lang w:eastAsia="en-GB"/>
        </w:rPr>
        <w:t xml:space="preserve"> (PCC)</w:t>
      </w:r>
      <w:r w:rsidR="00143036" w:rsidRPr="00B64F95">
        <w:rPr>
          <w:rFonts w:ascii="Arial" w:hAnsi="Arial" w:cs="Arial"/>
          <w:sz w:val="20"/>
          <w:szCs w:val="20"/>
          <w:lang w:eastAsia="en-GB"/>
        </w:rPr>
        <w:t xml:space="preserve"> investments and cash flows, banking, money </w:t>
      </w:r>
      <w:r w:rsidR="00727C21" w:rsidRPr="00B64F95">
        <w:rPr>
          <w:rFonts w:ascii="Arial" w:hAnsi="Arial" w:cs="Arial"/>
          <w:sz w:val="20"/>
          <w:szCs w:val="20"/>
          <w:lang w:eastAsia="en-GB"/>
        </w:rPr>
        <w:t>market,</w:t>
      </w:r>
      <w:r w:rsidR="00143036" w:rsidRPr="00B64F95">
        <w:rPr>
          <w:rFonts w:ascii="Arial" w:hAnsi="Arial" w:cs="Arial"/>
          <w:sz w:val="20"/>
          <w:szCs w:val="20"/>
          <w:lang w:eastAsia="en-GB"/>
        </w:rPr>
        <w:t xml:space="preserve"> and capital market transactions; the effective control of the risks associated with those activities; and the pursuit of optimum performance consistent with those risks.</w:t>
      </w:r>
      <w:r w:rsidRPr="00B64F95">
        <w:rPr>
          <w:rFonts w:ascii="Arial" w:eastAsiaTheme="minorHAnsi" w:hAnsi="Arial" w:cs="Arial"/>
          <w:sz w:val="20"/>
          <w:szCs w:val="20"/>
        </w:rPr>
        <w:t xml:space="preserve"> The </w:t>
      </w:r>
      <w:r w:rsidR="009F7CB1" w:rsidRPr="00B64F95">
        <w:rPr>
          <w:rFonts w:ascii="Arial" w:eastAsiaTheme="minorHAnsi" w:hAnsi="Arial" w:cs="Arial"/>
          <w:sz w:val="20"/>
          <w:szCs w:val="20"/>
        </w:rPr>
        <w:t>TMSS</w:t>
      </w:r>
      <w:r w:rsidRPr="00B64F95">
        <w:rPr>
          <w:rFonts w:ascii="Arial" w:eastAsiaTheme="minorHAnsi" w:hAnsi="Arial" w:cs="Arial"/>
          <w:sz w:val="20"/>
          <w:szCs w:val="20"/>
        </w:rPr>
        <w:t xml:space="preserve"> focuses on</w:t>
      </w:r>
    </w:p>
    <w:p w14:paraId="475CAAD6" w14:textId="07710FAF" w:rsidR="00235D66" w:rsidRPr="00B64F95" w:rsidRDefault="00235D66" w:rsidP="00235D66">
      <w:pPr>
        <w:numPr>
          <w:ilvl w:val="0"/>
          <w:numId w:val="33"/>
        </w:numPr>
        <w:contextualSpacing/>
        <w:rPr>
          <w:rFonts w:ascii="Arial" w:eastAsiaTheme="minorHAnsi" w:hAnsi="Arial" w:cs="Arial"/>
          <w:sz w:val="20"/>
          <w:szCs w:val="20"/>
        </w:rPr>
      </w:pPr>
      <w:r w:rsidRPr="00B64F95">
        <w:rPr>
          <w:rFonts w:ascii="Arial" w:eastAsiaTheme="minorHAnsi" w:hAnsi="Arial" w:cs="Arial"/>
          <w:sz w:val="20"/>
          <w:szCs w:val="20"/>
        </w:rPr>
        <w:t xml:space="preserve">An appropriate balance between, risk, </w:t>
      </w:r>
      <w:r w:rsidR="00EF0CCF" w:rsidRPr="00B64F95">
        <w:rPr>
          <w:rFonts w:ascii="Arial" w:eastAsiaTheme="minorHAnsi" w:hAnsi="Arial" w:cs="Arial"/>
          <w:sz w:val="20"/>
          <w:szCs w:val="20"/>
        </w:rPr>
        <w:t>reward,</w:t>
      </w:r>
      <w:r w:rsidRPr="00B64F95">
        <w:rPr>
          <w:rFonts w:ascii="Arial" w:eastAsiaTheme="minorHAnsi" w:hAnsi="Arial" w:cs="Arial"/>
          <w:sz w:val="20"/>
          <w:szCs w:val="20"/>
        </w:rPr>
        <w:t xml:space="preserve"> and liquidity</w:t>
      </w:r>
    </w:p>
    <w:p w14:paraId="4912AACF" w14:textId="77777777" w:rsidR="00235D66" w:rsidRPr="00B64F95" w:rsidRDefault="00235D66" w:rsidP="00235D66">
      <w:pPr>
        <w:numPr>
          <w:ilvl w:val="0"/>
          <w:numId w:val="33"/>
        </w:numPr>
        <w:contextualSpacing/>
        <w:rPr>
          <w:rFonts w:ascii="Arial" w:eastAsiaTheme="minorHAnsi" w:hAnsi="Arial" w:cs="Arial"/>
          <w:sz w:val="20"/>
          <w:szCs w:val="20"/>
        </w:rPr>
      </w:pPr>
      <w:r w:rsidRPr="00B64F95">
        <w:rPr>
          <w:rFonts w:ascii="Arial" w:eastAsiaTheme="minorHAnsi" w:hAnsi="Arial" w:cs="Arial"/>
          <w:sz w:val="20"/>
          <w:szCs w:val="20"/>
        </w:rPr>
        <w:t>Compliance with statutory requirements and relevant codes of best practice</w:t>
      </w:r>
    </w:p>
    <w:p w14:paraId="6C2FA395" w14:textId="77777777" w:rsidR="00235D66" w:rsidRPr="00B64F95" w:rsidRDefault="00235D66" w:rsidP="00235D66">
      <w:pPr>
        <w:numPr>
          <w:ilvl w:val="0"/>
          <w:numId w:val="33"/>
        </w:numPr>
        <w:contextualSpacing/>
        <w:rPr>
          <w:rFonts w:ascii="Arial" w:eastAsiaTheme="minorHAnsi" w:hAnsi="Arial" w:cs="Arial"/>
          <w:sz w:val="20"/>
          <w:szCs w:val="20"/>
        </w:rPr>
      </w:pPr>
      <w:r w:rsidRPr="00B64F95">
        <w:rPr>
          <w:rFonts w:ascii="Arial" w:eastAsiaTheme="minorHAnsi" w:hAnsi="Arial" w:cs="Arial"/>
          <w:sz w:val="20"/>
          <w:szCs w:val="20"/>
        </w:rPr>
        <w:t>Reliance on an effective cash flow forecasting model with a robust overview of the capital expenditure programme</w:t>
      </w:r>
    </w:p>
    <w:p w14:paraId="7AA389E8" w14:textId="77777777" w:rsidR="00235D66" w:rsidRPr="00B64F95" w:rsidRDefault="00235D66" w:rsidP="00235D66">
      <w:pPr>
        <w:numPr>
          <w:ilvl w:val="0"/>
          <w:numId w:val="33"/>
        </w:numPr>
        <w:contextualSpacing/>
        <w:rPr>
          <w:rFonts w:ascii="Arial" w:eastAsiaTheme="minorHAnsi" w:hAnsi="Arial" w:cs="Arial"/>
          <w:sz w:val="20"/>
          <w:szCs w:val="20"/>
        </w:rPr>
      </w:pPr>
      <w:r w:rsidRPr="00B64F95">
        <w:rPr>
          <w:rFonts w:ascii="Arial" w:eastAsiaTheme="minorHAnsi" w:hAnsi="Arial" w:cs="Arial"/>
          <w:sz w:val="20"/>
          <w:szCs w:val="20"/>
        </w:rPr>
        <w:t>Feedback and advice from an acknowledged treasury management advisor</w:t>
      </w:r>
    </w:p>
    <w:p w14:paraId="6EEE7001" w14:textId="5B5F83C7" w:rsidR="00235D66" w:rsidRPr="00B64F95" w:rsidRDefault="00235D66" w:rsidP="00235D66">
      <w:pPr>
        <w:numPr>
          <w:ilvl w:val="0"/>
          <w:numId w:val="33"/>
        </w:numPr>
        <w:contextualSpacing/>
        <w:rPr>
          <w:rFonts w:ascii="Arial" w:eastAsiaTheme="minorHAnsi" w:hAnsi="Arial" w:cs="Arial"/>
          <w:sz w:val="20"/>
          <w:szCs w:val="20"/>
        </w:rPr>
      </w:pPr>
      <w:r w:rsidRPr="00B64F95">
        <w:rPr>
          <w:rFonts w:ascii="Arial" w:eastAsiaTheme="minorHAnsi" w:hAnsi="Arial" w:cs="Arial"/>
          <w:sz w:val="20"/>
          <w:szCs w:val="20"/>
        </w:rPr>
        <w:t xml:space="preserve">Effective monitoring and control of the annual budget and the </w:t>
      </w:r>
      <w:r w:rsidR="007B6502" w:rsidRPr="00B64F95">
        <w:rPr>
          <w:rFonts w:ascii="Arial" w:eastAsiaTheme="minorHAnsi" w:hAnsi="Arial" w:cs="Arial"/>
          <w:sz w:val="20"/>
          <w:szCs w:val="20"/>
        </w:rPr>
        <w:t>Medium-Term</w:t>
      </w:r>
      <w:r w:rsidR="009F7CB1" w:rsidRPr="00B64F95">
        <w:rPr>
          <w:rFonts w:ascii="Arial" w:eastAsiaTheme="minorHAnsi" w:hAnsi="Arial" w:cs="Arial"/>
          <w:sz w:val="20"/>
          <w:szCs w:val="20"/>
        </w:rPr>
        <w:t xml:space="preserve"> Financial Plan</w:t>
      </w:r>
      <w:r w:rsidR="00DE2B43" w:rsidRPr="00B64F95">
        <w:rPr>
          <w:rFonts w:ascii="Arial" w:eastAsiaTheme="minorHAnsi" w:hAnsi="Arial" w:cs="Arial"/>
          <w:sz w:val="20"/>
          <w:szCs w:val="20"/>
        </w:rPr>
        <w:t xml:space="preserve"> (MTFP)</w:t>
      </w:r>
      <w:r w:rsidRPr="00B64F95">
        <w:rPr>
          <w:rFonts w:ascii="Arial" w:eastAsiaTheme="minorHAnsi" w:hAnsi="Arial" w:cs="Arial"/>
          <w:sz w:val="20"/>
          <w:szCs w:val="20"/>
        </w:rPr>
        <w:t xml:space="preserve"> </w:t>
      </w:r>
    </w:p>
    <w:p w14:paraId="4C4BD7C4" w14:textId="77777777" w:rsidR="00235D66" w:rsidRPr="00B64F95" w:rsidRDefault="00235D66" w:rsidP="00235D66">
      <w:pPr>
        <w:numPr>
          <w:ilvl w:val="0"/>
          <w:numId w:val="33"/>
        </w:numPr>
        <w:contextualSpacing/>
        <w:rPr>
          <w:rFonts w:ascii="Arial" w:eastAsiaTheme="minorHAnsi" w:hAnsi="Arial" w:cs="Arial"/>
          <w:sz w:val="20"/>
          <w:szCs w:val="20"/>
        </w:rPr>
      </w:pPr>
      <w:r w:rsidRPr="00B64F95">
        <w:rPr>
          <w:rFonts w:ascii="Arial" w:eastAsiaTheme="minorHAnsi" w:hAnsi="Arial" w:cs="Arial"/>
          <w:sz w:val="20"/>
          <w:szCs w:val="20"/>
        </w:rPr>
        <w:t>A prescribed and robust governance framework</w:t>
      </w:r>
    </w:p>
    <w:p w14:paraId="09BDE20B" w14:textId="77777777" w:rsidR="00BE077D" w:rsidRPr="00B64F95" w:rsidRDefault="00BE077D" w:rsidP="00B11CE3">
      <w:pPr>
        <w:rPr>
          <w:rFonts w:ascii="Arial" w:eastAsiaTheme="minorHAnsi" w:hAnsi="Arial" w:cs="Arial"/>
          <w:sz w:val="20"/>
          <w:szCs w:val="20"/>
        </w:rPr>
      </w:pPr>
    </w:p>
    <w:p w14:paraId="3C9811C9" w14:textId="77777777" w:rsidR="00032328" w:rsidRPr="00B64F95" w:rsidRDefault="004363C9" w:rsidP="009F23E2">
      <w:pPr>
        <w:pStyle w:val="ListParagraph"/>
        <w:ind w:left="0"/>
        <w:contextualSpacing w:val="0"/>
        <w:jc w:val="both"/>
        <w:rPr>
          <w:rFonts w:ascii="Arial" w:hAnsi="Arial" w:cs="Arial"/>
          <w:b/>
          <w:sz w:val="20"/>
          <w:szCs w:val="20"/>
          <w:u w:val="single"/>
        </w:rPr>
      </w:pPr>
      <w:r w:rsidRPr="00B64F95">
        <w:rPr>
          <w:rFonts w:ascii="Arial" w:hAnsi="Arial" w:cs="Arial"/>
          <w:b/>
          <w:sz w:val="20"/>
          <w:szCs w:val="20"/>
          <w:u w:val="single"/>
        </w:rPr>
        <w:t>Introduction</w:t>
      </w:r>
    </w:p>
    <w:p w14:paraId="5F0E174D" w14:textId="14014822" w:rsidR="00B877DA" w:rsidRPr="00B64F95" w:rsidRDefault="00872CF5" w:rsidP="009F23E2">
      <w:pPr>
        <w:pStyle w:val="ListParagraph"/>
        <w:ind w:left="0"/>
        <w:contextualSpacing w:val="0"/>
        <w:jc w:val="both"/>
        <w:rPr>
          <w:rFonts w:ascii="Arial" w:hAnsi="Arial" w:cs="Arial"/>
          <w:sz w:val="20"/>
          <w:szCs w:val="20"/>
        </w:rPr>
      </w:pPr>
      <w:r w:rsidRPr="00B64F95">
        <w:rPr>
          <w:rFonts w:ascii="Arial" w:hAnsi="Arial" w:cs="Arial"/>
          <w:sz w:val="20"/>
          <w:szCs w:val="20"/>
        </w:rPr>
        <w:t>T</w:t>
      </w:r>
      <w:r w:rsidR="00940DF6" w:rsidRPr="00B64F95">
        <w:rPr>
          <w:rFonts w:ascii="Arial" w:hAnsi="Arial" w:cs="Arial"/>
          <w:sz w:val="20"/>
          <w:szCs w:val="20"/>
        </w:rPr>
        <w:t>he Chartered Institute of Public Finance and Accountancy’s</w:t>
      </w:r>
      <w:r w:rsidR="00DE2B43" w:rsidRPr="00B64F95">
        <w:rPr>
          <w:rFonts w:ascii="Arial" w:hAnsi="Arial" w:cs="Arial"/>
          <w:sz w:val="20"/>
          <w:szCs w:val="20"/>
        </w:rPr>
        <w:t xml:space="preserve"> (CIPFA)</w:t>
      </w:r>
      <w:r w:rsidR="003500B5" w:rsidRPr="00B64F95">
        <w:rPr>
          <w:rFonts w:ascii="Arial" w:hAnsi="Arial" w:cs="Arial"/>
          <w:sz w:val="20"/>
          <w:szCs w:val="20"/>
        </w:rPr>
        <w:t>:</w:t>
      </w:r>
      <w:r w:rsidR="00940DF6" w:rsidRPr="00B64F95">
        <w:rPr>
          <w:rFonts w:ascii="Arial" w:hAnsi="Arial" w:cs="Arial"/>
          <w:sz w:val="20"/>
          <w:szCs w:val="20"/>
        </w:rPr>
        <w:t xml:space="preserve"> </w:t>
      </w:r>
      <w:r w:rsidR="00940DF6" w:rsidRPr="00B64F95">
        <w:rPr>
          <w:rFonts w:ascii="Arial" w:hAnsi="Arial" w:cs="Arial"/>
          <w:i/>
          <w:sz w:val="20"/>
          <w:szCs w:val="20"/>
        </w:rPr>
        <w:t>Treasury Management in the Public Services: Code of Practice 20</w:t>
      </w:r>
      <w:r w:rsidR="00152211" w:rsidRPr="00B64F95">
        <w:rPr>
          <w:rFonts w:ascii="Arial" w:hAnsi="Arial" w:cs="Arial"/>
          <w:i/>
          <w:sz w:val="20"/>
          <w:szCs w:val="20"/>
        </w:rPr>
        <w:t>2</w:t>
      </w:r>
      <w:r w:rsidR="00940DF6" w:rsidRPr="00B64F95">
        <w:rPr>
          <w:rFonts w:ascii="Arial" w:hAnsi="Arial" w:cs="Arial"/>
          <w:i/>
          <w:sz w:val="20"/>
          <w:szCs w:val="20"/>
        </w:rPr>
        <w:t>1 Edition</w:t>
      </w:r>
      <w:r w:rsidR="00940DF6" w:rsidRPr="00B64F95">
        <w:rPr>
          <w:rFonts w:ascii="Arial" w:hAnsi="Arial" w:cs="Arial"/>
          <w:sz w:val="20"/>
          <w:szCs w:val="20"/>
        </w:rPr>
        <w:t xml:space="preserve"> </w:t>
      </w:r>
      <w:r w:rsidR="00940DF6" w:rsidRPr="003B3C00">
        <w:rPr>
          <w:rFonts w:ascii="Arial" w:hAnsi="Arial" w:cs="Arial"/>
          <w:sz w:val="20"/>
          <w:szCs w:val="20"/>
        </w:rPr>
        <w:t>(the CIPFA Code</w:t>
      </w:r>
      <w:r w:rsidR="00940DF6" w:rsidRPr="00B64F95">
        <w:rPr>
          <w:rFonts w:ascii="Arial" w:hAnsi="Arial" w:cs="Arial"/>
          <w:sz w:val="20"/>
          <w:szCs w:val="20"/>
        </w:rPr>
        <w:t xml:space="preserve">) requires the </w:t>
      </w:r>
      <w:r w:rsidR="00C4725A" w:rsidRPr="00B64F95">
        <w:rPr>
          <w:rFonts w:ascii="Arial" w:hAnsi="Arial" w:cs="Arial"/>
          <w:sz w:val="20"/>
          <w:szCs w:val="20"/>
        </w:rPr>
        <w:t>PCC</w:t>
      </w:r>
      <w:r w:rsidR="00940DF6" w:rsidRPr="00B64F95">
        <w:rPr>
          <w:rFonts w:ascii="Arial" w:hAnsi="Arial" w:cs="Arial"/>
          <w:sz w:val="20"/>
          <w:szCs w:val="20"/>
        </w:rPr>
        <w:t xml:space="preserve"> to approve a </w:t>
      </w:r>
      <w:r w:rsidR="009F7CB1" w:rsidRPr="00B64F95">
        <w:rPr>
          <w:rFonts w:ascii="Arial" w:hAnsi="Arial" w:cs="Arial"/>
          <w:sz w:val="20"/>
          <w:szCs w:val="20"/>
        </w:rPr>
        <w:t>TMSS</w:t>
      </w:r>
      <w:r w:rsidR="00940DF6" w:rsidRPr="00B64F95">
        <w:rPr>
          <w:rFonts w:ascii="Arial" w:hAnsi="Arial" w:cs="Arial"/>
          <w:sz w:val="20"/>
          <w:szCs w:val="20"/>
        </w:rPr>
        <w:t xml:space="preserve"> before the start of each financial year.</w:t>
      </w:r>
      <w:r w:rsidR="00DD6FC6" w:rsidRPr="00B64F95">
        <w:rPr>
          <w:rFonts w:ascii="Arial" w:hAnsi="Arial" w:cs="Arial"/>
          <w:sz w:val="20"/>
          <w:szCs w:val="20"/>
        </w:rPr>
        <w:t xml:space="preserve"> </w:t>
      </w:r>
      <w:r w:rsidR="00940DF6" w:rsidRPr="00B64F95">
        <w:rPr>
          <w:rFonts w:ascii="Arial" w:hAnsi="Arial" w:cs="Arial"/>
          <w:sz w:val="20"/>
          <w:szCs w:val="20"/>
        </w:rPr>
        <w:t xml:space="preserve">This report fulfils the </w:t>
      </w:r>
      <w:r w:rsidR="00C4725A" w:rsidRPr="00B64F95">
        <w:rPr>
          <w:rFonts w:ascii="Arial" w:hAnsi="Arial" w:cs="Arial"/>
          <w:sz w:val="20"/>
          <w:szCs w:val="20"/>
        </w:rPr>
        <w:t>PCC’s</w:t>
      </w:r>
      <w:r w:rsidR="00940DF6" w:rsidRPr="00B64F95">
        <w:rPr>
          <w:rFonts w:ascii="Arial" w:hAnsi="Arial" w:cs="Arial"/>
          <w:sz w:val="20"/>
          <w:szCs w:val="20"/>
        </w:rPr>
        <w:t xml:space="preserve"> legal obligation under the </w:t>
      </w:r>
      <w:r w:rsidR="00940DF6" w:rsidRPr="00B64F95">
        <w:rPr>
          <w:rFonts w:ascii="Arial" w:hAnsi="Arial" w:cs="Arial"/>
          <w:i/>
          <w:sz w:val="20"/>
          <w:szCs w:val="20"/>
        </w:rPr>
        <w:t>Local Government Act 2003</w:t>
      </w:r>
      <w:r w:rsidR="00940DF6" w:rsidRPr="00B64F95">
        <w:rPr>
          <w:rFonts w:ascii="Arial" w:hAnsi="Arial" w:cs="Arial"/>
          <w:sz w:val="20"/>
          <w:szCs w:val="20"/>
        </w:rPr>
        <w:t xml:space="preserve"> to have regard to the CIPFA Code</w:t>
      </w:r>
      <w:r w:rsidRPr="00B64F95">
        <w:rPr>
          <w:rFonts w:ascii="Arial" w:hAnsi="Arial" w:cs="Arial"/>
          <w:sz w:val="20"/>
          <w:szCs w:val="20"/>
        </w:rPr>
        <w:t>.</w:t>
      </w:r>
    </w:p>
    <w:p w14:paraId="3AA0DEE2" w14:textId="3FBD09F5" w:rsidR="000E7181" w:rsidRPr="00B64F95" w:rsidRDefault="000E7181" w:rsidP="009F23E2">
      <w:pPr>
        <w:pStyle w:val="ListParagraph"/>
        <w:ind w:left="0"/>
        <w:contextualSpacing w:val="0"/>
        <w:jc w:val="both"/>
        <w:rPr>
          <w:rFonts w:ascii="Arial" w:hAnsi="Arial" w:cs="Arial"/>
          <w:sz w:val="20"/>
          <w:szCs w:val="20"/>
        </w:rPr>
      </w:pPr>
      <w:r w:rsidRPr="00B64F95">
        <w:rPr>
          <w:rFonts w:ascii="Arial" w:hAnsi="Arial" w:cs="Arial"/>
          <w:sz w:val="20"/>
          <w:szCs w:val="20"/>
        </w:rPr>
        <w:t xml:space="preserve">In </w:t>
      </w:r>
      <w:r w:rsidR="00C0539B" w:rsidRPr="00B64F95">
        <w:rPr>
          <w:rFonts w:ascii="Arial" w:hAnsi="Arial" w:cs="Arial"/>
          <w:sz w:val="20"/>
          <w:szCs w:val="20"/>
        </w:rPr>
        <w:t>addition,</w:t>
      </w:r>
      <w:r w:rsidRPr="00B64F95">
        <w:rPr>
          <w:rFonts w:ascii="Arial" w:hAnsi="Arial" w:cs="Arial"/>
          <w:sz w:val="20"/>
          <w:szCs w:val="20"/>
        </w:rPr>
        <w:t xml:space="preserve"> the TMSS forms part of the PCC’s overall </w:t>
      </w:r>
      <w:r w:rsidR="00B623DC" w:rsidRPr="00B64F95">
        <w:rPr>
          <w:rFonts w:ascii="Arial" w:hAnsi="Arial" w:cs="Arial"/>
          <w:sz w:val="20"/>
          <w:szCs w:val="20"/>
        </w:rPr>
        <w:t xml:space="preserve">Financial Strategy which includes, the </w:t>
      </w:r>
      <w:r w:rsidR="00C0539B" w:rsidRPr="00B64F95">
        <w:rPr>
          <w:rFonts w:ascii="Arial" w:hAnsi="Arial" w:cs="Arial"/>
          <w:sz w:val="20"/>
          <w:szCs w:val="20"/>
        </w:rPr>
        <w:t>MT</w:t>
      </w:r>
      <w:r w:rsidR="00B623DC" w:rsidRPr="00B64F95">
        <w:rPr>
          <w:rFonts w:ascii="Arial" w:hAnsi="Arial" w:cs="Arial"/>
          <w:sz w:val="20"/>
          <w:szCs w:val="20"/>
        </w:rPr>
        <w:t xml:space="preserve">FP, Reserves Strategy and </w:t>
      </w:r>
      <w:r w:rsidRPr="00B64F95">
        <w:rPr>
          <w:rFonts w:ascii="Arial" w:hAnsi="Arial" w:cs="Arial"/>
          <w:sz w:val="20"/>
          <w:szCs w:val="20"/>
        </w:rPr>
        <w:t>Capital Strategy</w:t>
      </w:r>
      <w:r w:rsidR="00EF0CCF" w:rsidRPr="00B64F95">
        <w:rPr>
          <w:rFonts w:ascii="Arial" w:hAnsi="Arial" w:cs="Arial"/>
          <w:sz w:val="20"/>
          <w:szCs w:val="20"/>
        </w:rPr>
        <w:t xml:space="preserve">. </w:t>
      </w:r>
    </w:p>
    <w:p w14:paraId="48934BE2" w14:textId="77777777" w:rsidR="00275910" w:rsidRPr="00B64F95" w:rsidRDefault="00275910" w:rsidP="009F23E2">
      <w:pPr>
        <w:pStyle w:val="ListParagraph"/>
        <w:ind w:left="0"/>
        <w:contextualSpacing w:val="0"/>
        <w:jc w:val="both"/>
        <w:rPr>
          <w:rFonts w:ascii="Arial" w:hAnsi="Arial" w:cs="Arial"/>
          <w:b/>
          <w:sz w:val="20"/>
          <w:szCs w:val="20"/>
          <w:u w:val="single"/>
        </w:rPr>
      </w:pPr>
      <w:r w:rsidRPr="00B64F95">
        <w:rPr>
          <w:rFonts w:ascii="Arial" w:hAnsi="Arial" w:cs="Arial"/>
          <w:b/>
          <w:sz w:val="20"/>
          <w:szCs w:val="20"/>
          <w:u w:val="single"/>
        </w:rPr>
        <w:t>Background</w:t>
      </w:r>
    </w:p>
    <w:p w14:paraId="55D2F764" w14:textId="04942142" w:rsidR="00275910" w:rsidRPr="00B64F95" w:rsidRDefault="00275910" w:rsidP="00275910">
      <w:pPr>
        <w:rPr>
          <w:rFonts w:ascii="Arial" w:hAnsi="Arial" w:cs="Arial"/>
          <w:sz w:val="20"/>
          <w:szCs w:val="20"/>
          <w:lang w:eastAsia="en-GB"/>
        </w:rPr>
      </w:pPr>
      <w:r w:rsidRPr="00B64F95">
        <w:rPr>
          <w:rFonts w:ascii="Arial" w:hAnsi="Arial" w:cs="Arial"/>
          <w:sz w:val="20"/>
          <w:szCs w:val="20"/>
          <w:lang w:eastAsia="en-GB"/>
        </w:rPr>
        <w:t xml:space="preserve">Treasury management can be defined as the management of the PCC’s investments and cash flows, banking, money </w:t>
      </w:r>
      <w:r w:rsidR="00727C21" w:rsidRPr="00B64F95">
        <w:rPr>
          <w:rFonts w:ascii="Arial" w:hAnsi="Arial" w:cs="Arial"/>
          <w:sz w:val="20"/>
          <w:szCs w:val="20"/>
          <w:lang w:eastAsia="en-GB"/>
        </w:rPr>
        <w:t>market,</w:t>
      </w:r>
      <w:r w:rsidRPr="00B64F95">
        <w:rPr>
          <w:rFonts w:ascii="Arial" w:hAnsi="Arial" w:cs="Arial"/>
          <w:sz w:val="20"/>
          <w:szCs w:val="20"/>
          <w:lang w:eastAsia="en-GB"/>
        </w:rPr>
        <w:t xml:space="preserve"> and capital market transactions; the effective control of the risks associated with those activities; and the pursuit of optimum performance consistent with those risks.</w:t>
      </w:r>
    </w:p>
    <w:p w14:paraId="19698C73" w14:textId="09D5E941" w:rsidR="009D3CAF" w:rsidRPr="00B64F95" w:rsidRDefault="00275910" w:rsidP="009D3CAF">
      <w:pPr>
        <w:spacing w:after="0" w:line="240" w:lineRule="auto"/>
        <w:jc w:val="both"/>
        <w:rPr>
          <w:rFonts w:ascii="Arial" w:eastAsia="Times New Roman" w:hAnsi="Arial" w:cs="Arial"/>
          <w:sz w:val="20"/>
          <w:szCs w:val="20"/>
          <w:lang w:eastAsia="en-GB"/>
        </w:rPr>
      </w:pPr>
      <w:r w:rsidRPr="00B64F95">
        <w:rPr>
          <w:rFonts w:ascii="Arial" w:hAnsi="Arial" w:cs="Arial"/>
          <w:sz w:val="20"/>
          <w:szCs w:val="20"/>
          <w:lang w:eastAsia="en-GB"/>
        </w:rPr>
        <w:t xml:space="preserve">The PCC is required to operate a balanced budget, which means that cash raised during the year will meet cash expenditure. Part of the treasury management operation is </w:t>
      </w:r>
      <w:r w:rsidR="00030183" w:rsidRPr="00B64F95">
        <w:rPr>
          <w:rFonts w:ascii="Arial" w:hAnsi="Arial" w:cs="Arial"/>
          <w:sz w:val="20"/>
          <w:szCs w:val="20"/>
          <w:lang w:eastAsia="en-GB"/>
        </w:rPr>
        <w:t xml:space="preserve">an effective cash flow forecasting </w:t>
      </w:r>
      <w:r w:rsidR="00B04814" w:rsidRPr="00B64F95">
        <w:rPr>
          <w:rFonts w:ascii="Arial" w:hAnsi="Arial" w:cs="Arial"/>
          <w:sz w:val="20"/>
          <w:szCs w:val="20"/>
          <w:lang w:eastAsia="en-GB"/>
        </w:rPr>
        <w:t>model to</w:t>
      </w:r>
      <w:r w:rsidRPr="00B64F95">
        <w:rPr>
          <w:rFonts w:ascii="Arial" w:hAnsi="Arial" w:cs="Arial"/>
          <w:sz w:val="20"/>
          <w:szCs w:val="20"/>
          <w:lang w:eastAsia="en-GB"/>
        </w:rPr>
        <w:t xml:space="preserve"> ensure </w:t>
      </w:r>
      <w:r w:rsidR="00B04814" w:rsidRPr="00B64F95">
        <w:rPr>
          <w:rFonts w:ascii="Arial" w:hAnsi="Arial" w:cs="Arial"/>
          <w:sz w:val="20"/>
          <w:szCs w:val="20"/>
          <w:lang w:eastAsia="en-GB"/>
        </w:rPr>
        <w:t>that cash</w:t>
      </w:r>
      <w:r w:rsidRPr="00B64F95">
        <w:rPr>
          <w:rFonts w:ascii="Arial" w:hAnsi="Arial" w:cs="Arial"/>
          <w:sz w:val="20"/>
          <w:szCs w:val="20"/>
          <w:lang w:eastAsia="en-GB"/>
        </w:rPr>
        <w:t xml:space="preserve"> </w:t>
      </w:r>
      <w:r w:rsidR="00030183" w:rsidRPr="00B64F95">
        <w:rPr>
          <w:rFonts w:ascii="Arial" w:hAnsi="Arial" w:cs="Arial"/>
          <w:sz w:val="20"/>
          <w:szCs w:val="20"/>
          <w:lang w:eastAsia="en-GB"/>
        </w:rPr>
        <w:t xml:space="preserve">is </w:t>
      </w:r>
      <w:r w:rsidRPr="00B64F95">
        <w:rPr>
          <w:rFonts w:ascii="Arial" w:hAnsi="Arial" w:cs="Arial"/>
          <w:sz w:val="20"/>
          <w:szCs w:val="20"/>
          <w:lang w:eastAsia="en-GB"/>
        </w:rPr>
        <w:t xml:space="preserve">available when it is needed. </w:t>
      </w:r>
    </w:p>
    <w:p w14:paraId="013DD872" w14:textId="77777777" w:rsidR="009D3CAF" w:rsidRPr="00B64F95" w:rsidRDefault="009D3CAF" w:rsidP="009D3CAF">
      <w:pPr>
        <w:spacing w:after="0" w:line="240" w:lineRule="auto"/>
        <w:jc w:val="both"/>
        <w:rPr>
          <w:rFonts w:ascii="Arial" w:eastAsia="Times New Roman" w:hAnsi="Arial" w:cs="Arial"/>
          <w:sz w:val="20"/>
          <w:szCs w:val="20"/>
          <w:lang w:eastAsia="en-GB"/>
        </w:rPr>
      </w:pPr>
    </w:p>
    <w:p w14:paraId="3CA53786" w14:textId="77777777" w:rsidR="009D3CAF" w:rsidRPr="00B64F95" w:rsidRDefault="00030183" w:rsidP="009D3CAF">
      <w:pPr>
        <w:spacing w:after="0" w:line="240" w:lineRule="auto"/>
        <w:jc w:val="both"/>
        <w:rPr>
          <w:rFonts w:ascii="Arial" w:hAnsi="Arial" w:cs="Arial"/>
          <w:sz w:val="20"/>
          <w:szCs w:val="20"/>
          <w:lang w:eastAsia="en-GB"/>
        </w:rPr>
      </w:pPr>
      <w:r w:rsidRPr="00B64F95">
        <w:rPr>
          <w:rFonts w:ascii="Arial" w:hAnsi="Arial" w:cs="Arial"/>
          <w:sz w:val="20"/>
          <w:szCs w:val="20"/>
          <w:lang w:eastAsia="en-GB"/>
        </w:rPr>
        <w:t xml:space="preserve">A </w:t>
      </w:r>
      <w:r w:rsidR="00B04814" w:rsidRPr="00B64F95">
        <w:rPr>
          <w:rFonts w:ascii="Arial" w:hAnsi="Arial" w:cs="Arial"/>
          <w:sz w:val="20"/>
          <w:szCs w:val="20"/>
          <w:lang w:eastAsia="en-GB"/>
        </w:rPr>
        <w:t>vital function</w:t>
      </w:r>
      <w:r w:rsidR="00275910" w:rsidRPr="00B64F95">
        <w:rPr>
          <w:rFonts w:ascii="Arial" w:hAnsi="Arial" w:cs="Arial"/>
          <w:sz w:val="20"/>
          <w:szCs w:val="20"/>
          <w:lang w:eastAsia="en-GB"/>
        </w:rPr>
        <w:t xml:space="preserve"> of treasury management is the funding of the PCC’s capital programme. This provides a guide to when substantial funding is required to support the programme and will identify any requirement for the PCC to borrow money to fund particular projects. </w:t>
      </w:r>
    </w:p>
    <w:p w14:paraId="294FECAB" w14:textId="77777777" w:rsidR="009D3CAF" w:rsidRPr="00B64F95" w:rsidRDefault="009D3CAF" w:rsidP="009D3CAF">
      <w:pPr>
        <w:spacing w:after="0" w:line="240" w:lineRule="auto"/>
        <w:jc w:val="both"/>
        <w:rPr>
          <w:rFonts w:ascii="Arial" w:hAnsi="Arial" w:cs="Arial"/>
          <w:sz w:val="20"/>
          <w:szCs w:val="20"/>
          <w:lang w:eastAsia="en-GB"/>
        </w:rPr>
      </w:pPr>
    </w:p>
    <w:p w14:paraId="7A372B04" w14:textId="7FCB8871" w:rsidR="009D3CAF" w:rsidRPr="00B64F95" w:rsidRDefault="00332211" w:rsidP="009D3CAF">
      <w:pPr>
        <w:spacing w:after="0" w:line="240" w:lineRule="auto"/>
        <w:jc w:val="both"/>
        <w:rPr>
          <w:rFonts w:ascii="Arial" w:hAnsi="Arial" w:cs="Arial"/>
          <w:sz w:val="20"/>
          <w:szCs w:val="20"/>
        </w:rPr>
      </w:pPr>
      <w:r w:rsidRPr="00B64F95">
        <w:rPr>
          <w:rFonts w:ascii="Arial" w:hAnsi="Arial" w:cs="Arial"/>
          <w:sz w:val="20"/>
          <w:szCs w:val="20"/>
        </w:rPr>
        <w:t>T</w:t>
      </w:r>
      <w:r w:rsidR="00AD4AA3" w:rsidRPr="00B64F95">
        <w:rPr>
          <w:rFonts w:ascii="Arial" w:hAnsi="Arial" w:cs="Arial"/>
          <w:sz w:val="20"/>
          <w:szCs w:val="20"/>
        </w:rPr>
        <w:t xml:space="preserve">he </w:t>
      </w:r>
      <w:r w:rsidR="001D11C9" w:rsidRPr="00B64F95">
        <w:rPr>
          <w:rFonts w:ascii="Arial" w:hAnsi="Arial" w:cs="Arial"/>
          <w:sz w:val="20"/>
          <w:szCs w:val="20"/>
        </w:rPr>
        <w:t>PCC invests</w:t>
      </w:r>
      <w:r w:rsidR="00C4725A" w:rsidRPr="00B64F95">
        <w:rPr>
          <w:rFonts w:ascii="Arial" w:hAnsi="Arial" w:cs="Arial"/>
          <w:sz w:val="20"/>
          <w:szCs w:val="20"/>
        </w:rPr>
        <w:t xml:space="preserve"> </w:t>
      </w:r>
      <w:r w:rsidRPr="00B64F95">
        <w:rPr>
          <w:rFonts w:ascii="Arial" w:hAnsi="Arial" w:cs="Arial"/>
          <w:sz w:val="20"/>
          <w:szCs w:val="20"/>
        </w:rPr>
        <w:t xml:space="preserve">substantial sums of money and </w:t>
      </w:r>
      <w:r w:rsidR="00AD4AA3" w:rsidRPr="00B64F95">
        <w:rPr>
          <w:rFonts w:ascii="Arial" w:hAnsi="Arial" w:cs="Arial"/>
          <w:sz w:val="20"/>
          <w:szCs w:val="20"/>
        </w:rPr>
        <w:t xml:space="preserve">is </w:t>
      </w:r>
      <w:r w:rsidRPr="00B64F95">
        <w:rPr>
          <w:rFonts w:ascii="Arial" w:hAnsi="Arial" w:cs="Arial"/>
          <w:sz w:val="20"/>
          <w:szCs w:val="20"/>
        </w:rPr>
        <w:t>therefore expos</w:t>
      </w:r>
      <w:r w:rsidR="00AD4AA3" w:rsidRPr="00B64F95">
        <w:rPr>
          <w:rFonts w:ascii="Arial" w:hAnsi="Arial" w:cs="Arial"/>
          <w:sz w:val="20"/>
          <w:szCs w:val="20"/>
        </w:rPr>
        <w:t>ed</w:t>
      </w:r>
      <w:r w:rsidRPr="00B64F95">
        <w:rPr>
          <w:rFonts w:ascii="Arial" w:hAnsi="Arial" w:cs="Arial"/>
          <w:sz w:val="20"/>
          <w:szCs w:val="20"/>
        </w:rPr>
        <w:t xml:space="preserve"> to financial risks including the loss of invested funds and </w:t>
      </w:r>
      <w:r w:rsidR="00993DAD" w:rsidRPr="00B64F95">
        <w:rPr>
          <w:rFonts w:ascii="Arial" w:hAnsi="Arial" w:cs="Arial"/>
          <w:sz w:val="20"/>
          <w:szCs w:val="20"/>
        </w:rPr>
        <w:t xml:space="preserve">the </w:t>
      </w:r>
      <w:r w:rsidR="005122C7" w:rsidRPr="00B64F95">
        <w:rPr>
          <w:rFonts w:ascii="Arial" w:hAnsi="Arial" w:cs="Arial"/>
          <w:sz w:val="20"/>
          <w:szCs w:val="20"/>
        </w:rPr>
        <w:t xml:space="preserve">revenue </w:t>
      </w:r>
      <w:r w:rsidR="00993DAD" w:rsidRPr="00B64F95">
        <w:rPr>
          <w:rFonts w:ascii="Arial" w:hAnsi="Arial" w:cs="Arial"/>
          <w:sz w:val="20"/>
          <w:szCs w:val="20"/>
        </w:rPr>
        <w:t xml:space="preserve">effect of changing interest rates. The successful identification, monitoring and control of risk </w:t>
      </w:r>
      <w:r w:rsidR="0008102D" w:rsidRPr="00B64F95">
        <w:rPr>
          <w:rFonts w:ascii="Arial" w:hAnsi="Arial" w:cs="Arial"/>
          <w:sz w:val="20"/>
          <w:szCs w:val="20"/>
        </w:rPr>
        <w:t>are</w:t>
      </w:r>
      <w:r w:rsidR="00993DAD" w:rsidRPr="00B64F95">
        <w:rPr>
          <w:rFonts w:ascii="Arial" w:hAnsi="Arial" w:cs="Arial"/>
          <w:sz w:val="20"/>
          <w:szCs w:val="20"/>
        </w:rPr>
        <w:t xml:space="preserve"> therefore central to the </w:t>
      </w:r>
      <w:r w:rsidR="00C4725A" w:rsidRPr="00B64F95">
        <w:rPr>
          <w:rFonts w:ascii="Arial" w:hAnsi="Arial" w:cs="Arial"/>
          <w:sz w:val="20"/>
          <w:szCs w:val="20"/>
        </w:rPr>
        <w:t>PCC’s</w:t>
      </w:r>
      <w:r w:rsidR="00993DAD" w:rsidRPr="00B64F95">
        <w:rPr>
          <w:rFonts w:ascii="Arial" w:hAnsi="Arial" w:cs="Arial"/>
          <w:sz w:val="20"/>
          <w:szCs w:val="20"/>
        </w:rPr>
        <w:t xml:space="preserve"> </w:t>
      </w:r>
      <w:r w:rsidR="009F7CB1" w:rsidRPr="00B64F95">
        <w:rPr>
          <w:rFonts w:ascii="Arial" w:hAnsi="Arial" w:cs="Arial"/>
          <w:sz w:val="20"/>
          <w:szCs w:val="20"/>
        </w:rPr>
        <w:t>TMSS</w:t>
      </w:r>
      <w:r w:rsidR="00D65ED6" w:rsidRPr="00B64F95">
        <w:rPr>
          <w:rFonts w:ascii="Arial" w:hAnsi="Arial" w:cs="Arial"/>
          <w:sz w:val="20"/>
          <w:szCs w:val="20"/>
        </w:rPr>
        <w:t xml:space="preserve"> and is a crucial part of the </w:t>
      </w:r>
      <w:r w:rsidR="00BF72D8" w:rsidRPr="00B64F95">
        <w:rPr>
          <w:rFonts w:ascii="Arial" w:hAnsi="Arial" w:cs="Arial"/>
          <w:sz w:val="20"/>
          <w:szCs w:val="20"/>
        </w:rPr>
        <w:t>PCC</w:t>
      </w:r>
      <w:r w:rsidR="00D65ED6" w:rsidRPr="00B64F95">
        <w:rPr>
          <w:rFonts w:ascii="Arial" w:hAnsi="Arial" w:cs="Arial"/>
          <w:sz w:val="20"/>
          <w:szCs w:val="20"/>
        </w:rPr>
        <w:t>’s governance framework</w:t>
      </w:r>
      <w:r w:rsidR="00993DAD" w:rsidRPr="00B64F95">
        <w:rPr>
          <w:rFonts w:ascii="Arial" w:hAnsi="Arial" w:cs="Arial"/>
          <w:sz w:val="20"/>
          <w:szCs w:val="20"/>
        </w:rPr>
        <w:t>.</w:t>
      </w:r>
    </w:p>
    <w:p w14:paraId="3E3E498B" w14:textId="769821F3" w:rsidR="00DE2B43" w:rsidRPr="00B64F95" w:rsidRDefault="00DE2B43" w:rsidP="009D3CAF">
      <w:pPr>
        <w:spacing w:after="0" w:line="240" w:lineRule="auto"/>
        <w:jc w:val="both"/>
        <w:rPr>
          <w:rFonts w:ascii="Arial" w:hAnsi="Arial" w:cs="Arial"/>
          <w:sz w:val="20"/>
          <w:szCs w:val="20"/>
        </w:rPr>
      </w:pPr>
    </w:p>
    <w:p w14:paraId="4A6AB06E" w14:textId="275DCB23" w:rsidR="001B6F1F" w:rsidRPr="00B64F95" w:rsidRDefault="00DE2B43" w:rsidP="001B6F1F">
      <w:pPr>
        <w:pStyle w:val="ListParagraph"/>
        <w:ind w:left="0"/>
        <w:contextualSpacing w:val="0"/>
        <w:jc w:val="both"/>
        <w:rPr>
          <w:rFonts w:ascii="Arial" w:hAnsi="Arial" w:cs="Arial"/>
          <w:sz w:val="20"/>
          <w:szCs w:val="20"/>
        </w:rPr>
      </w:pPr>
      <w:r w:rsidRPr="00B64F95">
        <w:rPr>
          <w:rFonts w:ascii="Arial" w:hAnsi="Arial" w:cs="Arial"/>
          <w:sz w:val="20"/>
          <w:szCs w:val="20"/>
        </w:rPr>
        <w:t>The strategy takes into consideration C</w:t>
      </w:r>
      <w:r w:rsidR="00B15BCA" w:rsidRPr="00B64F95">
        <w:rPr>
          <w:rFonts w:ascii="Arial" w:hAnsi="Arial" w:cs="Arial"/>
          <w:sz w:val="20"/>
          <w:szCs w:val="20"/>
        </w:rPr>
        <w:t>IPFA</w:t>
      </w:r>
      <w:r w:rsidRPr="00B64F95">
        <w:rPr>
          <w:rFonts w:ascii="Arial" w:hAnsi="Arial" w:cs="Arial"/>
          <w:sz w:val="20"/>
          <w:szCs w:val="20"/>
        </w:rPr>
        <w:t>’s Code of Practice and Cross-Sectoral Guidance Notes 2021 (The Treasury Management Code) which represents a revision of the 2017 Treasury Management Code. This revision introduces strengthened requirements for skills and training, and for investments that are not specifically for treasury management purposes.</w:t>
      </w:r>
      <w:r w:rsidR="001B6F1F" w:rsidRPr="00B64F95">
        <w:rPr>
          <w:rFonts w:ascii="Arial" w:hAnsi="Arial" w:cs="Arial"/>
          <w:sz w:val="20"/>
          <w:szCs w:val="20"/>
        </w:rPr>
        <w:t xml:space="preserve"> The PCC is not able to enter into any commercial property </w:t>
      </w:r>
      <w:r w:rsidR="00C66C41" w:rsidRPr="00B64F95">
        <w:rPr>
          <w:rFonts w:ascii="Arial" w:hAnsi="Arial" w:cs="Arial"/>
          <w:sz w:val="20"/>
          <w:szCs w:val="20"/>
        </w:rPr>
        <w:t>investments and</w:t>
      </w:r>
      <w:r w:rsidR="001B6F1F" w:rsidRPr="00B64F95">
        <w:rPr>
          <w:rFonts w:ascii="Arial" w:hAnsi="Arial" w:cs="Arial"/>
          <w:sz w:val="20"/>
          <w:szCs w:val="20"/>
        </w:rPr>
        <w:t xml:space="preserve"> therefore all investments are made for treasury management </w:t>
      </w:r>
      <w:r w:rsidR="00C66C41" w:rsidRPr="00B64F95">
        <w:rPr>
          <w:rFonts w:ascii="Arial" w:hAnsi="Arial" w:cs="Arial"/>
          <w:sz w:val="20"/>
          <w:szCs w:val="20"/>
        </w:rPr>
        <w:t>purposes</w:t>
      </w:r>
      <w:r w:rsidR="00EF0CCF" w:rsidRPr="00B64F95">
        <w:rPr>
          <w:rFonts w:ascii="Arial" w:hAnsi="Arial" w:cs="Arial"/>
          <w:sz w:val="20"/>
          <w:szCs w:val="20"/>
        </w:rPr>
        <w:t xml:space="preserve">. </w:t>
      </w:r>
    </w:p>
    <w:p w14:paraId="3A6624FC" w14:textId="1A18AEC9" w:rsidR="003F1CFC" w:rsidRPr="00B64F95" w:rsidRDefault="00872CF5" w:rsidP="009D3CAF">
      <w:pPr>
        <w:spacing w:after="0" w:line="240" w:lineRule="auto"/>
        <w:jc w:val="both"/>
        <w:rPr>
          <w:rFonts w:ascii="Arial" w:hAnsi="Arial" w:cs="Arial"/>
          <w:sz w:val="20"/>
          <w:szCs w:val="20"/>
        </w:rPr>
      </w:pPr>
      <w:r w:rsidRPr="00B64F95">
        <w:rPr>
          <w:rFonts w:ascii="Arial" w:hAnsi="Arial" w:cs="Arial"/>
          <w:sz w:val="20"/>
          <w:szCs w:val="20"/>
        </w:rPr>
        <w:lastRenderedPageBreak/>
        <w:t>T</w:t>
      </w:r>
      <w:r w:rsidR="003F1CFC" w:rsidRPr="00B64F95">
        <w:rPr>
          <w:rFonts w:ascii="Arial" w:hAnsi="Arial" w:cs="Arial"/>
          <w:sz w:val="20"/>
          <w:szCs w:val="20"/>
        </w:rPr>
        <w:t xml:space="preserve">he </w:t>
      </w:r>
      <w:r w:rsidR="00C4725A" w:rsidRPr="00B64F95">
        <w:rPr>
          <w:rFonts w:ascii="Arial" w:hAnsi="Arial" w:cs="Arial"/>
          <w:sz w:val="20"/>
          <w:szCs w:val="20"/>
        </w:rPr>
        <w:t>PCC</w:t>
      </w:r>
      <w:r w:rsidR="003F1CFC" w:rsidRPr="00B64F95">
        <w:rPr>
          <w:rFonts w:ascii="Arial" w:hAnsi="Arial" w:cs="Arial"/>
          <w:sz w:val="20"/>
          <w:szCs w:val="20"/>
        </w:rPr>
        <w:t xml:space="preserve"> will be asked to approve a revised TMSS should the assumptions on which this report is based change significantly. Such circumstances would include, for example, a</w:t>
      </w:r>
      <w:r w:rsidR="00B04526" w:rsidRPr="00B64F95">
        <w:rPr>
          <w:rFonts w:ascii="Arial" w:hAnsi="Arial" w:cs="Arial"/>
          <w:sz w:val="20"/>
          <w:szCs w:val="20"/>
        </w:rPr>
        <w:t>n</w:t>
      </w:r>
      <w:r w:rsidR="003F1CFC" w:rsidRPr="00B64F95">
        <w:rPr>
          <w:rFonts w:ascii="Arial" w:hAnsi="Arial" w:cs="Arial"/>
          <w:sz w:val="20"/>
          <w:szCs w:val="20"/>
        </w:rPr>
        <w:t xml:space="preserve"> unexpec</w:t>
      </w:r>
      <w:r w:rsidR="00C4725A" w:rsidRPr="00B64F95">
        <w:rPr>
          <w:rFonts w:ascii="Arial" w:hAnsi="Arial" w:cs="Arial"/>
          <w:sz w:val="20"/>
          <w:szCs w:val="20"/>
        </w:rPr>
        <w:t xml:space="preserve">ted change in interest </w:t>
      </w:r>
      <w:r w:rsidR="004A18FE" w:rsidRPr="00B64F95">
        <w:rPr>
          <w:rFonts w:ascii="Arial" w:hAnsi="Arial" w:cs="Arial"/>
          <w:sz w:val="20"/>
          <w:szCs w:val="20"/>
        </w:rPr>
        <w:t>rates,</w:t>
      </w:r>
      <w:r w:rsidR="003F1CFC" w:rsidRPr="00B64F95">
        <w:rPr>
          <w:rFonts w:ascii="Arial" w:hAnsi="Arial" w:cs="Arial"/>
          <w:sz w:val="20"/>
          <w:szCs w:val="20"/>
        </w:rPr>
        <w:t xml:space="preserve"> </w:t>
      </w:r>
      <w:r w:rsidR="00030183" w:rsidRPr="00B64F95">
        <w:rPr>
          <w:rFonts w:ascii="Arial" w:hAnsi="Arial" w:cs="Arial"/>
          <w:sz w:val="20"/>
          <w:szCs w:val="20"/>
        </w:rPr>
        <w:t xml:space="preserve">changes </w:t>
      </w:r>
      <w:r w:rsidR="003F1CFC" w:rsidRPr="00B64F95">
        <w:rPr>
          <w:rFonts w:ascii="Arial" w:hAnsi="Arial" w:cs="Arial"/>
          <w:sz w:val="20"/>
          <w:szCs w:val="20"/>
        </w:rPr>
        <w:t xml:space="preserve">in the </w:t>
      </w:r>
      <w:r w:rsidR="00C4725A" w:rsidRPr="00B64F95">
        <w:rPr>
          <w:rFonts w:ascii="Arial" w:hAnsi="Arial" w:cs="Arial"/>
          <w:sz w:val="20"/>
          <w:szCs w:val="20"/>
        </w:rPr>
        <w:t>PCC</w:t>
      </w:r>
      <w:r w:rsidR="003F1CFC" w:rsidRPr="00B64F95">
        <w:rPr>
          <w:rFonts w:ascii="Arial" w:hAnsi="Arial" w:cs="Arial"/>
          <w:sz w:val="20"/>
          <w:szCs w:val="20"/>
        </w:rPr>
        <w:t>’s capital programme or in the level of investment balance</w:t>
      </w:r>
      <w:r w:rsidR="00B623DC" w:rsidRPr="00B64F95">
        <w:rPr>
          <w:rFonts w:ascii="Arial" w:hAnsi="Arial" w:cs="Arial"/>
          <w:sz w:val="20"/>
          <w:szCs w:val="20"/>
        </w:rPr>
        <w:t>s</w:t>
      </w:r>
      <w:r w:rsidR="003F1CFC" w:rsidRPr="00B64F95">
        <w:rPr>
          <w:rFonts w:ascii="Arial" w:hAnsi="Arial" w:cs="Arial"/>
          <w:sz w:val="20"/>
          <w:szCs w:val="20"/>
        </w:rPr>
        <w:t>.</w:t>
      </w:r>
    </w:p>
    <w:p w14:paraId="7BA5BBCC" w14:textId="77777777" w:rsidR="009D3CAF" w:rsidRPr="00B64F95" w:rsidRDefault="009D3CAF" w:rsidP="009D3CAF">
      <w:pPr>
        <w:spacing w:after="0" w:line="240" w:lineRule="auto"/>
        <w:jc w:val="both"/>
        <w:rPr>
          <w:rFonts w:ascii="Arial" w:eastAsia="Times New Roman" w:hAnsi="Arial" w:cs="Arial"/>
          <w:sz w:val="20"/>
          <w:szCs w:val="20"/>
          <w:lang w:eastAsia="en-GB"/>
        </w:rPr>
      </w:pPr>
    </w:p>
    <w:p w14:paraId="202282AA" w14:textId="77777777" w:rsidR="004363C9" w:rsidRPr="00B64F95" w:rsidRDefault="00C9098F" w:rsidP="009F23E2">
      <w:pPr>
        <w:pStyle w:val="ListParagraph"/>
        <w:ind w:left="0"/>
        <w:contextualSpacing w:val="0"/>
        <w:jc w:val="both"/>
        <w:rPr>
          <w:rFonts w:ascii="Arial" w:hAnsi="Arial" w:cs="Arial"/>
          <w:b/>
          <w:sz w:val="20"/>
          <w:szCs w:val="20"/>
          <w:u w:val="single"/>
        </w:rPr>
      </w:pPr>
      <w:r w:rsidRPr="00B64F95">
        <w:rPr>
          <w:rFonts w:ascii="Arial" w:hAnsi="Arial" w:cs="Arial"/>
          <w:b/>
          <w:sz w:val="20"/>
          <w:szCs w:val="20"/>
          <w:u w:val="single"/>
        </w:rPr>
        <w:t>Treasury Management Advisors</w:t>
      </w:r>
    </w:p>
    <w:p w14:paraId="1065702E" w14:textId="071946F5" w:rsidR="00B67D57" w:rsidRPr="00B64F95" w:rsidRDefault="00B67D57" w:rsidP="009F23E2">
      <w:pPr>
        <w:pStyle w:val="ListParagraph"/>
        <w:ind w:left="0"/>
        <w:contextualSpacing w:val="0"/>
        <w:jc w:val="both"/>
        <w:rPr>
          <w:rFonts w:ascii="Arial" w:hAnsi="Arial" w:cs="Arial"/>
          <w:color w:val="FF0000"/>
          <w:sz w:val="20"/>
          <w:szCs w:val="20"/>
        </w:rPr>
      </w:pPr>
      <w:r>
        <w:rPr>
          <w:rFonts w:ascii="Arial" w:hAnsi="Arial" w:cs="Arial"/>
          <w:sz w:val="20"/>
          <w:szCs w:val="20"/>
        </w:rPr>
        <w:t>A</w:t>
      </w:r>
      <w:r w:rsidR="00332D1F">
        <w:rPr>
          <w:rFonts w:ascii="Arial" w:hAnsi="Arial" w:cs="Arial"/>
          <w:sz w:val="20"/>
          <w:szCs w:val="20"/>
        </w:rPr>
        <w:t xml:space="preserve">rlingclose were appointed as the PCC’s treasury management advisors </w:t>
      </w:r>
      <w:r w:rsidR="004848D1">
        <w:rPr>
          <w:rFonts w:ascii="Arial" w:hAnsi="Arial" w:cs="Arial"/>
          <w:sz w:val="20"/>
          <w:szCs w:val="20"/>
        </w:rPr>
        <w:t>from 1</w:t>
      </w:r>
      <w:r w:rsidR="004848D1" w:rsidRPr="004848D1">
        <w:rPr>
          <w:rFonts w:ascii="Arial" w:hAnsi="Arial" w:cs="Arial"/>
          <w:sz w:val="20"/>
          <w:szCs w:val="20"/>
          <w:vertAlign w:val="superscript"/>
        </w:rPr>
        <w:t>st</w:t>
      </w:r>
      <w:r w:rsidR="004848D1">
        <w:rPr>
          <w:rFonts w:ascii="Arial" w:hAnsi="Arial" w:cs="Arial"/>
          <w:sz w:val="20"/>
          <w:szCs w:val="20"/>
        </w:rPr>
        <w:t xml:space="preserve"> April 2025 for a period of </w:t>
      </w:r>
      <w:r w:rsidR="00A62262">
        <w:rPr>
          <w:rFonts w:ascii="Arial" w:hAnsi="Arial" w:cs="Arial"/>
          <w:sz w:val="20"/>
          <w:szCs w:val="20"/>
        </w:rPr>
        <w:t xml:space="preserve">three years. </w:t>
      </w:r>
      <w:r w:rsidR="00776071">
        <w:rPr>
          <w:rFonts w:ascii="Arial" w:hAnsi="Arial" w:cs="Arial"/>
          <w:sz w:val="20"/>
          <w:szCs w:val="20"/>
        </w:rPr>
        <w:t>The</w:t>
      </w:r>
      <w:r w:rsidR="00A62262">
        <w:rPr>
          <w:rFonts w:ascii="Arial" w:hAnsi="Arial" w:cs="Arial"/>
          <w:sz w:val="20"/>
          <w:szCs w:val="20"/>
        </w:rPr>
        <w:t xml:space="preserve">y will </w:t>
      </w:r>
      <w:proofErr w:type="gramStart"/>
      <w:r w:rsidR="00776071">
        <w:rPr>
          <w:rFonts w:ascii="Arial" w:hAnsi="Arial" w:cs="Arial"/>
          <w:sz w:val="20"/>
          <w:szCs w:val="20"/>
        </w:rPr>
        <w:t>provide assistance</w:t>
      </w:r>
      <w:proofErr w:type="gramEnd"/>
      <w:r w:rsidR="00776071">
        <w:rPr>
          <w:rFonts w:ascii="Arial" w:hAnsi="Arial" w:cs="Arial"/>
          <w:sz w:val="20"/>
          <w:szCs w:val="20"/>
        </w:rPr>
        <w:t xml:space="preserve">, guidance and help on </w:t>
      </w:r>
      <w:r w:rsidR="00A62262">
        <w:rPr>
          <w:rFonts w:ascii="Arial" w:hAnsi="Arial" w:cs="Arial"/>
          <w:sz w:val="20"/>
          <w:szCs w:val="20"/>
        </w:rPr>
        <w:t xml:space="preserve">all </w:t>
      </w:r>
      <w:r w:rsidR="00776071">
        <w:rPr>
          <w:rFonts w:ascii="Arial" w:hAnsi="Arial" w:cs="Arial"/>
          <w:sz w:val="20"/>
          <w:szCs w:val="20"/>
        </w:rPr>
        <w:t xml:space="preserve">key aspects </w:t>
      </w:r>
      <w:r w:rsidR="00411424">
        <w:rPr>
          <w:rFonts w:ascii="Arial" w:hAnsi="Arial" w:cs="Arial"/>
          <w:sz w:val="20"/>
          <w:szCs w:val="20"/>
        </w:rPr>
        <w:t>of</w:t>
      </w:r>
      <w:r w:rsidR="000C1C7B">
        <w:rPr>
          <w:rFonts w:ascii="Arial" w:hAnsi="Arial" w:cs="Arial"/>
          <w:sz w:val="20"/>
          <w:szCs w:val="20"/>
        </w:rPr>
        <w:t xml:space="preserve"> the investing and borrowing of PCC funds.</w:t>
      </w:r>
    </w:p>
    <w:p w14:paraId="560A7697" w14:textId="77777777" w:rsidR="004363C9" w:rsidRPr="00B64F95" w:rsidRDefault="00B04814" w:rsidP="009F23E2">
      <w:pPr>
        <w:pStyle w:val="ListParagraph"/>
        <w:ind w:left="0"/>
        <w:contextualSpacing w:val="0"/>
        <w:jc w:val="both"/>
        <w:rPr>
          <w:rFonts w:ascii="Arial" w:hAnsi="Arial" w:cs="Arial"/>
          <w:b/>
          <w:sz w:val="20"/>
          <w:szCs w:val="20"/>
          <w:u w:val="single"/>
        </w:rPr>
      </w:pPr>
      <w:r w:rsidRPr="00B64F95">
        <w:rPr>
          <w:rFonts w:ascii="Arial" w:hAnsi="Arial" w:cs="Arial"/>
          <w:b/>
          <w:sz w:val="20"/>
          <w:szCs w:val="20"/>
          <w:u w:val="single"/>
        </w:rPr>
        <w:t>L</w:t>
      </w:r>
      <w:r w:rsidR="003A1A21" w:rsidRPr="00B64F95">
        <w:rPr>
          <w:rFonts w:ascii="Arial" w:hAnsi="Arial" w:cs="Arial"/>
          <w:b/>
          <w:sz w:val="20"/>
          <w:szCs w:val="20"/>
          <w:u w:val="single"/>
        </w:rPr>
        <w:t>ocal</w:t>
      </w:r>
      <w:r w:rsidR="004363C9" w:rsidRPr="00B64F95">
        <w:rPr>
          <w:rFonts w:ascii="Arial" w:hAnsi="Arial" w:cs="Arial"/>
          <w:b/>
          <w:sz w:val="20"/>
          <w:szCs w:val="20"/>
          <w:u w:val="single"/>
        </w:rPr>
        <w:t xml:space="preserve"> Context</w:t>
      </w:r>
    </w:p>
    <w:p w14:paraId="6A744FB3" w14:textId="69C48219" w:rsidR="004363C9" w:rsidRPr="00A11E1A" w:rsidRDefault="00B55B98" w:rsidP="009F23E2">
      <w:pPr>
        <w:jc w:val="both"/>
        <w:rPr>
          <w:rFonts w:ascii="Arial" w:hAnsi="Arial" w:cs="Arial"/>
          <w:sz w:val="20"/>
          <w:szCs w:val="20"/>
        </w:rPr>
      </w:pPr>
      <w:r w:rsidRPr="00B64F95">
        <w:rPr>
          <w:rFonts w:ascii="Arial" w:hAnsi="Arial" w:cs="Arial"/>
          <w:sz w:val="20"/>
          <w:szCs w:val="20"/>
        </w:rPr>
        <w:t xml:space="preserve">During </w:t>
      </w:r>
      <w:r w:rsidR="00ED769C" w:rsidRPr="00B64F95">
        <w:rPr>
          <w:rFonts w:ascii="Arial" w:hAnsi="Arial" w:cs="Arial"/>
          <w:sz w:val="20"/>
          <w:szCs w:val="20"/>
        </w:rPr>
        <w:t>20</w:t>
      </w:r>
      <w:r w:rsidR="00B11CE3" w:rsidRPr="00B64F95">
        <w:rPr>
          <w:rFonts w:ascii="Arial" w:hAnsi="Arial" w:cs="Arial"/>
          <w:sz w:val="20"/>
          <w:szCs w:val="20"/>
        </w:rPr>
        <w:t>2</w:t>
      </w:r>
      <w:r w:rsidR="007D4EFB">
        <w:rPr>
          <w:rFonts w:ascii="Arial" w:hAnsi="Arial" w:cs="Arial"/>
          <w:sz w:val="20"/>
          <w:szCs w:val="20"/>
        </w:rPr>
        <w:t>6</w:t>
      </w:r>
      <w:r w:rsidR="00383AA8" w:rsidRPr="00B64F95">
        <w:rPr>
          <w:rFonts w:ascii="Arial" w:hAnsi="Arial" w:cs="Arial"/>
          <w:sz w:val="20"/>
          <w:szCs w:val="20"/>
        </w:rPr>
        <w:t>/2</w:t>
      </w:r>
      <w:r w:rsidR="007D4EFB">
        <w:rPr>
          <w:rFonts w:ascii="Arial" w:hAnsi="Arial" w:cs="Arial"/>
          <w:sz w:val="20"/>
          <w:szCs w:val="20"/>
        </w:rPr>
        <w:t>7</w:t>
      </w:r>
      <w:r w:rsidR="00BF4360" w:rsidRPr="00B64F95">
        <w:rPr>
          <w:rFonts w:ascii="Arial" w:hAnsi="Arial" w:cs="Arial"/>
          <w:sz w:val="20"/>
          <w:szCs w:val="20"/>
        </w:rPr>
        <w:t xml:space="preserve"> t</w:t>
      </w:r>
      <w:r w:rsidR="004363C9" w:rsidRPr="00B64F95">
        <w:rPr>
          <w:rFonts w:ascii="Arial" w:hAnsi="Arial" w:cs="Arial"/>
          <w:sz w:val="20"/>
          <w:szCs w:val="20"/>
        </w:rPr>
        <w:t xml:space="preserve">he </w:t>
      </w:r>
      <w:r w:rsidR="003E3EC1" w:rsidRPr="00B64F95">
        <w:rPr>
          <w:rFonts w:ascii="Arial" w:hAnsi="Arial" w:cs="Arial"/>
          <w:sz w:val="20"/>
          <w:szCs w:val="20"/>
        </w:rPr>
        <w:t>PCC</w:t>
      </w:r>
      <w:r w:rsidR="004363C9" w:rsidRPr="00B64F95">
        <w:rPr>
          <w:rFonts w:ascii="Arial" w:hAnsi="Arial" w:cs="Arial"/>
          <w:sz w:val="20"/>
          <w:szCs w:val="20"/>
        </w:rPr>
        <w:t xml:space="preserve"> </w:t>
      </w:r>
      <w:r w:rsidR="00CB0901" w:rsidRPr="00B64F95">
        <w:rPr>
          <w:rFonts w:ascii="Arial" w:hAnsi="Arial" w:cs="Arial"/>
          <w:sz w:val="20"/>
          <w:szCs w:val="20"/>
        </w:rPr>
        <w:t>is expected to hold</w:t>
      </w:r>
      <w:r w:rsidR="004363C9" w:rsidRPr="00B64F95">
        <w:rPr>
          <w:rFonts w:ascii="Arial" w:hAnsi="Arial" w:cs="Arial"/>
          <w:sz w:val="20"/>
          <w:szCs w:val="20"/>
        </w:rPr>
        <w:t xml:space="preserve"> </w:t>
      </w:r>
      <w:r w:rsidR="000136F8" w:rsidRPr="00B64F95">
        <w:rPr>
          <w:rFonts w:ascii="Arial" w:hAnsi="Arial" w:cs="Arial"/>
          <w:sz w:val="20"/>
          <w:szCs w:val="20"/>
        </w:rPr>
        <w:t xml:space="preserve">external </w:t>
      </w:r>
      <w:r w:rsidR="009F23E2" w:rsidRPr="00B64F95">
        <w:rPr>
          <w:rFonts w:ascii="Arial" w:hAnsi="Arial" w:cs="Arial"/>
          <w:sz w:val="20"/>
          <w:szCs w:val="20"/>
        </w:rPr>
        <w:t>borrowing</w:t>
      </w:r>
      <w:r w:rsidR="001B6F1F" w:rsidRPr="00B64F95">
        <w:rPr>
          <w:rFonts w:ascii="Arial" w:hAnsi="Arial" w:cs="Arial"/>
          <w:sz w:val="20"/>
          <w:szCs w:val="20"/>
        </w:rPr>
        <w:t xml:space="preserve">, </w:t>
      </w:r>
      <w:r w:rsidR="00C4725A" w:rsidRPr="00B64F95">
        <w:rPr>
          <w:rFonts w:ascii="Arial" w:hAnsi="Arial" w:cs="Arial"/>
          <w:sz w:val="20"/>
          <w:szCs w:val="20"/>
        </w:rPr>
        <w:t xml:space="preserve">excluding </w:t>
      </w:r>
      <w:r w:rsidR="001B6F1F" w:rsidRPr="00B64F95">
        <w:rPr>
          <w:rFonts w:ascii="Arial" w:hAnsi="Arial" w:cs="Arial"/>
          <w:sz w:val="20"/>
          <w:szCs w:val="20"/>
        </w:rPr>
        <w:t xml:space="preserve">the </w:t>
      </w:r>
      <w:r w:rsidR="00C4725A" w:rsidRPr="00B64F95">
        <w:rPr>
          <w:rFonts w:ascii="Arial" w:hAnsi="Arial" w:cs="Arial"/>
          <w:sz w:val="20"/>
          <w:szCs w:val="20"/>
        </w:rPr>
        <w:t>P</w:t>
      </w:r>
      <w:r w:rsidR="001B6F1F" w:rsidRPr="00B64F95">
        <w:rPr>
          <w:rFonts w:ascii="Arial" w:hAnsi="Arial" w:cs="Arial"/>
          <w:sz w:val="20"/>
          <w:szCs w:val="20"/>
        </w:rPr>
        <w:t>rivate Finance Initiative (PFI)</w:t>
      </w:r>
      <w:r w:rsidR="000136F8" w:rsidRPr="00B64F95">
        <w:rPr>
          <w:rFonts w:ascii="Arial" w:hAnsi="Arial" w:cs="Arial"/>
          <w:sz w:val="20"/>
          <w:szCs w:val="20"/>
        </w:rPr>
        <w:t xml:space="preserve">. </w:t>
      </w:r>
      <w:r w:rsidR="009F23E2" w:rsidRPr="00B64F95">
        <w:rPr>
          <w:rFonts w:ascii="Arial" w:hAnsi="Arial" w:cs="Arial"/>
          <w:sz w:val="20"/>
          <w:szCs w:val="20"/>
        </w:rPr>
        <w:t>Forecast</w:t>
      </w:r>
      <w:r w:rsidR="005F3434" w:rsidRPr="00B64F95">
        <w:rPr>
          <w:rFonts w:ascii="Arial" w:hAnsi="Arial" w:cs="Arial"/>
          <w:sz w:val="20"/>
          <w:szCs w:val="20"/>
        </w:rPr>
        <w:t xml:space="preserve"> changes</w:t>
      </w:r>
      <w:r w:rsidR="009F23E2" w:rsidRPr="00B64F95">
        <w:rPr>
          <w:rFonts w:ascii="Arial" w:hAnsi="Arial" w:cs="Arial"/>
          <w:sz w:val="20"/>
          <w:szCs w:val="20"/>
        </w:rPr>
        <w:t xml:space="preserve"> in the</w:t>
      </w:r>
      <w:r w:rsidR="00FA0EC7" w:rsidRPr="00B64F95">
        <w:rPr>
          <w:rFonts w:ascii="Arial" w:hAnsi="Arial" w:cs="Arial"/>
          <w:sz w:val="20"/>
          <w:szCs w:val="20"/>
        </w:rPr>
        <w:t xml:space="preserve"> investment </w:t>
      </w:r>
      <w:r w:rsidR="00000706" w:rsidRPr="00B64F95">
        <w:rPr>
          <w:rFonts w:ascii="Arial" w:hAnsi="Arial" w:cs="Arial"/>
          <w:sz w:val="20"/>
          <w:szCs w:val="20"/>
        </w:rPr>
        <w:t xml:space="preserve">and borrowing </w:t>
      </w:r>
      <w:r w:rsidR="00FA0EC7" w:rsidRPr="00B64F95">
        <w:rPr>
          <w:rFonts w:ascii="Arial" w:hAnsi="Arial" w:cs="Arial"/>
          <w:sz w:val="20"/>
          <w:szCs w:val="20"/>
        </w:rPr>
        <w:t xml:space="preserve">balances </w:t>
      </w:r>
      <w:r w:rsidR="009F23E2" w:rsidRPr="00B64F95">
        <w:rPr>
          <w:rFonts w:ascii="Arial" w:hAnsi="Arial" w:cs="Arial"/>
          <w:sz w:val="20"/>
          <w:szCs w:val="20"/>
        </w:rPr>
        <w:t xml:space="preserve">are shown in the balance sheet analysis in </w:t>
      </w:r>
      <w:r w:rsidR="009F23E2" w:rsidRPr="00A11E1A">
        <w:rPr>
          <w:rFonts w:ascii="Arial" w:hAnsi="Arial" w:cs="Arial"/>
          <w:sz w:val="20"/>
          <w:szCs w:val="20"/>
        </w:rPr>
        <w:t>table 1 below.</w:t>
      </w:r>
    </w:p>
    <w:p w14:paraId="0B2285DC" w14:textId="128AD836" w:rsidR="00004683" w:rsidRPr="00A11E1A" w:rsidRDefault="00004683" w:rsidP="00004683">
      <w:pPr>
        <w:spacing w:after="0"/>
        <w:jc w:val="both"/>
        <w:rPr>
          <w:rFonts w:ascii="Arial" w:hAnsi="Arial" w:cs="Arial"/>
          <w:sz w:val="20"/>
          <w:szCs w:val="20"/>
        </w:rPr>
      </w:pPr>
      <w:r w:rsidRPr="00A11E1A">
        <w:rPr>
          <w:rFonts w:ascii="Arial" w:hAnsi="Arial" w:cs="Arial"/>
          <w:sz w:val="20"/>
          <w:szCs w:val="20"/>
        </w:rPr>
        <w:t xml:space="preserve">Table 1: Balance sheet summary and </w:t>
      </w:r>
      <w:r w:rsidR="00FF494C" w:rsidRPr="00A11E1A">
        <w:rPr>
          <w:rFonts w:ascii="Arial" w:hAnsi="Arial" w:cs="Arial"/>
          <w:sz w:val="20"/>
          <w:szCs w:val="20"/>
        </w:rPr>
        <w:t>forecast.</w:t>
      </w:r>
    </w:p>
    <w:p w14:paraId="2BACC77D" w14:textId="1E6DE379" w:rsidR="003C6CEA" w:rsidRPr="009F117F" w:rsidRDefault="003C6CEA" w:rsidP="00004683">
      <w:pPr>
        <w:spacing w:after="0"/>
        <w:jc w:val="both"/>
        <w:rPr>
          <w:rFonts w:ascii="Trebuchet MS" w:hAnsi="Trebuchet MS"/>
          <w:i/>
          <w:iCs/>
          <w:color w:val="FF0000"/>
          <w:sz w:val="20"/>
          <w:szCs w:val="20"/>
        </w:rPr>
      </w:pPr>
    </w:p>
    <w:tbl>
      <w:tblPr>
        <w:tblpPr w:leftFromText="180" w:rightFromText="180" w:vertAnchor="text" w:horzAnchor="margin" w:tblpXSpec="center" w:tblpY="160"/>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146"/>
        <w:gridCol w:w="1146"/>
        <w:gridCol w:w="1147"/>
        <w:gridCol w:w="1146"/>
        <w:gridCol w:w="1147"/>
      </w:tblGrid>
      <w:tr w:rsidR="00EC03E1" w:rsidRPr="00EC03E1" w14:paraId="6E8EF205" w14:textId="77777777">
        <w:tc>
          <w:tcPr>
            <w:tcW w:w="3510" w:type="dxa"/>
            <w:vAlign w:val="center"/>
          </w:tcPr>
          <w:p w14:paraId="16101FBE" w14:textId="77777777" w:rsidR="00EE2DB7" w:rsidRPr="00EC03E1" w:rsidRDefault="00EE2DB7" w:rsidP="00EE2DB7">
            <w:pPr>
              <w:spacing w:after="0"/>
              <w:rPr>
                <w:rFonts w:ascii="Arial" w:eastAsia="Times New Roman" w:hAnsi="Arial" w:cs="Arial"/>
                <w:bCs/>
                <w:sz w:val="20"/>
                <w:szCs w:val="20"/>
                <w:lang w:eastAsia="en-GB"/>
              </w:rPr>
            </w:pPr>
          </w:p>
        </w:tc>
        <w:tc>
          <w:tcPr>
            <w:tcW w:w="1146" w:type="dxa"/>
            <w:vAlign w:val="center"/>
          </w:tcPr>
          <w:p w14:paraId="0A7B8704" w14:textId="4162A44C" w:rsidR="00EE2DB7" w:rsidRPr="00EC03E1" w:rsidRDefault="00EE2DB7" w:rsidP="00EE2DB7">
            <w:pPr>
              <w:spacing w:after="0"/>
              <w:jc w:val="right"/>
              <w:rPr>
                <w:rFonts w:ascii="Trebuchet MS" w:eastAsia="Times New Roman" w:hAnsi="Trebuchet MS"/>
                <w:b/>
                <w:bCs/>
                <w:sz w:val="20"/>
                <w:szCs w:val="20"/>
                <w:lang w:eastAsia="en-GB"/>
              </w:rPr>
            </w:pPr>
            <w:r w:rsidRPr="00EC03E1">
              <w:rPr>
                <w:rFonts w:ascii="Trebuchet MS" w:eastAsia="Times New Roman" w:hAnsi="Trebuchet MS"/>
                <w:b/>
                <w:bCs/>
                <w:sz w:val="20"/>
                <w:szCs w:val="20"/>
                <w:lang w:eastAsia="en-GB"/>
              </w:rPr>
              <w:t>31.3.2</w:t>
            </w:r>
            <w:r w:rsidR="009F117F" w:rsidRPr="00EC03E1">
              <w:rPr>
                <w:rFonts w:ascii="Trebuchet MS" w:eastAsia="Times New Roman" w:hAnsi="Trebuchet MS"/>
                <w:b/>
                <w:bCs/>
                <w:sz w:val="20"/>
                <w:szCs w:val="20"/>
                <w:lang w:eastAsia="en-GB"/>
              </w:rPr>
              <w:t>5</w:t>
            </w:r>
          </w:p>
          <w:p w14:paraId="3FF76617" w14:textId="77777777" w:rsidR="00EE2DB7" w:rsidRPr="00EC03E1" w:rsidRDefault="00EE2DB7" w:rsidP="00EE2DB7">
            <w:pPr>
              <w:spacing w:after="0"/>
              <w:jc w:val="right"/>
              <w:rPr>
                <w:rFonts w:ascii="Trebuchet MS" w:eastAsia="Times New Roman" w:hAnsi="Trebuchet MS"/>
                <w:b/>
                <w:bCs/>
                <w:sz w:val="20"/>
                <w:szCs w:val="20"/>
                <w:lang w:eastAsia="en-GB"/>
              </w:rPr>
            </w:pPr>
            <w:r w:rsidRPr="00EC03E1">
              <w:rPr>
                <w:rFonts w:ascii="Trebuchet MS" w:eastAsia="Times New Roman" w:hAnsi="Trebuchet MS"/>
                <w:b/>
                <w:bCs/>
                <w:sz w:val="20"/>
                <w:szCs w:val="20"/>
                <w:lang w:eastAsia="en-GB"/>
              </w:rPr>
              <w:t>Actual</w:t>
            </w:r>
          </w:p>
          <w:p w14:paraId="6174F0C1" w14:textId="11145EB2" w:rsidR="00EE2DB7" w:rsidRPr="00EC03E1" w:rsidRDefault="00EE2DB7" w:rsidP="00EE2DB7">
            <w:pPr>
              <w:spacing w:after="0"/>
              <w:jc w:val="right"/>
              <w:rPr>
                <w:rFonts w:ascii="Arial" w:eastAsia="Times New Roman" w:hAnsi="Arial" w:cs="Arial"/>
                <w:b/>
                <w:bCs/>
                <w:sz w:val="20"/>
                <w:szCs w:val="20"/>
                <w:lang w:eastAsia="en-GB"/>
              </w:rPr>
            </w:pPr>
            <w:r w:rsidRPr="00EC03E1">
              <w:rPr>
                <w:rFonts w:ascii="Trebuchet MS" w:eastAsia="Times New Roman" w:hAnsi="Trebuchet MS"/>
                <w:b/>
                <w:bCs/>
                <w:sz w:val="20"/>
                <w:szCs w:val="20"/>
                <w:lang w:eastAsia="en-GB"/>
              </w:rPr>
              <w:t>£m</w:t>
            </w:r>
          </w:p>
        </w:tc>
        <w:tc>
          <w:tcPr>
            <w:tcW w:w="1146" w:type="dxa"/>
            <w:vAlign w:val="center"/>
          </w:tcPr>
          <w:p w14:paraId="63351992" w14:textId="11671B9E" w:rsidR="00EE2DB7" w:rsidRPr="00EC03E1" w:rsidRDefault="00EE2DB7" w:rsidP="00EE2DB7">
            <w:pPr>
              <w:spacing w:after="0"/>
              <w:jc w:val="right"/>
              <w:rPr>
                <w:rFonts w:ascii="Trebuchet MS" w:eastAsia="Times New Roman" w:hAnsi="Trebuchet MS"/>
                <w:b/>
                <w:bCs/>
                <w:sz w:val="20"/>
                <w:szCs w:val="20"/>
                <w:lang w:eastAsia="en-GB"/>
              </w:rPr>
            </w:pPr>
            <w:r w:rsidRPr="00EC03E1">
              <w:rPr>
                <w:rFonts w:ascii="Trebuchet MS" w:eastAsia="Times New Roman" w:hAnsi="Trebuchet MS"/>
                <w:b/>
                <w:bCs/>
                <w:sz w:val="20"/>
                <w:szCs w:val="20"/>
                <w:lang w:eastAsia="en-GB"/>
              </w:rPr>
              <w:t>31.3.2</w:t>
            </w:r>
            <w:r w:rsidR="009F117F" w:rsidRPr="00EC03E1">
              <w:rPr>
                <w:rFonts w:ascii="Trebuchet MS" w:eastAsia="Times New Roman" w:hAnsi="Trebuchet MS"/>
                <w:b/>
                <w:bCs/>
                <w:sz w:val="20"/>
                <w:szCs w:val="20"/>
                <w:lang w:eastAsia="en-GB"/>
              </w:rPr>
              <w:t>6</w:t>
            </w:r>
          </w:p>
          <w:p w14:paraId="0722DABF" w14:textId="77777777" w:rsidR="00EE2DB7" w:rsidRPr="00EC03E1" w:rsidRDefault="00EE2DB7" w:rsidP="00EE2DB7">
            <w:pPr>
              <w:spacing w:after="0"/>
              <w:jc w:val="right"/>
              <w:rPr>
                <w:rFonts w:ascii="Trebuchet MS" w:eastAsia="Times New Roman" w:hAnsi="Trebuchet MS"/>
                <w:b/>
                <w:bCs/>
                <w:sz w:val="20"/>
                <w:szCs w:val="20"/>
                <w:lang w:eastAsia="en-GB"/>
              </w:rPr>
            </w:pPr>
            <w:r w:rsidRPr="00EC03E1">
              <w:rPr>
                <w:rFonts w:ascii="Trebuchet MS" w:eastAsia="Times New Roman" w:hAnsi="Trebuchet MS"/>
                <w:b/>
                <w:bCs/>
                <w:sz w:val="20"/>
                <w:szCs w:val="20"/>
                <w:lang w:eastAsia="en-GB"/>
              </w:rPr>
              <w:t>Estimate</w:t>
            </w:r>
          </w:p>
          <w:p w14:paraId="5E7A0C2F" w14:textId="5F2E89A8" w:rsidR="00EE2DB7" w:rsidRPr="00EC03E1" w:rsidRDefault="00EE2DB7" w:rsidP="00EE2DB7">
            <w:pPr>
              <w:spacing w:after="0"/>
              <w:jc w:val="right"/>
              <w:rPr>
                <w:rFonts w:ascii="Arial" w:eastAsia="Times New Roman" w:hAnsi="Arial" w:cs="Arial"/>
                <w:b/>
                <w:bCs/>
                <w:sz w:val="20"/>
                <w:szCs w:val="20"/>
                <w:lang w:eastAsia="en-GB"/>
              </w:rPr>
            </w:pPr>
            <w:r w:rsidRPr="00EC03E1">
              <w:rPr>
                <w:rFonts w:ascii="Trebuchet MS" w:eastAsia="Times New Roman" w:hAnsi="Trebuchet MS"/>
                <w:b/>
                <w:bCs/>
                <w:sz w:val="20"/>
                <w:szCs w:val="20"/>
                <w:lang w:eastAsia="en-GB"/>
              </w:rPr>
              <w:t>£m</w:t>
            </w:r>
          </w:p>
        </w:tc>
        <w:tc>
          <w:tcPr>
            <w:tcW w:w="1147" w:type="dxa"/>
            <w:shd w:val="clear" w:color="auto" w:fill="EEECE1" w:themeFill="background2"/>
            <w:vAlign w:val="center"/>
          </w:tcPr>
          <w:p w14:paraId="6CEF8065" w14:textId="4B466763" w:rsidR="00EE2DB7" w:rsidRPr="00EC03E1" w:rsidRDefault="00EE2DB7" w:rsidP="00EE2DB7">
            <w:pPr>
              <w:spacing w:after="0"/>
              <w:jc w:val="right"/>
              <w:rPr>
                <w:rFonts w:ascii="Trebuchet MS" w:eastAsia="Times New Roman" w:hAnsi="Trebuchet MS"/>
                <w:b/>
                <w:bCs/>
                <w:sz w:val="20"/>
                <w:szCs w:val="20"/>
                <w:lang w:eastAsia="en-GB"/>
              </w:rPr>
            </w:pPr>
            <w:r w:rsidRPr="00EC03E1">
              <w:rPr>
                <w:rFonts w:ascii="Trebuchet MS" w:eastAsia="Times New Roman" w:hAnsi="Trebuchet MS"/>
                <w:b/>
                <w:bCs/>
                <w:sz w:val="20"/>
                <w:szCs w:val="20"/>
                <w:lang w:eastAsia="en-GB"/>
              </w:rPr>
              <w:t>31.3.2</w:t>
            </w:r>
            <w:r w:rsidR="009F117F" w:rsidRPr="00EC03E1">
              <w:rPr>
                <w:rFonts w:ascii="Trebuchet MS" w:eastAsia="Times New Roman" w:hAnsi="Trebuchet MS"/>
                <w:b/>
                <w:bCs/>
                <w:sz w:val="20"/>
                <w:szCs w:val="20"/>
                <w:lang w:eastAsia="en-GB"/>
              </w:rPr>
              <w:t>7</w:t>
            </w:r>
          </w:p>
          <w:p w14:paraId="3B1D88E5" w14:textId="77777777" w:rsidR="00EE2DB7" w:rsidRPr="00EC03E1" w:rsidRDefault="00EE2DB7" w:rsidP="00EE2DB7">
            <w:pPr>
              <w:spacing w:after="0"/>
              <w:jc w:val="right"/>
              <w:rPr>
                <w:rFonts w:ascii="Trebuchet MS" w:eastAsia="Times New Roman" w:hAnsi="Trebuchet MS"/>
                <w:b/>
                <w:bCs/>
                <w:sz w:val="20"/>
                <w:szCs w:val="20"/>
                <w:lang w:eastAsia="en-GB"/>
              </w:rPr>
            </w:pPr>
            <w:r w:rsidRPr="00EC03E1">
              <w:rPr>
                <w:rFonts w:ascii="Trebuchet MS" w:eastAsia="Times New Roman" w:hAnsi="Trebuchet MS"/>
                <w:b/>
                <w:bCs/>
                <w:sz w:val="20"/>
                <w:szCs w:val="20"/>
                <w:lang w:eastAsia="en-GB"/>
              </w:rPr>
              <w:t>Forecast</w:t>
            </w:r>
          </w:p>
          <w:p w14:paraId="7D0B0B29" w14:textId="771989BC" w:rsidR="00EE2DB7" w:rsidRPr="00EC03E1" w:rsidRDefault="00EE2DB7" w:rsidP="00EE2DB7">
            <w:pPr>
              <w:spacing w:after="0"/>
              <w:jc w:val="right"/>
              <w:rPr>
                <w:rFonts w:ascii="Arial" w:eastAsia="Times New Roman" w:hAnsi="Arial" w:cs="Arial"/>
                <w:b/>
                <w:bCs/>
                <w:sz w:val="20"/>
                <w:szCs w:val="20"/>
                <w:lang w:eastAsia="en-GB"/>
              </w:rPr>
            </w:pPr>
            <w:r w:rsidRPr="00EC03E1">
              <w:rPr>
                <w:rFonts w:ascii="Trebuchet MS" w:eastAsia="Times New Roman" w:hAnsi="Trebuchet MS"/>
                <w:b/>
                <w:bCs/>
                <w:sz w:val="20"/>
                <w:szCs w:val="20"/>
                <w:lang w:eastAsia="en-GB"/>
              </w:rPr>
              <w:t>£m</w:t>
            </w:r>
          </w:p>
        </w:tc>
        <w:tc>
          <w:tcPr>
            <w:tcW w:w="1146" w:type="dxa"/>
            <w:vAlign w:val="center"/>
          </w:tcPr>
          <w:p w14:paraId="2B529BDD" w14:textId="009F7ED1" w:rsidR="00EE2DB7" w:rsidRPr="00EC03E1" w:rsidRDefault="00EE2DB7" w:rsidP="00EE2DB7">
            <w:pPr>
              <w:spacing w:after="0"/>
              <w:jc w:val="right"/>
              <w:rPr>
                <w:rFonts w:ascii="Trebuchet MS" w:eastAsia="Times New Roman" w:hAnsi="Trebuchet MS"/>
                <w:b/>
                <w:bCs/>
                <w:sz w:val="20"/>
                <w:szCs w:val="20"/>
                <w:lang w:eastAsia="en-GB"/>
              </w:rPr>
            </w:pPr>
            <w:r w:rsidRPr="00EC03E1">
              <w:rPr>
                <w:rFonts w:ascii="Trebuchet MS" w:eastAsia="Times New Roman" w:hAnsi="Trebuchet MS"/>
                <w:b/>
                <w:bCs/>
                <w:sz w:val="20"/>
                <w:szCs w:val="20"/>
                <w:lang w:eastAsia="en-GB"/>
              </w:rPr>
              <w:t>31.3.2</w:t>
            </w:r>
            <w:r w:rsidR="009F117F" w:rsidRPr="00EC03E1">
              <w:rPr>
                <w:rFonts w:ascii="Trebuchet MS" w:eastAsia="Times New Roman" w:hAnsi="Trebuchet MS"/>
                <w:b/>
                <w:bCs/>
                <w:sz w:val="20"/>
                <w:szCs w:val="20"/>
                <w:lang w:eastAsia="en-GB"/>
              </w:rPr>
              <w:t>8</w:t>
            </w:r>
          </w:p>
          <w:p w14:paraId="1B32415B" w14:textId="77777777" w:rsidR="00EE2DB7" w:rsidRPr="00EC03E1" w:rsidRDefault="00EE2DB7" w:rsidP="00EE2DB7">
            <w:pPr>
              <w:spacing w:after="0"/>
              <w:jc w:val="right"/>
              <w:rPr>
                <w:rFonts w:ascii="Trebuchet MS" w:eastAsia="Times New Roman" w:hAnsi="Trebuchet MS"/>
                <w:b/>
                <w:bCs/>
                <w:sz w:val="20"/>
                <w:szCs w:val="20"/>
                <w:lang w:eastAsia="en-GB"/>
              </w:rPr>
            </w:pPr>
            <w:r w:rsidRPr="00EC03E1">
              <w:rPr>
                <w:rFonts w:ascii="Trebuchet MS" w:eastAsia="Times New Roman" w:hAnsi="Trebuchet MS"/>
                <w:b/>
                <w:bCs/>
                <w:sz w:val="20"/>
                <w:szCs w:val="20"/>
                <w:lang w:eastAsia="en-GB"/>
              </w:rPr>
              <w:t>Forecast</w:t>
            </w:r>
          </w:p>
          <w:p w14:paraId="5B01D30C" w14:textId="72021241" w:rsidR="00EE2DB7" w:rsidRPr="00EC03E1" w:rsidRDefault="00EE2DB7" w:rsidP="00EE2DB7">
            <w:pPr>
              <w:spacing w:after="0"/>
              <w:jc w:val="right"/>
              <w:rPr>
                <w:rFonts w:ascii="Arial" w:eastAsia="Times New Roman" w:hAnsi="Arial" w:cs="Arial"/>
                <w:b/>
                <w:bCs/>
                <w:sz w:val="20"/>
                <w:szCs w:val="20"/>
                <w:lang w:eastAsia="en-GB"/>
              </w:rPr>
            </w:pPr>
            <w:r w:rsidRPr="00EC03E1">
              <w:rPr>
                <w:rFonts w:ascii="Trebuchet MS" w:eastAsia="Times New Roman" w:hAnsi="Trebuchet MS"/>
                <w:b/>
                <w:bCs/>
                <w:sz w:val="20"/>
                <w:szCs w:val="20"/>
                <w:lang w:eastAsia="en-GB"/>
              </w:rPr>
              <w:t>£m</w:t>
            </w:r>
          </w:p>
        </w:tc>
        <w:tc>
          <w:tcPr>
            <w:tcW w:w="1147" w:type="dxa"/>
            <w:vAlign w:val="center"/>
          </w:tcPr>
          <w:p w14:paraId="47257F9D" w14:textId="440C2997" w:rsidR="00EE2DB7" w:rsidRPr="00EC03E1" w:rsidRDefault="00EE2DB7" w:rsidP="00EE2DB7">
            <w:pPr>
              <w:spacing w:after="0"/>
              <w:jc w:val="right"/>
              <w:rPr>
                <w:rFonts w:ascii="Trebuchet MS" w:eastAsia="Times New Roman" w:hAnsi="Trebuchet MS"/>
                <w:b/>
                <w:bCs/>
                <w:sz w:val="20"/>
                <w:szCs w:val="20"/>
                <w:lang w:eastAsia="en-GB"/>
              </w:rPr>
            </w:pPr>
            <w:r w:rsidRPr="00EC03E1">
              <w:rPr>
                <w:rFonts w:ascii="Trebuchet MS" w:eastAsia="Times New Roman" w:hAnsi="Trebuchet MS"/>
                <w:b/>
                <w:bCs/>
                <w:sz w:val="20"/>
                <w:szCs w:val="20"/>
                <w:lang w:eastAsia="en-GB"/>
              </w:rPr>
              <w:t>31.3.2</w:t>
            </w:r>
            <w:r w:rsidR="009F117F" w:rsidRPr="00EC03E1">
              <w:rPr>
                <w:rFonts w:ascii="Trebuchet MS" w:eastAsia="Times New Roman" w:hAnsi="Trebuchet MS"/>
                <w:b/>
                <w:bCs/>
                <w:sz w:val="20"/>
                <w:szCs w:val="20"/>
                <w:lang w:eastAsia="en-GB"/>
              </w:rPr>
              <w:t>9</w:t>
            </w:r>
          </w:p>
          <w:p w14:paraId="049D786A" w14:textId="77777777" w:rsidR="00EE2DB7" w:rsidRPr="00EC03E1" w:rsidRDefault="00EE2DB7" w:rsidP="00EE2DB7">
            <w:pPr>
              <w:spacing w:after="0"/>
              <w:jc w:val="right"/>
              <w:rPr>
                <w:rFonts w:ascii="Trebuchet MS" w:eastAsia="Times New Roman" w:hAnsi="Trebuchet MS"/>
                <w:b/>
                <w:bCs/>
                <w:sz w:val="20"/>
                <w:szCs w:val="20"/>
                <w:lang w:eastAsia="en-GB"/>
              </w:rPr>
            </w:pPr>
            <w:r w:rsidRPr="00EC03E1">
              <w:rPr>
                <w:rFonts w:ascii="Trebuchet MS" w:eastAsia="Times New Roman" w:hAnsi="Trebuchet MS"/>
                <w:b/>
                <w:bCs/>
                <w:sz w:val="20"/>
                <w:szCs w:val="20"/>
                <w:lang w:eastAsia="en-GB"/>
              </w:rPr>
              <w:t>Forecast</w:t>
            </w:r>
          </w:p>
          <w:p w14:paraId="5EEE1455" w14:textId="28212DD6" w:rsidR="00EE2DB7" w:rsidRPr="00EC03E1" w:rsidRDefault="00EE2DB7" w:rsidP="00EE2DB7">
            <w:pPr>
              <w:spacing w:after="0"/>
              <w:jc w:val="right"/>
              <w:rPr>
                <w:rFonts w:ascii="Arial" w:eastAsia="Times New Roman" w:hAnsi="Arial" w:cs="Arial"/>
                <w:b/>
                <w:bCs/>
                <w:sz w:val="20"/>
                <w:szCs w:val="20"/>
                <w:lang w:eastAsia="en-GB"/>
              </w:rPr>
            </w:pPr>
            <w:r w:rsidRPr="00EC03E1">
              <w:rPr>
                <w:rFonts w:ascii="Trebuchet MS" w:eastAsia="Times New Roman" w:hAnsi="Trebuchet MS"/>
                <w:b/>
                <w:bCs/>
                <w:sz w:val="20"/>
                <w:szCs w:val="20"/>
                <w:lang w:eastAsia="en-GB"/>
              </w:rPr>
              <w:t>£m</w:t>
            </w:r>
          </w:p>
        </w:tc>
      </w:tr>
      <w:tr w:rsidR="00EC03E1" w:rsidRPr="00EC03E1" w14:paraId="55F0E013" w14:textId="77777777">
        <w:trPr>
          <w:trHeight w:val="340"/>
        </w:trPr>
        <w:tc>
          <w:tcPr>
            <w:tcW w:w="3510" w:type="dxa"/>
            <w:vAlign w:val="center"/>
          </w:tcPr>
          <w:p w14:paraId="7CE78E4B" w14:textId="77777777" w:rsidR="002F3514" w:rsidRPr="00EC03E1" w:rsidRDefault="002F3514" w:rsidP="002F3514">
            <w:pPr>
              <w:spacing w:after="0"/>
              <w:rPr>
                <w:rFonts w:ascii="Arial" w:eastAsia="Times New Roman" w:hAnsi="Arial" w:cs="Arial"/>
                <w:sz w:val="20"/>
                <w:szCs w:val="20"/>
                <w:lang w:eastAsia="en-GB"/>
              </w:rPr>
            </w:pPr>
            <w:r w:rsidRPr="00EC03E1">
              <w:rPr>
                <w:rFonts w:ascii="Arial" w:eastAsia="Times New Roman" w:hAnsi="Arial" w:cs="Arial"/>
                <w:sz w:val="20"/>
                <w:szCs w:val="20"/>
                <w:lang w:eastAsia="en-GB"/>
              </w:rPr>
              <w:t>Capital financing requirement</w:t>
            </w:r>
          </w:p>
        </w:tc>
        <w:tc>
          <w:tcPr>
            <w:tcW w:w="1146" w:type="dxa"/>
            <w:vAlign w:val="center"/>
          </w:tcPr>
          <w:p w14:paraId="5A4AC36A" w14:textId="70B63CE7"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rPr>
              <w:t xml:space="preserve">71.0 </w:t>
            </w:r>
          </w:p>
        </w:tc>
        <w:tc>
          <w:tcPr>
            <w:tcW w:w="1146" w:type="dxa"/>
            <w:vAlign w:val="center"/>
          </w:tcPr>
          <w:p w14:paraId="01379034" w14:textId="57CBD4AF"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rPr>
              <w:t xml:space="preserve">102.0 </w:t>
            </w:r>
          </w:p>
        </w:tc>
        <w:tc>
          <w:tcPr>
            <w:tcW w:w="1147" w:type="dxa"/>
            <w:shd w:val="clear" w:color="auto" w:fill="EEECE1" w:themeFill="background2"/>
            <w:vAlign w:val="center"/>
          </w:tcPr>
          <w:p w14:paraId="4BA3D46F" w14:textId="5C96E4B4"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rPr>
              <w:t xml:space="preserve">99.6 </w:t>
            </w:r>
          </w:p>
        </w:tc>
        <w:tc>
          <w:tcPr>
            <w:tcW w:w="1146" w:type="dxa"/>
            <w:vAlign w:val="center"/>
          </w:tcPr>
          <w:p w14:paraId="67199358" w14:textId="1852E119"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rPr>
              <w:t xml:space="preserve">95.8 </w:t>
            </w:r>
          </w:p>
        </w:tc>
        <w:tc>
          <w:tcPr>
            <w:tcW w:w="1147" w:type="dxa"/>
            <w:vAlign w:val="center"/>
          </w:tcPr>
          <w:p w14:paraId="5B368749" w14:textId="0A59A590" w:rsidR="002F3514" w:rsidRPr="00EC03E1" w:rsidRDefault="002F3514" w:rsidP="002F3514">
            <w:pPr>
              <w:spacing w:after="0"/>
              <w:jc w:val="right"/>
              <w:rPr>
                <w:rFonts w:ascii="Trebuchet MS" w:eastAsia="Times New Roman" w:hAnsi="Trebuchet MS"/>
                <w:b/>
                <w:bCs/>
                <w:sz w:val="20"/>
                <w:szCs w:val="20"/>
                <w:lang w:eastAsia="en-GB"/>
              </w:rPr>
            </w:pPr>
            <w:r w:rsidRPr="00EC03E1">
              <w:rPr>
                <w:rFonts w:ascii="Arial" w:hAnsi="Arial" w:cs="Arial"/>
              </w:rPr>
              <w:t xml:space="preserve">93.5 </w:t>
            </w:r>
          </w:p>
        </w:tc>
      </w:tr>
      <w:tr w:rsidR="00EC03E1" w:rsidRPr="00EC03E1" w14:paraId="104AA9F6" w14:textId="77777777">
        <w:trPr>
          <w:trHeight w:val="340"/>
        </w:trPr>
        <w:tc>
          <w:tcPr>
            <w:tcW w:w="3510" w:type="dxa"/>
            <w:vAlign w:val="center"/>
          </w:tcPr>
          <w:p w14:paraId="14D1099A" w14:textId="6420133C" w:rsidR="002F3514" w:rsidRPr="00EC03E1" w:rsidRDefault="002F3514" w:rsidP="002F3514">
            <w:pPr>
              <w:spacing w:after="0"/>
              <w:rPr>
                <w:rFonts w:ascii="Arial" w:eastAsia="Times New Roman" w:hAnsi="Arial" w:cs="Arial"/>
                <w:bCs/>
                <w:sz w:val="20"/>
                <w:szCs w:val="20"/>
                <w:lang w:eastAsia="en-GB"/>
              </w:rPr>
            </w:pPr>
            <w:r w:rsidRPr="00EC03E1">
              <w:rPr>
                <w:rFonts w:ascii="Arial" w:eastAsia="Times New Roman" w:hAnsi="Arial" w:cs="Arial"/>
                <w:bCs/>
                <w:sz w:val="20"/>
                <w:szCs w:val="20"/>
                <w:lang w:eastAsia="en-GB"/>
              </w:rPr>
              <w:t xml:space="preserve">Less: Other debt liabilities * </w:t>
            </w:r>
          </w:p>
        </w:tc>
        <w:tc>
          <w:tcPr>
            <w:tcW w:w="1146" w:type="dxa"/>
            <w:vAlign w:val="center"/>
          </w:tcPr>
          <w:p w14:paraId="326A2479" w14:textId="782885DF" w:rsidR="002F3514" w:rsidRPr="00EC03E1" w:rsidRDefault="002F3514" w:rsidP="002F3514">
            <w:pPr>
              <w:spacing w:after="0"/>
              <w:jc w:val="right"/>
              <w:rPr>
                <w:rFonts w:ascii="Arial" w:eastAsia="Times New Roman" w:hAnsi="Arial" w:cs="Arial"/>
                <w:bCs/>
                <w:sz w:val="20"/>
                <w:szCs w:val="20"/>
                <w:lang w:eastAsia="en-GB"/>
              </w:rPr>
            </w:pPr>
            <w:r w:rsidRPr="00EC03E1">
              <w:rPr>
                <w:rFonts w:ascii="Arial" w:hAnsi="Arial" w:cs="Arial"/>
              </w:rPr>
              <w:t xml:space="preserve">-16.7 </w:t>
            </w:r>
          </w:p>
        </w:tc>
        <w:tc>
          <w:tcPr>
            <w:tcW w:w="1146" w:type="dxa"/>
            <w:vAlign w:val="center"/>
          </w:tcPr>
          <w:p w14:paraId="2D061365" w14:textId="582965F1" w:rsidR="002F3514" w:rsidRPr="00EC03E1" w:rsidRDefault="002F3514" w:rsidP="002F3514">
            <w:pPr>
              <w:spacing w:after="0"/>
              <w:jc w:val="right"/>
              <w:rPr>
                <w:rFonts w:ascii="Arial" w:eastAsia="Times New Roman" w:hAnsi="Arial" w:cs="Arial"/>
                <w:bCs/>
                <w:sz w:val="20"/>
                <w:szCs w:val="20"/>
                <w:lang w:eastAsia="en-GB"/>
              </w:rPr>
            </w:pPr>
            <w:r w:rsidRPr="00EC03E1">
              <w:rPr>
                <w:rFonts w:ascii="Arial" w:hAnsi="Arial" w:cs="Arial"/>
              </w:rPr>
              <w:t xml:space="preserve">-15.6 </w:t>
            </w:r>
          </w:p>
        </w:tc>
        <w:tc>
          <w:tcPr>
            <w:tcW w:w="1147" w:type="dxa"/>
            <w:shd w:val="clear" w:color="auto" w:fill="EEECE1" w:themeFill="background2"/>
            <w:vAlign w:val="center"/>
          </w:tcPr>
          <w:p w14:paraId="5D22D092" w14:textId="644A6E5E" w:rsidR="002F3514" w:rsidRPr="00EC03E1" w:rsidRDefault="002F3514" w:rsidP="002F3514">
            <w:pPr>
              <w:spacing w:after="0"/>
              <w:jc w:val="right"/>
              <w:rPr>
                <w:rFonts w:ascii="Arial" w:eastAsia="Times New Roman" w:hAnsi="Arial" w:cs="Arial"/>
                <w:bCs/>
                <w:sz w:val="20"/>
                <w:szCs w:val="20"/>
                <w:lang w:eastAsia="en-GB"/>
              </w:rPr>
            </w:pPr>
            <w:r w:rsidRPr="00EC03E1">
              <w:rPr>
                <w:rFonts w:ascii="Arial" w:hAnsi="Arial" w:cs="Arial"/>
              </w:rPr>
              <w:t xml:space="preserve">-13.7 </w:t>
            </w:r>
          </w:p>
        </w:tc>
        <w:tc>
          <w:tcPr>
            <w:tcW w:w="1146" w:type="dxa"/>
            <w:vAlign w:val="center"/>
          </w:tcPr>
          <w:p w14:paraId="1BA86ACD" w14:textId="3AD92184" w:rsidR="002F3514" w:rsidRPr="00EC03E1" w:rsidRDefault="002F3514" w:rsidP="002F3514">
            <w:pPr>
              <w:spacing w:after="0"/>
              <w:jc w:val="right"/>
              <w:rPr>
                <w:rFonts w:ascii="Arial" w:eastAsia="Times New Roman" w:hAnsi="Arial" w:cs="Arial"/>
                <w:bCs/>
                <w:sz w:val="20"/>
                <w:szCs w:val="20"/>
                <w:lang w:eastAsia="en-GB"/>
              </w:rPr>
            </w:pPr>
            <w:r w:rsidRPr="00EC03E1">
              <w:rPr>
                <w:rFonts w:ascii="Arial" w:hAnsi="Arial" w:cs="Arial"/>
              </w:rPr>
              <w:t xml:space="preserve">-11.7 </w:t>
            </w:r>
          </w:p>
        </w:tc>
        <w:tc>
          <w:tcPr>
            <w:tcW w:w="1147" w:type="dxa"/>
            <w:vAlign w:val="center"/>
          </w:tcPr>
          <w:p w14:paraId="2715F452" w14:textId="7002B50F" w:rsidR="002F3514" w:rsidRPr="00EC03E1" w:rsidRDefault="002F3514" w:rsidP="002F3514">
            <w:pPr>
              <w:spacing w:after="0"/>
              <w:jc w:val="right"/>
              <w:rPr>
                <w:rFonts w:ascii="Trebuchet MS" w:eastAsia="Times New Roman" w:hAnsi="Trebuchet MS"/>
                <w:bCs/>
                <w:sz w:val="20"/>
                <w:szCs w:val="20"/>
                <w:lang w:eastAsia="en-GB"/>
              </w:rPr>
            </w:pPr>
            <w:r w:rsidRPr="00EC03E1">
              <w:rPr>
                <w:rFonts w:ascii="Arial" w:hAnsi="Arial" w:cs="Arial"/>
              </w:rPr>
              <w:t xml:space="preserve">-9.9 </w:t>
            </w:r>
          </w:p>
        </w:tc>
      </w:tr>
      <w:tr w:rsidR="00EC03E1" w:rsidRPr="00EC03E1" w14:paraId="40EDBF24" w14:textId="77777777">
        <w:trPr>
          <w:trHeight w:val="340"/>
        </w:trPr>
        <w:tc>
          <w:tcPr>
            <w:tcW w:w="3510" w:type="dxa"/>
            <w:vAlign w:val="center"/>
          </w:tcPr>
          <w:p w14:paraId="1B66F060" w14:textId="2E47B7DF" w:rsidR="002F3514" w:rsidRPr="00EC03E1" w:rsidRDefault="002F3514" w:rsidP="002F3514">
            <w:pPr>
              <w:spacing w:after="0"/>
              <w:rPr>
                <w:rFonts w:ascii="Arial" w:eastAsia="Times New Roman" w:hAnsi="Arial" w:cs="Arial"/>
                <w:b/>
                <w:bCs/>
                <w:sz w:val="20"/>
                <w:szCs w:val="20"/>
                <w:lang w:eastAsia="en-GB"/>
              </w:rPr>
            </w:pPr>
            <w:r w:rsidRPr="00EC03E1">
              <w:rPr>
                <w:rFonts w:ascii="Arial" w:eastAsia="Times New Roman" w:hAnsi="Arial" w:cs="Arial"/>
                <w:b/>
                <w:bCs/>
                <w:sz w:val="20"/>
                <w:szCs w:val="20"/>
                <w:lang w:eastAsia="en-GB"/>
              </w:rPr>
              <w:t xml:space="preserve">Loans CFR </w:t>
            </w:r>
          </w:p>
        </w:tc>
        <w:tc>
          <w:tcPr>
            <w:tcW w:w="1146" w:type="dxa"/>
            <w:vAlign w:val="center"/>
          </w:tcPr>
          <w:p w14:paraId="57205A95" w14:textId="3029B413"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b/>
                <w:bCs/>
              </w:rPr>
              <w:t xml:space="preserve">54.3 </w:t>
            </w:r>
          </w:p>
        </w:tc>
        <w:tc>
          <w:tcPr>
            <w:tcW w:w="1146" w:type="dxa"/>
            <w:vAlign w:val="center"/>
          </w:tcPr>
          <w:p w14:paraId="0F3FD974" w14:textId="27B80D8E"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b/>
                <w:bCs/>
              </w:rPr>
              <w:t xml:space="preserve">86.4 </w:t>
            </w:r>
          </w:p>
        </w:tc>
        <w:tc>
          <w:tcPr>
            <w:tcW w:w="1147" w:type="dxa"/>
            <w:shd w:val="clear" w:color="auto" w:fill="EEECE1" w:themeFill="background2"/>
            <w:vAlign w:val="center"/>
          </w:tcPr>
          <w:p w14:paraId="1F85EA05" w14:textId="493CD386"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b/>
                <w:bCs/>
              </w:rPr>
              <w:t xml:space="preserve">85.9 </w:t>
            </w:r>
          </w:p>
        </w:tc>
        <w:tc>
          <w:tcPr>
            <w:tcW w:w="1146" w:type="dxa"/>
            <w:vAlign w:val="center"/>
          </w:tcPr>
          <w:p w14:paraId="6F6F821A" w14:textId="2DC60E92"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b/>
                <w:bCs/>
              </w:rPr>
              <w:t xml:space="preserve">84.1 </w:t>
            </w:r>
          </w:p>
        </w:tc>
        <w:tc>
          <w:tcPr>
            <w:tcW w:w="1147" w:type="dxa"/>
            <w:vAlign w:val="center"/>
          </w:tcPr>
          <w:p w14:paraId="23DF19CE" w14:textId="350929E9" w:rsidR="002F3514" w:rsidRPr="00EC03E1" w:rsidRDefault="002F3514" w:rsidP="002F3514">
            <w:pPr>
              <w:spacing w:after="0"/>
              <w:jc w:val="right"/>
              <w:rPr>
                <w:rFonts w:ascii="Trebuchet MS" w:eastAsia="Times New Roman" w:hAnsi="Trebuchet MS"/>
                <w:b/>
                <w:bCs/>
                <w:sz w:val="20"/>
                <w:szCs w:val="20"/>
                <w:lang w:eastAsia="en-GB"/>
              </w:rPr>
            </w:pPr>
            <w:r w:rsidRPr="00EC03E1">
              <w:rPr>
                <w:rFonts w:ascii="Arial" w:hAnsi="Arial" w:cs="Arial"/>
                <w:b/>
                <w:bCs/>
              </w:rPr>
              <w:t xml:space="preserve">83.6 </w:t>
            </w:r>
          </w:p>
        </w:tc>
      </w:tr>
      <w:tr w:rsidR="00EC03E1" w:rsidRPr="00EC03E1" w14:paraId="402A3BE2" w14:textId="77777777">
        <w:trPr>
          <w:trHeight w:val="340"/>
        </w:trPr>
        <w:tc>
          <w:tcPr>
            <w:tcW w:w="3510" w:type="dxa"/>
            <w:vAlign w:val="center"/>
          </w:tcPr>
          <w:p w14:paraId="7BCA909B" w14:textId="77777777" w:rsidR="002F3514" w:rsidRPr="00EC03E1" w:rsidRDefault="002F3514" w:rsidP="002F3514">
            <w:pPr>
              <w:spacing w:after="0"/>
              <w:rPr>
                <w:rFonts w:ascii="Arial" w:eastAsia="Times New Roman" w:hAnsi="Arial" w:cs="Arial"/>
                <w:bCs/>
                <w:sz w:val="20"/>
                <w:szCs w:val="20"/>
                <w:lang w:eastAsia="en-GB"/>
              </w:rPr>
            </w:pPr>
            <w:r w:rsidRPr="00EC03E1">
              <w:rPr>
                <w:rFonts w:ascii="Arial" w:eastAsia="Times New Roman" w:hAnsi="Arial" w:cs="Arial"/>
                <w:bCs/>
                <w:sz w:val="20"/>
                <w:szCs w:val="20"/>
                <w:lang w:eastAsia="en-GB"/>
              </w:rPr>
              <w:t>Less: External borrowing **</w:t>
            </w:r>
          </w:p>
        </w:tc>
        <w:tc>
          <w:tcPr>
            <w:tcW w:w="1146" w:type="dxa"/>
            <w:vAlign w:val="center"/>
          </w:tcPr>
          <w:p w14:paraId="251A83EB" w14:textId="0CD79BF6" w:rsidR="002F3514" w:rsidRPr="00EC03E1" w:rsidRDefault="002F3514" w:rsidP="002F3514">
            <w:pPr>
              <w:spacing w:after="0"/>
              <w:jc w:val="right"/>
              <w:rPr>
                <w:rFonts w:ascii="Arial" w:eastAsia="Times New Roman" w:hAnsi="Arial" w:cs="Arial"/>
                <w:bCs/>
                <w:sz w:val="20"/>
                <w:szCs w:val="20"/>
                <w:lang w:eastAsia="en-GB"/>
              </w:rPr>
            </w:pPr>
            <w:r w:rsidRPr="00EC03E1">
              <w:rPr>
                <w:rFonts w:ascii="Arial" w:hAnsi="Arial" w:cs="Arial"/>
              </w:rPr>
              <w:t xml:space="preserve">-22.0 </w:t>
            </w:r>
          </w:p>
        </w:tc>
        <w:tc>
          <w:tcPr>
            <w:tcW w:w="1146" w:type="dxa"/>
            <w:vAlign w:val="center"/>
          </w:tcPr>
          <w:p w14:paraId="0543A0B9" w14:textId="3F998F64" w:rsidR="002F3514" w:rsidRPr="00EC03E1" w:rsidRDefault="002F3514" w:rsidP="002F3514">
            <w:pPr>
              <w:spacing w:after="0"/>
              <w:jc w:val="right"/>
              <w:rPr>
                <w:rFonts w:ascii="Arial" w:eastAsia="Times New Roman" w:hAnsi="Arial" w:cs="Arial"/>
                <w:bCs/>
                <w:sz w:val="20"/>
                <w:szCs w:val="20"/>
                <w:lang w:eastAsia="en-GB"/>
              </w:rPr>
            </w:pPr>
            <w:r w:rsidRPr="00EC03E1">
              <w:rPr>
                <w:rFonts w:ascii="Arial" w:hAnsi="Arial" w:cs="Arial"/>
              </w:rPr>
              <w:t xml:space="preserve">-39.0 </w:t>
            </w:r>
          </w:p>
        </w:tc>
        <w:tc>
          <w:tcPr>
            <w:tcW w:w="1147" w:type="dxa"/>
            <w:shd w:val="clear" w:color="auto" w:fill="EEECE1" w:themeFill="background2"/>
            <w:vAlign w:val="center"/>
          </w:tcPr>
          <w:p w14:paraId="0E797E3A" w14:textId="145D70B4" w:rsidR="002F3514" w:rsidRPr="00EC03E1" w:rsidRDefault="002F3514" w:rsidP="002F3514">
            <w:pPr>
              <w:spacing w:after="0"/>
              <w:jc w:val="right"/>
              <w:rPr>
                <w:rFonts w:ascii="Arial" w:eastAsia="Times New Roman" w:hAnsi="Arial" w:cs="Arial"/>
                <w:bCs/>
                <w:sz w:val="20"/>
                <w:szCs w:val="20"/>
                <w:lang w:eastAsia="en-GB"/>
              </w:rPr>
            </w:pPr>
            <w:r w:rsidRPr="00EC03E1">
              <w:rPr>
                <w:rFonts w:ascii="Arial" w:hAnsi="Arial" w:cs="Arial"/>
              </w:rPr>
              <w:t xml:space="preserve">-36.1 </w:t>
            </w:r>
          </w:p>
        </w:tc>
        <w:tc>
          <w:tcPr>
            <w:tcW w:w="1146" w:type="dxa"/>
            <w:vAlign w:val="center"/>
          </w:tcPr>
          <w:p w14:paraId="65EC2034" w14:textId="65016FC2" w:rsidR="002F3514" w:rsidRPr="00EC03E1" w:rsidRDefault="002F3514" w:rsidP="002F3514">
            <w:pPr>
              <w:spacing w:after="0"/>
              <w:jc w:val="right"/>
              <w:rPr>
                <w:rFonts w:ascii="Arial" w:eastAsia="Times New Roman" w:hAnsi="Arial" w:cs="Arial"/>
                <w:bCs/>
                <w:sz w:val="20"/>
                <w:szCs w:val="20"/>
                <w:lang w:eastAsia="en-GB"/>
              </w:rPr>
            </w:pPr>
            <w:r w:rsidRPr="00EC03E1">
              <w:rPr>
                <w:rFonts w:ascii="Arial" w:hAnsi="Arial" w:cs="Arial"/>
              </w:rPr>
              <w:t xml:space="preserve">-33.2 </w:t>
            </w:r>
          </w:p>
        </w:tc>
        <w:tc>
          <w:tcPr>
            <w:tcW w:w="1147" w:type="dxa"/>
            <w:vAlign w:val="center"/>
          </w:tcPr>
          <w:p w14:paraId="2E9C6061" w14:textId="6614B70B" w:rsidR="002F3514" w:rsidRPr="00EC03E1" w:rsidRDefault="002F3514" w:rsidP="002F3514">
            <w:pPr>
              <w:spacing w:after="0"/>
              <w:jc w:val="right"/>
              <w:rPr>
                <w:rFonts w:ascii="Trebuchet MS" w:eastAsia="Times New Roman" w:hAnsi="Trebuchet MS"/>
                <w:bCs/>
                <w:sz w:val="20"/>
                <w:szCs w:val="20"/>
                <w:lang w:eastAsia="en-GB"/>
              </w:rPr>
            </w:pPr>
            <w:r w:rsidRPr="00EC03E1">
              <w:rPr>
                <w:rFonts w:ascii="Arial" w:hAnsi="Arial" w:cs="Arial"/>
              </w:rPr>
              <w:t xml:space="preserve">-30.3 </w:t>
            </w:r>
          </w:p>
        </w:tc>
      </w:tr>
      <w:tr w:rsidR="00EC03E1" w:rsidRPr="00EC03E1" w14:paraId="41DA2C09" w14:textId="77777777">
        <w:trPr>
          <w:trHeight w:val="340"/>
        </w:trPr>
        <w:tc>
          <w:tcPr>
            <w:tcW w:w="3510" w:type="dxa"/>
            <w:vAlign w:val="center"/>
          </w:tcPr>
          <w:p w14:paraId="2F48345B" w14:textId="77777777" w:rsidR="002F3514" w:rsidRPr="00EC03E1" w:rsidRDefault="002F3514" w:rsidP="002F3514">
            <w:pPr>
              <w:spacing w:after="0"/>
              <w:rPr>
                <w:rFonts w:ascii="Arial" w:eastAsia="Times New Roman" w:hAnsi="Arial" w:cs="Arial"/>
                <w:b/>
                <w:bCs/>
                <w:sz w:val="20"/>
                <w:szCs w:val="20"/>
                <w:lang w:eastAsia="en-GB"/>
              </w:rPr>
            </w:pPr>
            <w:r w:rsidRPr="00EC03E1">
              <w:rPr>
                <w:rFonts w:ascii="Arial" w:eastAsia="Times New Roman" w:hAnsi="Arial" w:cs="Arial"/>
                <w:b/>
                <w:bCs/>
                <w:sz w:val="20"/>
                <w:szCs w:val="20"/>
                <w:lang w:eastAsia="en-GB"/>
              </w:rPr>
              <w:t>Internal (over) borrowing</w:t>
            </w:r>
          </w:p>
        </w:tc>
        <w:tc>
          <w:tcPr>
            <w:tcW w:w="1146" w:type="dxa"/>
            <w:vAlign w:val="center"/>
          </w:tcPr>
          <w:p w14:paraId="000D4614" w14:textId="16276D2E"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b/>
                <w:bCs/>
              </w:rPr>
              <w:t xml:space="preserve">32.3 </w:t>
            </w:r>
          </w:p>
        </w:tc>
        <w:tc>
          <w:tcPr>
            <w:tcW w:w="1146" w:type="dxa"/>
            <w:vAlign w:val="center"/>
          </w:tcPr>
          <w:p w14:paraId="18461787" w14:textId="2E77815E"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b/>
                <w:bCs/>
              </w:rPr>
              <w:t xml:space="preserve">47.4 </w:t>
            </w:r>
          </w:p>
        </w:tc>
        <w:tc>
          <w:tcPr>
            <w:tcW w:w="1147" w:type="dxa"/>
            <w:shd w:val="clear" w:color="auto" w:fill="EEECE1" w:themeFill="background2"/>
            <w:vAlign w:val="center"/>
          </w:tcPr>
          <w:p w14:paraId="54015A9A" w14:textId="670B7427"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b/>
                <w:bCs/>
              </w:rPr>
              <w:t xml:space="preserve">49.8 </w:t>
            </w:r>
          </w:p>
        </w:tc>
        <w:tc>
          <w:tcPr>
            <w:tcW w:w="1146" w:type="dxa"/>
            <w:vAlign w:val="center"/>
          </w:tcPr>
          <w:p w14:paraId="52FDB528" w14:textId="230D980F"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b/>
                <w:bCs/>
              </w:rPr>
              <w:t xml:space="preserve">50.9 </w:t>
            </w:r>
          </w:p>
        </w:tc>
        <w:tc>
          <w:tcPr>
            <w:tcW w:w="1147" w:type="dxa"/>
            <w:vAlign w:val="center"/>
          </w:tcPr>
          <w:p w14:paraId="6A1BA6C8" w14:textId="230C029E" w:rsidR="002F3514" w:rsidRPr="00EC03E1" w:rsidRDefault="002F3514" w:rsidP="002F3514">
            <w:pPr>
              <w:spacing w:after="0"/>
              <w:jc w:val="right"/>
              <w:rPr>
                <w:rFonts w:ascii="Trebuchet MS" w:eastAsia="Times New Roman" w:hAnsi="Trebuchet MS"/>
                <w:b/>
                <w:bCs/>
                <w:sz w:val="20"/>
                <w:szCs w:val="20"/>
                <w:lang w:eastAsia="en-GB"/>
              </w:rPr>
            </w:pPr>
            <w:r w:rsidRPr="00EC03E1">
              <w:rPr>
                <w:rFonts w:ascii="Arial" w:hAnsi="Arial" w:cs="Arial"/>
                <w:b/>
                <w:bCs/>
              </w:rPr>
              <w:t xml:space="preserve">53.3 </w:t>
            </w:r>
          </w:p>
        </w:tc>
      </w:tr>
      <w:tr w:rsidR="00EC03E1" w:rsidRPr="00EC03E1" w14:paraId="4ECA0EFB" w14:textId="77777777">
        <w:trPr>
          <w:trHeight w:val="340"/>
        </w:trPr>
        <w:tc>
          <w:tcPr>
            <w:tcW w:w="3510" w:type="dxa"/>
            <w:vAlign w:val="center"/>
          </w:tcPr>
          <w:p w14:paraId="69D825E4" w14:textId="77777777" w:rsidR="002F3514" w:rsidRPr="00EC03E1" w:rsidRDefault="002F3514" w:rsidP="002F3514">
            <w:pPr>
              <w:spacing w:after="0"/>
              <w:rPr>
                <w:rFonts w:ascii="Arial" w:eastAsia="Times New Roman" w:hAnsi="Arial" w:cs="Arial"/>
                <w:bCs/>
                <w:sz w:val="20"/>
                <w:szCs w:val="20"/>
                <w:lang w:eastAsia="en-GB"/>
              </w:rPr>
            </w:pPr>
            <w:r w:rsidRPr="00EC03E1">
              <w:rPr>
                <w:rFonts w:ascii="Arial" w:eastAsia="Times New Roman" w:hAnsi="Arial" w:cs="Arial"/>
                <w:bCs/>
                <w:sz w:val="20"/>
                <w:szCs w:val="20"/>
                <w:lang w:eastAsia="en-GB"/>
              </w:rPr>
              <w:t>Less: Balance sheet resources</w:t>
            </w:r>
          </w:p>
        </w:tc>
        <w:tc>
          <w:tcPr>
            <w:tcW w:w="1146" w:type="dxa"/>
            <w:vAlign w:val="center"/>
          </w:tcPr>
          <w:p w14:paraId="243286C1" w14:textId="425DFD91" w:rsidR="002F3514" w:rsidRPr="00EC03E1" w:rsidRDefault="002F3514" w:rsidP="002F3514">
            <w:pPr>
              <w:spacing w:after="0"/>
              <w:jc w:val="right"/>
              <w:rPr>
                <w:rFonts w:ascii="Arial" w:eastAsia="Times New Roman" w:hAnsi="Arial" w:cs="Arial"/>
                <w:bCs/>
                <w:sz w:val="20"/>
                <w:szCs w:val="20"/>
                <w:lang w:eastAsia="en-GB"/>
              </w:rPr>
            </w:pPr>
            <w:r w:rsidRPr="00EC03E1">
              <w:rPr>
                <w:rFonts w:ascii="Arial" w:hAnsi="Arial" w:cs="Arial"/>
              </w:rPr>
              <w:t xml:space="preserve">-49.5 </w:t>
            </w:r>
          </w:p>
        </w:tc>
        <w:tc>
          <w:tcPr>
            <w:tcW w:w="1146" w:type="dxa"/>
            <w:vAlign w:val="center"/>
          </w:tcPr>
          <w:p w14:paraId="4168554F" w14:textId="5AB028F6" w:rsidR="002F3514" w:rsidRPr="00EC03E1" w:rsidRDefault="002F3514" w:rsidP="002F3514">
            <w:pPr>
              <w:spacing w:after="0"/>
              <w:jc w:val="right"/>
              <w:rPr>
                <w:rFonts w:ascii="Arial" w:eastAsia="Times New Roman" w:hAnsi="Arial" w:cs="Arial"/>
                <w:bCs/>
                <w:sz w:val="20"/>
                <w:szCs w:val="20"/>
                <w:lang w:eastAsia="en-GB"/>
              </w:rPr>
            </w:pPr>
            <w:r w:rsidRPr="00EC03E1">
              <w:rPr>
                <w:rFonts w:ascii="Arial" w:hAnsi="Arial" w:cs="Arial"/>
              </w:rPr>
              <w:t xml:space="preserve">-49.5 </w:t>
            </w:r>
          </w:p>
        </w:tc>
        <w:tc>
          <w:tcPr>
            <w:tcW w:w="1147" w:type="dxa"/>
            <w:shd w:val="clear" w:color="auto" w:fill="EEECE1" w:themeFill="background2"/>
            <w:vAlign w:val="center"/>
          </w:tcPr>
          <w:p w14:paraId="5A9D7E35" w14:textId="7898753D" w:rsidR="002F3514" w:rsidRPr="00EC03E1" w:rsidRDefault="002F3514" w:rsidP="002F3514">
            <w:pPr>
              <w:spacing w:after="0"/>
              <w:jc w:val="right"/>
              <w:rPr>
                <w:rFonts w:ascii="Arial" w:eastAsia="Times New Roman" w:hAnsi="Arial" w:cs="Arial"/>
                <w:bCs/>
                <w:sz w:val="20"/>
                <w:szCs w:val="20"/>
                <w:lang w:eastAsia="en-GB"/>
              </w:rPr>
            </w:pPr>
            <w:r w:rsidRPr="00EC03E1">
              <w:rPr>
                <w:rFonts w:ascii="Arial" w:hAnsi="Arial" w:cs="Arial"/>
              </w:rPr>
              <w:t xml:space="preserve">-49.5 </w:t>
            </w:r>
          </w:p>
        </w:tc>
        <w:tc>
          <w:tcPr>
            <w:tcW w:w="1146" w:type="dxa"/>
            <w:vAlign w:val="center"/>
          </w:tcPr>
          <w:p w14:paraId="66FF8E2B" w14:textId="455349F1" w:rsidR="002F3514" w:rsidRPr="00EC03E1" w:rsidRDefault="002F3514" w:rsidP="002F3514">
            <w:pPr>
              <w:spacing w:after="0"/>
              <w:jc w:val="right"/>
              <w:rPr>
                <w:rFonts w:ascii="Arial" w:eastAsia="Times New Roman" w:hAnsi="Arial" w:cs="Arial"/>
                <w:bCs/>
                <w:sz w:val="20"/>
                <w:szCs w:val="20"/>
                <w:lang w:eastAsia="en-GB"/>
              </w:rPr>
            </w:pPr>
            <w:r w:rsidRPr="00EC03E1">
              <w:rPr>
                <w:rFonts w:ascii="Arial" w:hAnsi="Arial" w:cs="Arial"/>
              </w:rPr>
              <w:t xml:space="preserve">-49.5 </w:t>
            </w:r>
          </w:p>
        </w:tc>
        <w:tc>
          <w:tcPr>
            <w:tcW w:w="1147" w:type="dxa"/>
            <w:vAlign w:val="center"/>
          </w:tcPr>
          <w:p w14:paraId="74FDFC6E" w14:textId="23BBEFC9" w:rsidR="002F3514" w:rsidRPr="00EC03E1" w:rsidRDefault="002F3514" w:rsidP="002F3514">
            <w:pPr>
              <w:spacing w:after="0"/>
              <w:jc w:val="right"/>
              <w:rPr>
                <w:rFonts w:ascii="Trebuchet MS" w:eastAsia="Times New Roman" w:hAnsi="Trebuchet MS"/>
                <w:bCs/>
                <w:sz w:val="20"/>
                <w:szCs w:val="20"/>
                <w:lang w:eastAsia="en-GB"/>
              </w:rPr>
            </w:pPr>
            <w:r w:rsidRPr="00EC03E1">
              <w:rPr>
                <w:rFonts w:ascii="Arial" w:hAnsi="Arial" w:cs="Arial"/>
              </w:rPr>
              <w:t xml:space="preserve">-49.5 </w:t>
            </w:r>
          </w:p>
        </w:tc>
      </w:tr>
      <w:tr w:rsidR="00EC03E1" w:rsidRPr="00EC03E1" w14:paraId="0E568142" w14:textId="77777777">
        <w:trPr>
          <w:trHeight w:val="340"/>
        </w:trPr>
        <w:tc>
          <w:tcPr>
            <w:tcW w:w="3510" w:type="dxa"/>
            <w:vAlign w:val="center"/>
          </w:tcPr>
          <w:p w14:paraId="38AD9950" w14:textId="5EEFA7F1" w:rsidR="002F3514" w:rsidRPr="00EC03E1" w:rsidRDefault="002F3514" w:rsidP="002F3514">
            <w:pPr>
              <w:spacing w:after="0"/>
              <w:rPr>
                <w:rFonts w:ascii="Arial" w:eastAsia="Times New Roman" w:hAnsi="Arial" w:cs="Arial"/>
                <w:b/>
                <w:bCs/>
                <w:sz w:val="20"/>
                <w:szCs w:val="20"/>
                <w:lang w:eastAsia="en-GB"/>
              </w:rPr>
            </w:pPr>
            <w:r w:rsidRPr="00EC03E1">
              <w:rPr>
                <w:rFonts w:ascii="Arial" w:eastAsia="Times New Roman" w:hAnsi="Arial" w:cs="Arial"/>
                <w:b/>
                <w:bCs/>
                <w:sz w:val="20"/>
                <w:szCs w:val="20"/>
                <w:lang w:eastAsia="en-GB"/>
              </w:rPr>
              <w:t>(Treasury investments) or new borrowing</w:t>
            </w:r>
          </w:p>
        </w:tc>
        <w:tc>
          <w:tcPr>
            <w:tcW w:w="1146" w:type="dxa"/>
            <w:vAlign w:val="center"/>
          </w:tcPr>
          <w:p w14:paraId="76DF5BA4" w14:textId="76BE8992"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b/>
                <w:bCs/>
              </w:rPr>
              <w:t xml:space="preserve">17.2 </w:t>
            </w:r>
          </w:p>
        </w:tc>
        <w:tc>
          <w:tcPr>
            <w:tcW w:w="1146" w:type="dxa"/>
            <w:vAlign w:val="center"/>
          </w:tcPr>
          <w:p w14:paraId="71CB8AA7" w14:textId="3E5A1323"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b/>
                <w:bCs/>
              </w:rPr>
              <w:t xml:space="preserve">2.1 </w:t>
            </w:r>
          </w:p>
        </w:tc>
        <w:tc>
          <w:tcPr>
            <w:tcW w:w="1147" w:type="dxa"/>
            <w:shd w:val="clear" w:color="auto" w:fill="EEECE1" w:themeFill="background2"/>
            <w:vAlign w:val="center"/>
          </w:tcPr>
          <w:p w14:paraId="28930E0C" w14:textId="42AE54A1"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b/>
                <w:bCs/>
              </w:rPr>
              <w:t xml:space="preserve">-0.3 </w:t>
            </w:r>
          </w:p>
        </w:tc>
        <w:tc>
          <w:tcPr>
            <w:tcW w:w="1146" w:type="dxa"/>
            <w:vAlign w:val="center"/>
          </w:tcPr>
          <w:p w14:paraId="2C8EB30F" w14:textId="2D85A557" w:rsidR="002F3514" w:rsidRPr="00EC03E1" w:rsidRDefault="002F3514" w:rsidP="002F3514">
            <w:pPr>
              <w:spacing w:after="0"/>
              <w:jc w:val="right"/>
              <w:rPr>
                <w:rFonts w:ascii="Arial" w:eastAsia="Times New Roman" w:hAnsi="Arial" w:cs="Arial"/>
                <w:b/>
                <w:bCs/>
                <w:sz w:val="20"/>
                <w:szCs w:val="20"/>
                <w:lang w:eastAsia="en-GB"/>
              </w:rPr>
            </w:pPr>
            <w:r w:rsidRPr="00EC03E1">
              <w:rPr>
                <w:rFonts w:ascii="Arial" w:hAnsi="Arial" w:cs="Arial"/>
                <w:b/>
                <w:bCs/>
              </w:rPr>
              <w:t xml:space="preserve">-1.4 </w:t>
            </w:r>
          </w:p>
        </w:tc>
        <w:tc>
          <w:tcPr>
            <w:tcW w:w="1147" w:type="dxa"/>
            <w:vAlign w:val="center"/>
          </w:tcPr>
          <w:p w14:paraId="797811F9" w14:textId="4A763EF2" w:rsidR="002F3514" w:rsidRPr="00EC03E1" w:rsidRDefault="002F3514" w:rsidP="002F3514">
            <w:pPr>
              <w:spacing w:after="0"/>
              <w:jc w:val="right"/>
              <w:rPr>
                <w:rFonts w:ascii="Trebuchet MS" w:eastAsia="Times New Roman" w:hAnsi="Trebuchet MS"/>
                <w:b/>
                <w:bCs/>
                <w:sz w:val="20"/>
                <w:szCs w:val="20"/>
                <w:lang w:eastAsia="en-GB"/>
              </w:rPr>
            </w:pPr>
            <w:r w:rsidRPr="00EC03E1">
              <w:rPr>
                <w:rFonts w:ascii="Arial" w:hAnsi="Arial" w:cs="Arial"/>
                <w:b/>
                <w:bCs/>
              </w:rPr>
              <w:t xml:space="preserve">-3.8 </w:t>
            </w:r>
          </w:p>
        </w:tc>
      </w:tr>
    </w:tbl>
    <w:p w14:paraId="28161592" w14:textId="72464FE3" w:rsidR="003C6CEA" w:rsidRPr="00EC03E1" w:rsidRDefault="003C6CEA" w:rsidP="00004683">
      <w:pPr>
        <w:spacing w:after="0"/>
        <w:jc w:val="both"/>
        <w:rPr>
          <w:rFonts w:ascii="Trebuchet MS" w:hAnsi="Trebuchet MS"/>
          <w:sz w:val="20"/>
          <w:szCs w:val="20"/>
        </w:rPr>
      </w:pPr>
    </w:p>
    <w:p w14:paraId="4B545358" w14:textId="34FA60BC" w:rsidR="00242DAD" w:rsidRPr="00B64F95" w:rsidRDefault="00242DAD" w:rsidP="00242DAD">
      <w:pPr>
        <w:spacing w:after="0"/>
        <w:jc w:val="both"/>
        <w:rPr>
          <w:rFonts w:ascii="Arial" w:hAnsi="Arial" w:cs="Arial"/>
          <w:bCs/>
          <w:sz w:val="16"/>
          <w:szCs w:val="16"/>
        </w:rPr>
      </w:pPr>
      <w:r w:rsidRPr="00B64F95">
        <w:rPr>
          <w:rFonts w:ascii="Arial" w:hAnsi="Arial" w:cs="Arial"/>
          <w:bCs/>
          <w:sz w:val="16"/>
          <w:szCs w:val="16"/>
        </w:rPr>
        <w:t xml:space="preserve">* leases and PFI liabilities that form part of the </w:t>
      </w:r>
      <w:r w:rsidR="007B529B">
        <w:rPr>
          <w:rFonts w:ascii="Arial" w:hAnsi="Arial" w:cs="Arial"/>
          <w:bCs/>
          <w:sz w:val="16"/>
          <w:szCs w:val="16"/>
        </w:rPr>
        <w:t>Force</w:t>
      </w:r>
      <w:r w:rsidRPr="00B64F95">
        <w:rPr>
          <w:rFonts w:ascii="Arial" w:hAnsi="Arial" w:cs="Arial"/>
          <w:bCs/>
          <w:sz w:val="16"/>
          <w:szCs w:val="16"/>
        </w:rPr>
        <w:t>’s total debt</w:t>
      </w:r>
    </w:p>
    <w:p w14:paraId="2501572C" w14:textId="3DDF2D1F" w:rsidR="00242DAD" w:rsidRPr="00B64F95" w:rsidRDefault="00242DAD" w:rsidP="00242DAD">
      <w:pPr>
        <w:spacing w:after="0"/>
        <w:jc w:val="both"/>
        <w:rPr>
          <w:rFonts w:ascii="Arial" w:hAnsi="Arial" w:cs="Arial"/>
          <w:bCs/>
          <w:sz w:val="16"/>
          <w:szCs w:val="16"/>
        </w:rPr>
      </w:pPr>
      <w:r w:rsidRPr="00B64F95">
        <w:rPr>
          <w:rFonts w:ascii="Arial" w:hAnsi="Arial" w:cs="Arial"/>
          <w:bCs/>
          <w:sz w:val="16"/>
          <w:szCs w:val="16"/>
        </w:rPr>
        <w:t xml:space="preserve">** shows only loans to which the </w:t>
      </w:r>
      <w:r w:rsidR="007B529B">
        <w:rPr>
          <w:rFonts w:ascii="Arial" w:hAnsi="Arial" w:cs="Arial"/>
          <w:bCs/>
          <w:sz w:val="16"/>
          <w:szCs w:val="16"/>
        </w:rPr>
        <w:t>Force</w:t>
      </w:r>
      <w:r w:rsidRPr="00B64F95">
        <w:rPr>
          <w:rFonts w:ascii="Arial" w:hAnsi="Arial" w:cs="Arial"/>
          <w:bCs/>
          <w:sz w:val="16"/>
          <w:szCs w:val="16"/>
        </w:rPr>
        <w:t xml:space="preserve"> is committed and excludes optional refinancing</w:t>
      </w:r>
    </w:p>
    <w:p w14:paraId="789D0468" w14:textId="77777777" w:rsidR="004229F7" w:rsidRPr="00B64F95" w:rsidRDefault="004229F7" w:rsidP="00983AD4">
      <w:pPr>
        <w:spacing w:after="0"/>
        <w:jc w:val="both"/>
        <w:rPr>
          <w:rFonts w:ascii="Arial" w:hAnsi="Arial" w:cs="Arial"/>
          <w:bCs/>
          <w:sz w:val="20"/>
          <w:szCs w:val="20"/>
        </w:rPr>
      </w:pPr>
    </w:p>
    <w:p w14:paraId="3ABF01E4" w14:textId="4A66B2E0" w:rsidR="009F23E2" w:rsidRPr="00B64F95" w:rsidRDefault="009F23E2" w:rsidP="009F23E2">
      <w:pPr>
        <w:jc w:val="both"/>
        <w:rPr>
          <w:rFonts w:ascii="Arial" w:hAnsi="Arial" w:cs="Arial"/>
          <w:sz w:val="20"/>
          <w:szCs w:val="20"/>
        </w:rPr>
      </w:pPr>
      <w:r w:rsidRPr="00B64F95">
        <w:rPr>
          <w:rFonts w:ascii="Arial" w:hAnsi="Arial" w:cs="Arial"/>
          <w:sz w:val="20"/>
          <w:szCs w:val="20"/>
        </w:rPr>
        <w:t>The underlying need to borrow for capital purposes is measured by the Capital Financing Requirement (CFR), while usable reserves and working capital are the underlying resources available for investment</w:t>
      </w:r>
      <w:r w:rsidR="00EF0CCF" w:rsidRPr="00B64F95">
        <w:rPr>
          <w:rFonts w:ascii="Arial" w:hAnsi="Arial" w:cs="Arial"/>
          <w:sz w:val="20"/>
          <w:szCs w:val="20"/>
        </w:rPr>
        <w:t xml:space="preserve">. </w:t>
      </w:r>
      <w:r w:rsidR="000646F7" w:rsidRPr="00B64F95">
        <w:rPr>
          <w:rFonts w:ascii="Arial" w:hAnsi="Arial" w:cs="Arial"/>
          <w:sz w:val="20"/>
          <w:szCs w:val="20"/>
        </w:rPr>
        <w:t xml:space="preserve">The </w:t>
      </w:r>
      <w:r w:rsidR="00CF2085" w:rsidRPr="00B64F95">
        <w:rPr>
          <w:rFonts w:ascii="Arial" w:hAnsi="Arial" w:cs="Arial"/>
          <w:sz w:val="20"/>
          <w:szCs w:val="20"/>
        </w:rPr>
        <w:t>PCC</w:t>
      </w:r>
      <w:r w:rsidR="000646F7" w:rsidRPr="00B64F95">
        <w:rPr>
          <w:rFonts w:ascii="Arial" w:hAnsi="Arial" w:cs="Arial"/>
          <w:sz w:val="20"/>
          <w:szCs w:val="20"/>
        </w:rPr>
        <w:t xml:space="preserve">’s </w:t>
      </w:r>
      <w:r w:rsidR="005F3434" w:rsidRPr="00B64F95">
        <w:rPr>
          <w:rFonts w:ascii="Arial" w:hAnsi="Arial" w:cs="Arial"/>
          <w:sz w:val="20"/>
          <w:szCs w:val="20"/>
        </w:rPr>
        <w:t xml:space="preserve">strategy is, where possible, </w:t>
      </w:r>
      <w:r w:rsidR="000646F7" w:rsidRPr="00B64F95">
        <w:rPr>
          <w:rFonts w:ascii="Arial" w:hAnsi="Arial" w:cs="Arial"/>
          <w:sz w:val="20"/>
          <w:szCs w:val="20"/>
        </w:rPr>
        <w:t>to maintain borrowing and investments below their underlying levels</w:t>
      </w:r>
      <w:r w:rsidR="000C04C7" w:rsidRPr="00B64F95">
        <w:rPr>
          <w:rFonts w:ascii="Arial" w:hAnsi="Arial" w:cs="Arial"/>
          <w:sz w:val="20"/>
          <w:szCs w:val="20"/>
        </w:rPr>
        <w:t>, sometimes known as internal borrowing</w:t>
      </w:r>
      <w:r w:rsidR="00BF4360" w:rsidRPr="00B64F95">
        <w:rPr>
          <w:rFonts w:ascii="Arial" w:hAnsi="Arial" w:cs="Arial"/>
          <w:sz w:val="20"/>
          <w:szCs w:val="20"/>
        </w:rPr>
        <w:t>.</w:t>
      </w:r>
      <w:r w:rsidR="000C04C7" w:rsidRPr="00B64F95">
        <w:rPr>
          <w:rFonts w:ascii="Arial" w:hAnsi="Arial" w:cs="Arial"/>
          <w:sz w:val="20"/>
          <w:szCs w:val="20"/>
        </w:rPr>
        <w:t xml:space="preserve"> </w:t>
      </w:r>
    </w:p>
    <w:p w14:paraId="4CB86843" w14:textId="668F8B4B" w:rsidR="00C845A7" w:rsidRPr="00B64F95" w:rsidRDefault="006F2484" w:rsidP="008666F4">
      <w:pPr>
        <w:pStyle w:val="ListParagraph"/>
        <w:ind w:left="0"/>
        <w:contextualSpacing w:val="0"/>
        <w:rPr>
          <w:rFonts w:ascii="Arial" w:hAnsi="Arial" w:cs="Arial"/>
          <w:sz w:val="20"/>
          <w:szCs w:val="20"/>
        </w:rPr>
      </w:pPr>
      <w:r w:rsidRPr="00B64F95">
        <w:rPr>
          <w:rFonts w:ascii="Arial" w:hAnsi="Arial" w:cs="Arial"/>
          <w:sz w:val="20"/>
          <w:szCs w:val="20"/>
        </w:rPr>
        <w:t>T</w:t>
      </w:r>
      <w:r w:rsidR="00CF2085" w:rsidRPr="00B64F95">
        <w:rPr>
          <w:rFonts w:ascii="Arial" w:hAnsi="Arial" w:cs="Arial"/>
          <w:sz w:val="20"/>
          <w:szCs w:val="20"/>
        </w:rPr>
        <w:t xml:space="preserve">he current </w:t>
      </w:r>
      <w:r w:rsidR="00C845A7" w:rsidRPr="00B64F95">
        <w:rPr>
          <w:rFonts w:ascii="Arial" w:hAnsi="Arial" w:cs="Arial"/>
          <w:sz w:val="20"/>
          <w:szCs w:val="20"/>
        </w:rPr>
        <w:t xml:space="preserve">capital expenditure plans </w:t>
      </w:r>
      <w:r w:rsidR="00760A88" w:rsidRPr="00B64F95">
        <w:rPr>
          <w:rFonts w:ascii="Arial" w:hAnsi="Arial" w:cs="Arial"/>
          <w:sz w:val="20"/>
          <w:szCs w:val="20"/>
        </w:rPr>
        <w:t xml:space="preserve">demonstrate that </w:t>
      </w:r>
      <w:r w:rsidR="00004683" w:rsidRPr="00B64F95">
        <w:rPr>
          <w:rFonts w:ascii="Arial" w:hAnsi="Arial" w:cs="Arial"/>
          <w:sz w:val="20"/>
          <w:szCs w:val="20"/>
        </w:rPr>
        <w:t xml:space="preserve">there </w:t>
      </w:r>
      <w:r w:rsidR="00760A88" w:rsidRPr="00B64F95">
        <w:rPr>
          <w:rFonts w:ascii="Arial" w:hAnsi="Arial" w:cs="Arial"/>
          <w:sz w:val="20"/>
          <w:szCs w:val="20"/>
        </w:rPr>
        <w:t xml:space="preserve">will </w:t>
      </w:r>
      <w:r w:rsidR="00004683" w:rsidRPr="00B64F95">
        <w:rPr>
          <w:rFonts w:ascii="Arial" w:hAnsi="Arial" w:cs="Arial"/>
          <w:sz w:val="20"/>
          <w:szCs w:val="20"/>
        </w:rPr>
        <w:t xml:space="preserve">be </w:t>
      </w:r>
      <w:r w:rsidR="00C845A7" w:rsidRPr="00B64F95">
        <w:rPr>
          <w:rFonts w:ascii="Arial" w:hAnsi="Arial" w:cs="Arial"/>
          <w:sz w:val="20"/>
          <w:szCs w:val="20"/>
        </w:rPr>
        <w:t>a need to borrow over the forecast period</w:t>
      </w:r>
      <w:r w:rsidR="00EF0CCF" w:rsidRPr="00B64F95">
        <w:rPr>
          <w:rFonts w:ascii="Arial" w:hAnsi="Arial" w:cs="Arial"/>
          <w:sz w:val="20"/>
          <w:szCs w:val="20"/>
        </w:rPr>
        <w:t xml:space="preserve">. </w:t>
      </w:r>
      <w:r w:rsidR="00C845A7" w:rsidRPr="00B64F95">
        <w:rPr>
          <w:rFonts w:ascii="Arial" w:hAnsi="Arial" w:cs="Arial"/>
          <w:sz w:val="20"/>
          <w:szCs w:val="20"/>
        </w:rPr>
        <w:t xml:space="preserve">Investments are forecast to fall as capital receipts </w:t>
      </w:r>
      <w:r w:rsidR="00E34AF3" w:rsidRPr="00B64F95">
        <w:rPr>
          <w:rFonts w:ascii="Arial" w:hAnsi="Arial" w:cs="Arial"/>
          <w:sz w:val="20"/>
          <w:szCs w:val="20"/>
        </w:rPr>
        <w:t xml:space="preserve">are fully applied </w:t>
      </w:r>
      <w:r w:rsidR="00C845A7" w:rsidRPr="00B64F95">
        <w:rPr>
          <w:rFonts w:ascii="Arial" w:hAnsi="Arial" w:cs="Arial"/>
          <w:sz w:val="20"/>
          <w:szCs w:val="20"/>
        </w:rPr>
        <w:t>to finance capital expenditure</w:t>
      </w:r>
      <w:r w:rsidR="00B623DC" w:rsidRPr="00B64F95">
        <w:rPr>
          <w:rFonts w:ascii="Arial" w:hAnsi="Arial" w:cs="Arial"/>
          <w:sz w:val="20"/>
          <w:szCs w:val="20"/>
        </w:rPr>
        <w:t>.</w:t>
      </w:r>
    </w:p>
    <w:p w14:paraId="5984A369" w14:textId="1B1A7397" w:rsidR="00D01CFD" w:rsidRPr="00B64F95" w:rsidRDefault="00026248" w:rsidP="009F23E2">
      <w:pPr>
        <w:pStyle w:val="ListParagraph"/>
        <w:ind w:left="0"/>
        <w:contextualSpacing w:val="0"/>
        <w:jc w:val="both"/>
        <w:rPr>
          <w:rFonts w:ascii="Arial" w:hAnsi="Arial" w:cs="Arial"/>
          <w:sz w:val="20"/>
          <w:szCs w:val="20"/>
        </w:rPr>
      </w:pPr>
      <w:r w:rsidRPr="00B64F95">
        <w:rPr>
          <w:rFonts w:ascii="Arial" w:hAnsi="Arial" w:cs="Arial"/>
          <w:sz w:val="20"/>
          <w:szCs w:val="20"/>
        </w:rPr>
        <w:t xml:space="preserve">CIPFA’s </w:t>
      </w:r>
      <w:r w:rsidRPr="00B64F95">
        <w:rPr>
          <w:rFonts w:ascii="Arial" w:hAnsi="Arial" w:cs="Arial"/>
          <w:i/>
          <w:sz w:val="20"/>
          <w:szCs w:val="20"/>
        </w:rPr>
        <w:t>Prudential Code for Capital Finance in Local Authorities</w:t>
      </w:r>
      <w:r w:rsidRPr="00B64F95">
        <w:rPr>
          <w:rFonts w:ascii="Arial" w:hAnsi="Arial" w:cs="Arial"/>
          <w:sz w:val="20"/>
          <w:szCs w:val="20"/>
        </w:rPr>
        <w:t xml:space="preserve"> recommends that the </w:t>
      </w:r>
      <w:r w:rsidR="003E3EC1" w:rsidRPr="00B64F95">
        <w:rPr>
          <w:rFonts w:ascii="Arial" w:hAnsi="Arial" w:cs="Arial"/>
          <w:sz w:val="20"/>
          <w:szCs w:val="20"/>
        </w:rPr>
        <w:t>PCC</w:t>
      </w:r>
      <w:r w:rsidRPr="00B64F95">
        <w:rPr>
          <w:rFonts w:ascii="Arial" w:hAnsi="Arial" w:cs="Arial"/>
          <w:sz w:val="20"/>
          <w:szCs w:val="20"/>
        </w:rPr>
        <w:t xml:space="preserve">’s total debt should be lower than its highest forecast CFR over the next three years. Table 1 shows that the </w:t>
      </w:r>
      <w:r w:rsidR="003E3EC1" w:rsidRPr="00B64F95">
        <w:rPr>
          <w:rFonts w:ascii="Arial" w:hAnsi="Arial" w:cs="Arial"/>
          <w:sz w:val="20"/>
          <w:szCs w:val="20"/>
        </w:rPr>
        <w:t>PCC</w:t>
      </w:r>
      <w:r w:rsidRPr="00B64F95">
        <w:rPr>
          <w:rFonts w:ascii="Arial" w:hAnsi="Arial" w:cs="Arial"/>
          <w:sz w:val="20"/>
          <w:szCs w:val="20"/>
        </w:rPr>
        <w:t xml:space="preserve"> expects to comply with this recommendation</w:t>
      </w:r>
      <w:r w:rsidR="00EF0CCF" w:rsidRPr="00B64F95">
        <w:rPr>
          <w:rFonts w:ascii="Arial" w:hAnsi="Arial" w:cs="Arial"/>
          <w:sz w:val="20"/>
          <w:szCs w:val="20"/>
        </w:rPr>
        <w:t xml:space="preserve">. </w:t>
      </w:r>
    </w:p>
    <w:p w14:paraId="507DE183" w14:textId="1B00D2DB" w:rsidR="00BB1C0F" w:rsidRDefault="00BB1C0F" w:rsidP="00BB1C0F">
      <w:pPr>
        <w:jc w:val="both"/>
        <w:rPr>
          <w:rFonts w:ascii="Arial" w:hAnsi="Arial" w:cs="Arial"/>
          <w:sz w:val="20"/>
          <w:szCs w:val="20"/>
        </w:rPr>
      </w:pPr>
      <w:r w:rsidRPr="00B64F95">
        <w:rPr>
          <w:rFonts w:ascii="Arial" w:hAnsi="Arial" w:cs="Arial"/>
          <w:b/>
          <w:sz w:val="20"/>
          <w:szCs w:val="20"/>
        </w:rPr>
        <w:t xml:space="preserve">Liability benchmark: </w:t>
      </w:r>
      <w:r w:rsidRPr="00B64F95">
        <w:rPr>
          <w:rFonts w:ascii="Arial" w:hAnsi="Arial" w:cs="Arial"/>
          <w:sz w:val="20"/>
          <w:szCs w:val="20"/>
        </w:rPr>
        <w:t>To compare the PCC’s actual borrowing against an alternative strategy, a liability benchmark has been calculated showing the lowest risk level of borrowing. This assumes the same forecasts as table 1 above, but that cash and investment balances are kept to a minimum level of £</w:t>
      </w:r>
      <w:r w:rsidR="001B7C4D" w:rsidRPr="00B64F95">
        <w:rPr>
          <w:rFonts w:ascii="Arial" w:hAnsi="Arial" w:cs="Arial"/>
          <w:sz w:val="20"/>
          <w:szCs w:val="20"/>
        </w:rPr>
        <w:t>10</w:t>
      </w:r>
      <w:r w:rsidRPr="00B64F95">
        <w:rPr>
          <w:rFonts w:ascii="Arial" w:hAnsi="Arial" w:cs="Arial"/>
          <w:sz w:val="20"/>
          <w:szCs w:val="20"/>
        </w:rPr>
        <w:t>m at each year-end to maintain sufficient liquidity but minimise credit risk.</w:t>
      </w:r>
    </w:p>
    <w:p w14:paraId="23A9238C" w14:textId="412A56A8" w:rsidR="004A7257" w:rsidRDefault="004A7257" w:rsidP="004A7257">
      <w:pPr>
        <w:jc w:val="both"/>
        <w:rPr>
          <w:rFonts w:ascii="Trebuchet MS" w:hAnsi="Trebuchet MS"/>
          <w:sz w:val="20"/>
          <w:szCs w:val="20"/>
        </w:rPr>
      </w:pPr>
      <w:r w:rsidRPr="004A7257">
        <w:rPr>
          <w:rFonts w:ascii="Arial" w:hAnsi="Arial" w:cs="Arial"/>
          <w:sz w:val="20"/>
          <w:szCs w:val="20"/>
        </w:rPr>
        <w:t xml:space="preserve">The liability benchmark is an important tool to help establish whether the </w:t>
      </w:r>
      <w:r>
        <w:rPr>
          <w:rFonts w:ascii="Arial" w:hAnsi="Arial" w:cs="Arial"/>
          <w:sz w:val="20"/>
          <w:szCs w:val="20"/>
        </w:rPr>
        <w:t>PCC</w:t>
      </w:r>
      <w:r w:rsidRPr="004A7257">
        <w:rPr>
          <w:rFonts w:ascii="Arial" w:hAnsi="Arial" w:cs="Arial"/>
          <w:sz w:val="20"/>
          <w:szCs w:val="20"/>
        </w:rPr>
        <w:t xml:space="preserve"> is likely to be a long-term borrower or long-term investor in the </w:t>
      </w:r>
      <w:r w:rsidR="00FF494C" w:rsidRPr="004A7257">
        <w:rPr>
          <w:rFonts w:ascii="Arial" w:hAnsi="Arial" w:cs="Arial"/>
          <w:sz w:val="20"/>
          <w:szCs w:val="20"/>
        </w:rPr>
        <w:t>future and</w:t>
      </w:r>
      <w:r w:rsidRPr="004A7257">
        <w:rPr>
          <w:rFonts w:ascii="Arial" w:hAnsi="Arial" w:cs="Arial"/>
          <w:sz w:val="20"/>
          <w:szCs w:val="20"/>
        </w:rPr>
        <w:t xml:space="preserve"> so shape its strategic focus and decision making. The </w:t>
      </w:r>
      <w:r w:rsidRPr="004A7257">
        <w:rPr>
          <w:rFonts w:ascii="Arial" w:hAnsi="Arial" w:cs="Arial"/>
          <w:sz w:val="20"/>
          <w:szCs w:val="20"/>
        </w:rPr>
        <w:lastRenderedPageBreak/>
        <w:t xml:space="preserve">liability benchmark itself represents an estimate of the cumulative amount of external borrowing the </w:t>
      </w:r>
      <w:r>
        <w:rPr>
          <w:rFonts w:ascii="Arial" w:hAnsi="Arial" w:cs="Arial"/>
          <w:sz w:val="20"/>
          <w:szCs w:val="20"/>
        </w:rPr>
        <w:t>PCC</w:t>
      </w:r>
      <w:r w:rsidRPr="004A7257">
        <w:rPr>
          <w:rFonts w:ascii="Arial" w:hAnsi="Arial" w:cs="Arial"/>
          <w:sz w:val="20"/>
          <w:szCs w:val="20"/>
        </w:rPr>
        <w:t xml:space="preserve"> must hold to fund its current capital and revenue plans while</w:t>
      </w:r>
      <w:r>
        <w:rPr>
          <w:rFonts w:ascii="Trebuchet MS" w:hAnsi="Trebuchet MS"/>
          <w:sz w:val="20"/>
          <w:szCs w:val="20"/>
        </w:rPr>
        <w:t xml:space="preserve"> keeping treasury investments at the minimum level required to manage day-to-day cash flow.</w:t>
      </w:r>
    </w:p>
    <w:p w14:paraId="08414DCA" w14:textId="574A2F87" w:rsidR="00BB1C0F" w:rsidRPr="00A11E1A" w:rsidRDefault="00BB1C0F" w:rsidP="00BB1C0F">
      <w:pPr>
        <w:spacing w:after="0"/>
        <w:jc w:val="both"/>
        <w:rPr>
          <w:rFonts w:ascii="Arial" w:hAnsi="Arial" w:cs="Arial"/>
          <w:sz w:val="20"/>
          <w:szCs w:val="20"/>
        </w:rPr>
      </w:pPr>
      <w:r w:rsidRPr="00A11E1A">
        <w:rPr>
          <w:rFonts w:ascii="Arial" w:hAnsi="Arial" w:cs="Arial"/>
          <w:sz w:val="20"/>
          <w:szCs w:val="20"/>
        </w:rPr>
        <w:t>Table 2: Liability benchmark</w:t>
      </w:r>
    </w:p>
    <w:tbl>
      <w:tblPr>
        <w:tblpPr w:leftFromText="180" w:rightFromText="180" w:vertAnchor="text" w:horzAnchor="margin" w:tblpXSpec="center" w:tblpY="160"/>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146"/>
        <w:gridCol w:w="1146"/>
        <w:gridCol w:w="1147"/>
        <w:gridCol w:w="1146"/>
        <w:gridCol w:w="1147"/>
      </w:tblGrid>
      <w:tr w:rsidR="00A11E1A" w:rsidRPr="00A11E1A" w14:paraId="635116F2" w14:textId="77777777">
        <w:tc>
          <w:tcPr>
            <w:tcW w:w="3510" w:type="dxa"/>
            <w:vAlign w:val="center"/>
          </w:tcPr>
          <w:p w14:paraId="60C2039A" w14:textId="77777777" w:rsidR="00985358" w:rsidRPr="00A11E1A" w:rsidRDefault="00985358" w:rsidP="00985358">
            <w:pPr>
              <w:spacing w:after="0"/>
              <w:rPr>
                <w:rFonts w:ascii="Arial" w:eastAsia="Times New Roman" w:hAnsi="Arial" w:cs="Arial"/>
                <w:bCs/>
                <w:sz w:val="20"/>
                <w:szCs w:val="20"/>
                <w:lang w:eastAsia="en-GB"/>
              </w:rPr>
            </w:pPr>
          </w:p>
        </w:tc>
        <w:tc>
          <w:tcPr>
            <w:tcW w:w="1146" w:type="dxa"/>
            <w:vAlign w:val="center"/>
          </w:tcPr>
          <w:p w14:paraId="53BB5F01" w14:textId="6A6286D5" w:rsidR="00985358" w:rsidRPr="00A11E1A" w:rsidRDefault="00985358" w:rsidP="00985358">
            <w:pPr>
              <w:spacing w:after="0"/>
              <w:jc w:val="right"/>
              <w:rPr>
                <w:rFonts w:ascii="Trebuchet MS" w:eastAsia="Times New Roman" w:hAnsi="Trebuchet MS"/>
                <w:b/>
                <w:bCs/>
                <w:sz w:val="20"/>
                <w:szCs w:val="20"/>
                <w:lang w:eastAsia="en-GB"/>
              </w:rPr>
            </w:pPr>
            <w:r w:rsidRPr="00A11E1A">
              <w:rPr>
                <w:rFonts w:ascii="Trebuchet MS" w:eastAsia="Times New Roman" w:hAnsi="Trebuchet MS"/>
                <w:b/>
                <w:bCs/>
                <w:sz w:val="20"/>
                <w:szCs w:val="20"/>
                <w:lang w:eastAsia="en-GB"/>
              </w:rPr>
              <w:t>31.3.2</w:t>
            </w:r>
            <w:r w:rsidR="004A7257" w:rsidRPr="00A11E1A">
              <w:rPr>
                <w:rFonts w:ascii="Trebuchet MS" w:eastAsia="Times New Roman" w:hAnsi="Trebuchet MS"/>
                <w:b/>
                <w:bCs/>
                <w:sz w:val="20"/>
                <w:szCs w:val="20"/>
                <w:lang w:eastAsia="en-GB"/>
              </w:rPr>
              <w:t>5</w:t>
            </w:r>
          </w:p>
          <w:p w14:paraId="563880E1" w14:textId="77777777" w:rsidR="00985358" w:rsidRPr="00A11E1A" w:rsidRDefault="00985358" w:rsidP="00985358">
            <w:pPr>
              <w:spacing w:after="0"/>
              <w:jc w:val="right"/>
              <w:rPr>
                <w:rFonts w:ascii="Trebuchet MS" w:eastAsia="Times New Roman" w:hAnsi="Trebuchet MS"/>
                <w:b/>
                <w:bCs/>
                <w:sz w:val="20"/>
                <w:szCs w:val="20"/>
                <w:lang w:eastAsia="en-GB"/>
              </w:rPr>
            </w:pPr>
            <w:r w:rsidRPr="00A11E1A">
              <w:rPr>
                <w:rFonts w:ascii="Trebuchet MS" w:eastAsia="Times New Roman" w:hAnsi="Trebuchet MS"/>
                <w:b/>
                <w:bCs/>
                <w:sz w:val="20"/>
                <w:szCs w:val="20"/>
                <w:lang w:eastAsia="en-GB"/>
              </w:rPr>
              <w:t>Actual</w:t>
            </w:r>
          </w:p>
          <w:p w14:paraId="79F4EDCB" w14:textId="50B51792" w:rsidR="00985358" w:rsidRPr="00A11E1A" w:rsidRDefault="00985358" w:rsidP="00985358">
            <w:pPr>
              <w:spacing w:after="0"/>
              <w:jc w:val="right"/>
              <w:rPr>
                <w:rFonts w:ascii="Arial" w:eastAsia="Times New Roman" w:hAnsi="Arial" w:cs="Arial"/>
                <w:b/>
                <w:bCs/>
                <w:sz w:val="20"/>
                <w:szCs w:val="20"/>
                <w:lang w:eastAsia="en-GB"/>
              </w:rPr>
            </w:pPr>
            <w:r w:rsidRPr="00A11E1A">
              <w:rPr>
                <w:rFonts w:ascii="Trebuchet MS" w:eastAsia="Times New Roman" w:hAnsi="Trebuchet MS"/>
                <w:b/>
                <w:bCs/>
                <w:sz w:val="20"/>
                <w:szCs w:val="20"/>
                <w:lang w:eastAsia="en-GB"/>
              </w:rPr>
              <w:t>£m</w:t>
            </w:r>
          </w:p>
        </w:tc>
        <w:tc>
          <w:tcPr>
            <w:tcW w:w="1146" w:type="dxa"/>
            <w:vAlign w:val="center"/>
          </w:tcPr>
          <w:p w14:paraId="5966B554" w14:textId="60D3FB00" w:rsidR="00985358" w:rsidRPr="00A11E1A" w:rsidRDefault="00985358" w:rsidP="00985358">
            <w:pPr>
              <w:spacing w:after="0"/>
              <w:jc w:val="right"/>
              <w:rPr>
                <w:rFonts w:ascii="Trebuchet MS" w:eastAsia="Times New Roman" w:hAnsi="Trebuchet MS"/>
                <w:b/>
                <w:bCs/>
                <w:sz w:val="20"/>
                <w:szCs w:val="20"/>
                <w:lang w:eastAsia="en-GB"/>
              </w:rPr>
            </w:pPr>
            <w:r w:rsidRPr="00A11E1A">
              <w:rPr>
                <w:rFonts w:ascii="Trebuchet MS" w:eastAsia="Times New Roman" w:hAnsi="Trebuchet MS"/>
                <w:b/>
                <w:bCs/>
                <w:sz w:val="20"/>
                <w:szCs w:val="20"/>
                <w:lang w:eastAsia="en-GB"/>
              </w:rPr>
              <w:t>31.3.2</w:t>
            </w:r>
            <w:r w:rsidR="004A7257" w:rsidRPr="00A11E1A">
              <w:rPr>
                <w:rFonts w:ascii="Trebuchet MS" w:eastAsia="Times New Roman" w:hAnsi="Trebuchet MS"/>
                <w:b/>
                <w:bCs/>
                <w:sz w:val="20"/>
                <w:szCs w:val="20"/>
                <w:lang w:eastAsia="en-GB"/>
              </w:rPr>
              <w:t>6</w:t>
            </w:r>
          </w:p>
          <w:p w14:paraId="544743B6" w14:textId="77777777" w:rsidR="00985358" w:rsidRPr="00A11E1A" w:rsidRDefault="00985358" w:rsidP="00985358">
            <w:pPr>
              <w:spacing w:after="0"/>
              <w:jc w:val="right"/>
              <w:rPr>
                <w:rFonts w:ascii="Trebuchet MS" w:eastAsia="Times New Roman" w:hAnsi="Trebuchet MS"/>
                <w:b/>
                <w:bCs/>
                <w:sz w:val="20"/>
                <w:szCs w:val="20"/>
                <w:lang w:eastAsia="en-GB"/>
              </w:rPr>
            </w:pPr>
            <w:r w:rsidRPr="00A11E1A">
              <w:rPr>
                <w:rFonts w:ascii="Trebuchet MS" w:eastAsia="Times New Roman" w:hAnsi="Trebuchet MS"/>
                <w:b/>
                <w:bCs/>
                <w:sz w:val="20"/>
                <w:szCs w:val="20"/>
                <w:lang w:eastAsia="en-GB"/>
              </w:rPr>
              <w:t>Estimate</w:t>
            </w:r>
          </w:p>
          <w:p w14:paraId="5819C3D3" w14:textId="4CFD820C" w:rsidR="00985358" w:rsidRPr="00A11E1A" w:rsidRDefault="00985358" w:rsidP="00985358">
            <w:pPr>
              <w:spacing w:after="0"/>
              <w:jc w:val="right"/>
              <w:rPr>
                <w:rFonts w:ascii="Arial" w:eastAsia="Times New Roman" w:hAnsi="Arial" w:cs="Arial"/>
                <w:b/>
                <w:bCs/>
                <w:sz w:val="20"/>
                <w:szCs w:val="20"/>
                <w:lang w:eastAsia="en-GB"/>
              </w:rPr>
            </w:pPr>
            <w:r w:rsidRPr="00A11E1A">
              <w:rPr>
                <w:rFonts w:ascii="Trebuchet MS" w:eastAsia="Times New Roman" w:hAnsi="Trebuchet MS"/>
                <w:b/>
                <w:bCs/>
                <w:sz w:val="20"/>
                <w:szCs w:val="20"/>
                <w:lang w:eastAsia="en-GB"/>
              </w:rPr>
              <w:t>£m</w:t>
            </w:r>
          </w:p>
        </w:tc>
        <w:tc>
          <w:tcPr>
            <w:tcW w:w="1147" w:type="dxa"/>
            <w:shd w:val="clear" w:color="auto" w:fill="EEECE1" w:themeFill="background2"/>
            <w:vAlign w:val="center"/>
          </w:tcPr>
          <w:p w14:paraId="342A0C0E" w14:textId="2708A106" w:rsidR="00985358" w:rsidRPr="00A11E1A" w:rsidRDefault="00985358" w:rsidP="00985358">
            <w:pPr>
              <w:spacing w:after="0"/>
              <w:jc w:val="right"/>
              <w:rPr>
                <w:rFonts w:ascii="Trebuchet MS" w:eastAsia="Times New Roman" w:hAnsi="Trebuchet MS"/>
                <w:b/>
                <w:bCs/>
                <w:sz w:val="20"/>
                <w:szCs w:val="20"/>
                <w:lang w:eastAsia="en-GB"/>
              </w:rPr>
            </w:pPr>
            <w:r w:rsidRPr="00A11E1A">
              <w:rPr>
                <w:rFonts w:ascii="Trebuchet MS" w:eastAsia="Times New Roman" w:hAnsi="Trebuchet MS"/>
                <w:b/>
                <w:bCs/>
                <w:sz w:val="20"/>
                <w:szCs w:val="20"/>
                <w:lang w:eastAsia="en-GB"/>
              </w:rPr>
              <w:t>31.3.2</w:t>
            </w:r>
            <w:r w:rsidR="004A7257" w:rsidRPr="00A11E1A">
              <w:rPr>
                <w:rFonts w:ascii="Trebuchet MS" w:eastAsia="Times New Roman" w:hAnsi="Trebuchet MS"/>
                <w:b/>
                <w:bCs/>
                <w:sz w:val="20"/>
                <w:szCs w:val="20"/>
                <w:lang w:eastAsia="en-GB"/>
              </w:rPr>
              <w:t>7</w:t>
            </w:r>
          </w:p>
          <w:p w14:paraId="4C1D5465" w14:textId="77777777" w:rsidR="00985358" w:rsidRPr="00A11E1A" w:rsidRDefault="00985358" w:rsidP="00985358">
            <w:pPr>
              <w:spacing w:after="0"/>
              <w:jc w:val="right"/>
              <w:rPr>
                <w:rFonts w:ascii="Trebuchet MS" w:eastAsia="Times New Roman" w:hAnsi="Trebuchet MS"/>
                <w:b/>
                <w:bCs/>
                <w:sz w:val="20"/>
                <w:szCs w:val="20"/>
                <w:lang w:eastAsia="en-GB"/>
              </w:rPr>
            </w:pPr>
            <w:r w:rsidRPr="00A11E1A">
              <w:rPr>
                <w:rFonts w:ascii="Trebuchet MS" w:eastAsia="Times New Roman" w:hAnsi="Trebuchet MS"/>
                <w:b/>
                <w:bCs/>
                <w:sz w:val="20"/>
                <w:szCs w:val="20"/>
                <w:lang w:eastAsia="en-GB"/>
              </w:rPr>
              <w:t>Forecast</w:t>
            </w:r>
          </w:p>
          <w:p w14:paraId="316952E7" w14:textId="1C3B8255" w:rsidR="00985358" w:rsidRPr="00A11E1A" w:rsidRDefault="00985358" w:rsidP="00985358">
            <w:pPr>
              <w:spacing w:after="0"/>
              <w:jc w:val="right"/>
              <w:rPr>
                <w:rFonts w:ascii="Arial" w:eastAsia="Times New Roman" w:hAnsi="Arial" w:cs="Arial"/>
                <w:b/>
                <w:bCs/>
                <w:sz w:val="20"/>
                <w:szCs w:val="20"/>
                <w:lang w:eastAsia="en-GB"/>
              </w:rPr>
            </w:pPr>
            <w:r w:rsidRPr="00A11E1A">
              <w:rPr>
                <w:rFonts w:ascii="Trebuchet MS" w:eastAsia="Times New Roman" w:hAnsi="Trebuchet MS"/>
                <w:b/>
                <w:bCs/>
                <w:sz w:val="20"/>
                <w:szCs w:val="20"/>
                <w:lang w:eastAsia="en-GB"/>
              </w:rPr>
              <w:t>£m</w:t>
            </w:r>
          </w:p>
        </w:tc>
        <w:tc>
          <w:tcPr>
            <w:tcW w:w="1146" w:type="dxa"/>
            <w:vAlign w:val="center"/>
          </w:tcPr>
          <w:p w14:paraId="5282CD08" w14:textId="1A417C3F" w:rsidR="00985358" w:rsidRPr="00A11E1A" w:rsidRDefault="00985358" w:rsidP="00985358">
            <w:pPr>
              <w:spacing w:after="0"/>
              <w:jc w:val="right"/>
              <w:rPr>
                <w:rFonts w:ascii="Trebuchet MS" w:eastAsia="Times New Roman" w:hAnsi="Trebuchet MS"/>
                <w:b/>
                <w:bCs/>
                <w:sz w:val="20"/>
                <w:szCs w:val="20"/>
                <w:lang w:eastAsia="en-GB"/>
              </w:rPr>
            </w:pPr>
            <w:r w:rsidRPr="00A11E1A">
              <w:rPr>
                <w:rFonts w:ascii="Trebuchet MS" w:eastAsia="Times New Roman" w:hAnsi="Trebuchet MS"/>
                <w:b/>
                <w:bCs/>
                <w:sz w:val="20"/>
                <w:szCs w:val="20"/>
                <w:lang w:eastAsia="en-GB"/>
              </w:rPr>
              <w:t>31.3.2</w:t>
            </w:r>
            <w:r w:rsidR="004A7257" w:rsidRPr="00A11E1A">
              <w:rPr>
                <w:rFonts w:ascii="Trebuchet MS" w:eastAsia="Times New Roman" w:hAnsi="Trebuchet MS"/>
                <w:b/>
                <w:bCs/>
                <w:sz w:val="20"/>
                <w:szCs w:val="20"/>
                <w:lang w:eastAsia="en-GB"/>
              </w:rPr>
              <w:t>8</w:t>
            </w:r>
          </w:p>
          <w:p w14:paraId="7F00831F" w14:textId="77777777" w:rsidR="00985358" w:rsidRPr="00A11E1A" w:rsidRDefault="00985358" w:rsidP="00985358">
            <w:pPr>
              <w:spacing w:after="0"/>
              <w:jc w:val="right"/>
              <w:rPr>
                <w:rFonts w:ascii="Trebuchet MS" w:eastAsia="Times New Roman" w:hAnsi="Trebuchet MS"/>
                <w:b/>
                <w:bCs/>
                <w:sz w:val="20"/>
                <w:szCs w:val="20"/>
                <w:lang w:eastAsia="en-GB"/>
              </w:rPr>
            </w:pPr>
            <w:r w:rsidRPr="00A11E1A">
              <w:rPr>
                <w:rFonts w:ascii="Trebuchet MS" w:eastAsia="Times New Roman" w:hAnsi="Trebuchet MS"/>
                <w:b/>
                <w:bCs/>
                <w:sz w:val="20"/>
                <w:szCs w:val="20"/>
                <w:lang w:eastAsia="en-GB"/>
              </w:rPr>
              <w:t>Forecast</w:t>
            </w:r>
          </w:p>
          <w:p w14:paraId="2F2E319A" w14:textId="51B32696" w:rsidR="00985358" w:rsidRPr="00A11E1A" w:rsidRDefault="00985358" w:rsidP="00985358">
            <w:pPr>
              <w:spacing w:after="0"/>
              <w:jc w:val="right"/>
              <w:rPr>
                <w:rFonts w:ascii="Arial" w:eastAsia="Times New Roman" w:hAnsi="Arial" w:cs="Arial"/>
                <w:b/>
                <w:bCs/>
                <w:sz w:val="20"/>
                <w:szCs w:val="20"/>
                <w:lang w:eastAsia="en-GB"/>
              </w:rPr>
            </w:pPr>
            <w:r w:rsidRPr="00A11E1A">
              <w:rPr>
                <w:rFonts w:ascii="Trebuchet MS" w:eastAsia="Times New Roman" w:hAnsi="Trebuchet MS"/>
                <w:b/>
                <w:bCs/>
                <w:sz w:val="20"/>
                <w:szCs w:val="20"/>
                <w:lang w:eastAsia="en-GB"/>
              </w:rPr>
              <w:t>£m</w:t>
            </w:r>
          </w:p>
        </w:tc>
        <w:tc>
          <w:tcPr>
            <w:tcW w:w="1147" w:type="dxa"/>
            <w:vAlign w:val="center"/>
          </w:tcPr>
          <w:p w14:paraId="76ADF91A" w14:textId="35998FC7" w:rsidR="00985358" w:rsidRPr="00A11E1A" w:rsidRDefault="00985358" w:rsidP="00985358">
            <w:pPr>
              <w:spacing w:after="0"/>
              <w:jc w:val="right"/>
              <w:rPr>
                <w:rFonts w:ascii="Trebuchet MS" w:eastAsia="Times New Roman" w:hAnsi="Trebuchet MS"/>
                <w:b/>
                <w:bCs/>
                <w:sz w:val="20"/>
                <w:szCs w:val="20"/>
                <w:lang w:eastAsia="en-GB"/>
              </w:rPr>
            </w:pPr>
            <w:r w:rsidRPr="00A11E1A">
              <w:rPr>
                <w:rFonts w:ascii="Trebuchet MS" w:eastAsia="Times New Roman" w:hAnsi="Trebuchet MS"/>
                <w:b/>
                <w:bCs/>
                <w:sz w:val="20"/>
                <w:szCs w:val="20"/>
                <w:lang w:eastAsia="en-GB"/>
              </w:rPr>
              <w:t>31.3.2</w:t>
            </w:r>
            <w:r w:rsidR="004A7257" w:rsidRPr="00A11E1A">
              <w:rPr>
                <w:rFonts w:ascii="Trebuchet MS" w:eastAsia="Times New Roman" w:hAnsi="Trebuchet MS"/>
                <w:b/>
                <w:bCs/>
                <w:sz w:val="20"/>
                <w:szCs w:val="20"/>
                <w:lang w:eastAsia="en-GB"/>
              </w:rPr>
              <w:t>9</w:t>
            </w:r>
          </w:p>
          <w:p w14:paraId="0B3A509C" w14:textId="77777777" w:rsidR="00985358" w:rsidRPr="00A11E1A" w:rsidRDefault="00985358" w:rsidP="00985358">
            <w:pPr>
              <w:spacing w:after="0"/>
              <w:jc w:val="right"/>
              <w:rPr>
                <w:rFonts w:ascii="Trebuchet MS" w:eastAsia="Times New Roman" w:hAnsi="Trebuchet MS"/>
                <w:b/>
                <w:bCs/>
                <w:sz w:val="20"/>
                <w:szCs w:val="20"/>
                <w:lang w:eastAsia="en-GB"/>
              </w:rPr>
            </w:pPr>
            <w:r w:rsidRPr="00A11E1A">
              <w:rPr>
                <w:rFonts w:ascii="Trebuchet MS" w:eastAsia="Times New Roman" w:hAnsi="Trebuchet MS"/>
                <w:b/>
                <w:bCs/>
                <w:sz w:val="20"/>
                <w:szCs w:val="20"/>
                <w:lang w:eastAsia="en-GB"/>
              </w:rPr>
              <w:t>Forecast</w:t>
            </w:r>
          </w:p>
          <w:p w14:paraId="456F8BC0" w14:textId="57333561" w:rsidR="00985358" w:rsidRPr="00A11E1A" w:rsidRDefault="00985358" w:rsidP="00985358">
            <w:pPr>
              <w:spacing w:after="0"/>
              <w:jc w:val="right"/>
              <w:rPr>
                <w:rFonts w:ascii="Arial" w:eastAsia="Times New Roman" w:hAnsi="Arial" w:cs="Arial"/>
                <w:b/>
                <w:bCs/>
                <w:sz w:val="20"/>
                <w:szCs w:val="20"/>
                <w:lang w:eastAsia="en-GB"/>
              </w:rPr>
            </w:pPr>
            <w:r w:rsidRPr="00A11E1A">
              <w:rPr>
                <w:rFonts w:ascii="Trebuchet MS" w:eastAsia="Times New Roman" w:hAnsi="Trebuchet MS"/>
                <w:b/>
                <w:bCs/>
                <w:sz w:val="20"/>
                <w:szCs w:val="20"/>
                <w:lang w:eastAsia="en-GB"/>
              </w:rPr>
              <w:t>£m</w:t>
            </w:r>
          </w:p>
        </w:tc>
      </w:tr>
      <w:tr w:rsidR="00A11E1A" w:rsidRPr="00A11E1A" w14:paraId="1A4962A3" w14:textId="77777777">
        <w:trPr>
          <w:trHeight w:val="340"/>
        </w:trPr>
        <w:tc>
          <w:tcPr>
            <w:tcW w:w="3510" w:type="dxa"/>
            <w:vAlign w:val="center"/>
          </w:tcPr>
          <w:p w14:paraId="38EA25B8" w14:textId="77777777" w:rsidR="008B72E6" w:rsidRPr="00A11E1A" w:rsidRDefault="008B72E6" w:rsidP="008B72E6">
            <w:pPr>
              <w:spacing w:after="0"/>
              <w:rPr>
                <w:rFonts w:ascii="Arial" w:eastAsia="Times New Roman" w:hAnsi="Arial" w:cs="Arial"/>
                <w:bCs/>
                <w:sz w:val="20"/>
                <w:szCs w:val="20"/>
                <w:lang w:eastAsia="en-GB"/>
              </w:rPr>
            </w:pPr>
            <w:r w:rsidRPr="00A11E1A">
              <w:rPr>
                <w:rFonts w:ascii="Arial" w:eastAsia="Times New Roman" w:hAnsi="Arial" w:cs="Arial"/>
                <w:bCs/>
                <w:sz w:val="20"/>
                <w:szCs w:val="20"/>
                <w:lang w:eastAsia="en-GB"/>
              </w:rPr>
              <w:t xml:space="preserve">Loans CFR </w:t>
            </w:r>
          </w:p>
        </w:tc>
        <w:tc>
          <w:tcPr>
            <w:tcW w:w="1146" w:type="dxa"/>
            <w:vAlign w:val="center"/>
          </w:tcPr>
          <w:p w14:paraId="09B5DB97" w14:textId="7804A3AB"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54.3 </w:t>
            </w:r>
          </w:p>
        </w:tc>
        <w:tc>
          <w:tcPr>
            <w:tcW w:w="1146" w:type="dxa"/>
            <w:vAlign w:val="center"/>
          </w:tcPr>
          <w:p w14:paraId="20B5D7DF" w14:textId="76C2D501"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86.4 </w:t>
            </w:r>
          </w:p>
        </w:tc>
        <w:tc>
          <w:tcPr>
            <w:tcW w:w="1147" w:type="dxa"/>
            <w:shd w:val="clear" w:color="auto" w:fill="EEECE1" w:themeFill="background2"/>
            <w:vAlign w:val="center"/>
          </w:tcPr>
          <w:p w14:paraId="7B273956" w14:textId="6437B274"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85.9 </w:t>
            </w:r>
          </w:p>
        </w:tc>
        <w:tc>
          <w:tcPr>
            <w:tcW w:w="1146" w:type="dxa"/>
            <w:vAlign w:val="center"/>
          </w:tcPr>
          <w:p w14:paraId="2ACF8258" w14:textId="0F033520"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84.1 </w:t>
            </w:r>
          </w:p>
        </w:tc>
        <w:tc>
          <w:tcPr>
            <w:tcW w:w="1147" w:type="dxa"/>
            <w:vAlign w:val="center"/>
          </w:tcPr>
          <w:p w14:paraId="75C8253C" w14:textId="3C55D255"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83.6 </w:t>
            </w:r>
          </w:p>
        </w:tc>
      </w:tr>
      <w:tr w:rsidR="00A11E1A" w:rsidRPr="00A11E1A" w14:paraId="31D90E7F" w14:textId="77777777">
        <w:trPr>
          <w:trHeight w:val="340"/>
        </w:trPr>
        <w:tc>
          <w:tcPr>
            <w:tcW w:w="3510" w:type="dxa"/>
            <w:vAlign w:val="center"/>
          </w:tcPr>
          <w:p w14:paraId="0C59DA2A" w14:textId="77777777" w:rsidR="008B72E6" w:rsidRPr="00A11E1A" w:rsidRDefault="008B72E6" w:rsidP="008B72E6">
            <w:pPr>
              <w:spacing w:after="0"/>
              <w:rPr>
                <w:rFonts w:ascii="Arial" w:eastAsia="Times New Roman" w:hAnsi="Arial" w:cs="Arial"/>
                <w:bCs/>
                <w:sz w:val="20"/>
                <w:szCs w:val="20"/>
                <w:lang w:eastAsia="en-GB"/>
              </w:rPr>
            </w:pPr>
            <w:r w:rsidRPr="00A11E1A">
              <w:rPr>
                <w:rFonts w:ascii="Arial" w:eastAsia="Times New Roman" w:hAnsi="Arial" w:cs="Arial"/>
                <w:bCs/>
                <w:sz w:val="20"/>
                <w:szCs w:val="20"/>
                <w:lang w:eastAsia="en-GB"/>
              </w:rPr>
              <w:t>Less: Balance sheet resources</w:t>
            </w:r>
          </w:p>
        </w:tc>
        <w:tc>
          <w:tcPr>
            <w:tcW w:w="1146" w:type="dxa"/>
            <w:vAlign w:val="center"/>
          </w:tcPr>
          <w:p w14:paraId="6E1333A7" w14:textId="2937E39D"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-49.5 </w:t>
            </w:r>
          </w:p>
        </w:tc>
        <w:tc>
          <w:tcPr>
            <w:tcW w:w="1146" w:type="dxa"/>
            <w:vAlign w:val="center"/>
          </w:tcPr>
          <w:p w14:paraId="71B188EC" w14:textId="55B9909D"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-49.5 </w:t>
            </w:r>
          </w:p>
        </w:tc>
        <w:tc>
          <w:tcPr>
            <w:tcW w:w="1147" w:type="dxa"/>
            <w:shd w:val="clear" w:color="auto" w:fill="EEECE1" w:themeFill="background2"/>
            <w:vAlign w:val="center"/>
          </w:tcPr>
          <w:p w14:paraId="42DEBE4B" w14:textId="1B98F3B2"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-49.5 </w:t>
            </w:r>
          </w:p>
        </w:tc>
        <w:tc>
          <w:tcPr>
            <w:tcW w:w="1146" w:type="dxa"/>
            <w:vAlign w:val="center"/>
          </w:tcPr>
          <w:p w14:paraId="7637271F" w14:textId="37231EF6"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-49.5 </w:t>
            </w:r>
          </w:p>
        </w:tc>
        <w:tc>
          <w:tcPr>
            <w:tcW w:w="1147" w:type="dxa"/>
            <w:vAlign w:val="center"/>
          </w:tcPr>
          <w:p w14:paraId="3CE4D556" w14:textId="778DE5D8"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-49.5 </w:t>
            </w:r>
          </w:p>
        </w:tc>
      </w:tr>
      <w:tr w:rsidR="00A11E1A" w:rsidRPr="00A11E1A" w14:paraId="626C777D" w14:textId="77777777">
        <w:trPr>
          <w:trHeight w:val="340"/>
        </w:trPr>
        <w:tc>
          <w:tcPr>
            <w:tcW w:w="3510" w:type="dxa"/>
            <w:vAlign w:val="center"/>
          </w:tcPr>
          <w:p w14:paraId="6F0DF833" w14:textId="77777777" w:rsidR="008B72E6" w:rsidRPr="00A11E1A" w:rsidRDefault="008B72E6" w:rsidP="008B72E6">
            <w:pPr>
              <w:spacing w:after="0"/>
              <w:rPr>
                <w:rFonts w:ascii="Arial" w:eastAsia="Times New Roman" w:hAnsi="Arial" w:cs="Arial"/>
                <w:bCs/>
                <w:sz w:val="20"/>
                <w:szCs w:val="20"/>
                <w:lang w:eastAsia="en-GB"/>
              </w:rPr>
            </w:pPr>
            <w:r w:rsidRPr="00A11E1A">
              <w:rPr>
                <w:rFonts w:ascii="Arial" w:eastAsia="Times New Roman" w:hAnsi="Arial" w:cs="Arial"/>
                <w:b/>
                <w:sz w:val="20"/>
                <w:szCs w:val="20"/>
                <w:lang w:eastAsia="en-GB"/>
              </w:rPr>
              <w:t>Net loans requirement</w:t>
            </w:r>
          </w:p>
        </w:tc>
        <w:tc>
          <w:tcPr>
            <w:tcW w:w="1146" w:type="dxa"/>
            <w:vAlign w:val="center"/>
          </w:tcPr>
          <w:p w14:paraId="05F7A31C" w14:textId="31B66F2B"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4.8 </w:t>
            </w:r>
          </w:p>
        </w:tc>
        <w:tc>
          <w:tcPr>
            <w:tcW w:w="1146" w:type="dxa"/>
            <w:vAlign w:val="center"/>
          </w:tcPr>
          <w:p w14:paraId="08390FEA" w14:textId="5387B3AC"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36.9 </w:t>
            </w:r>
          </w:p>
        </w:tc>
        <w:tc>
          <w:tcPr>
            <w:tcW w:w="1147" w:type="dxa"/>
            <w:shd w:val="clear" w:color="auto" w:fill="EEECE1" w:themeFill="background2"/>
            <w:vAlign w:val="center"/>
          </w:tcPr>
          <w:p w14:paraId="102433F7" w14:textId="08542D25"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36.4 </w:t>
            </w:r>
          </w:p>
        </w:tc>
        <w:tc>
          <w:tcPr>
            <w:tcW w:w="1146" w:type="dxa"/>
            <w:vAlign w:val="center"/>
          </w:tcPr>
          <w:p w14:paraId="57EA47CC" w14:textId="666F19E6"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34.6 </w:t>
            </w:r>
          </w:p>
        </w:tc>
        <w:tc>
          <w:tcPr>
            <w:tcW w:w="1147" w:type="dxa"/>
            <w:vAlign w:val="center"/>
          </w:tcPr>
          <w:p w14:paraId="51D1385F" w14:textId="1BD3D8ED"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34.1 </w:t>
            </w:r>
          </w:p>
        </w:tc>
      </w:tr>
      <w:tr w:rsidR="00A11E1A" w:rsidRPr="00A11E1A" w14:paraId="45FC40C7" w14:textId="77777777">
        <w:trPr>
          <w:trHeight w:val="340"/>
        </w:trPr>
        <w:tc>
          <w:tcPr>
            <w:tcW w:w="3510" w:type="dxa"/>
            <w:vAlign w:val="center"/>
          </w:tcPr>
          <w:p w14:paraId="7630F496" w14:textId="77777777" w:rsidR="008B72E6" w:rsidRPr="00A11E1A" w:rsidRDefault="008B72E6" w:rsidP="008B72E6">
            <w:pPr>
              <w:spacing w:after="0"/>
              <w:rPr>
                <w:rFonts w:ascii="Arial" w:eastAsia="Times New Roman" w:hAnsi="Arial" w:cs="Arial"/>
                <w:bCs/>
                <w:sz w:val="20"/>
                <w:szCs w:val="20"/>
                <w:lang w:eastAsia="en-GB"/>
              </w:rPr>
            </w:pPr>
            <w:r w:rsidRPr="00A11E1A">
              <w:rPr>
                <w:rFonts w:ascii="Arial" w:eastAsia="Times New Roman" w:hAnsi="Arial" w:cs="Arial"/>
                <w:bCs/>
                <w:sz w:val="20"/>
                <w:szCs w:val="20"/>
                <w:lang w:eastAsia="en-GB"/>
              </w:rPr>
              <w:t>Plus: Liquidity allowance</w:t>
            </w:r>
          </w:p>
        </w:tc>
        <w:tc>
          <w:tcPr>
            <w:tcW w:w="1146" w:type="dxa"/>
            <w:vAlign w:val="center"/>
          </w:tcPr>
          <w:p w14:paraId="4F241A33" w14:textId="0C750261"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10.0 </w:t>
            </w:r>
          </w:p>
        </w:tc>
        <w:tc>
          <w:tcPr>
            <w:tcW w:w="1146" w:type="dxa"/>
            <w:vAlign w:val="center"/>
          </w:tcPr>
          <w:p w14:paraId="370DEC2C" w14:textId="26E900AE"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10.0 </w:t>
            </w:r>
          </w:p>
        </w:tc>
        <w:tc>
          <w:tcPr>
            <w:tcW w:w="1147" w:type="dxa"/>
            <w:shd w:val="clear" w:color="auto" w:fill="EEECE1" w:themeFill="background2"/>
            <w:vAlign w:val="center"/>
          </w:tcPr>
          <w:p w14:paraId="2C2A1F10" w14:textId="4FE1EDF3"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10.0 </w:t>
            </w:r>
          </w:p>
        </w:tc>
        <w:tc>
          <w:tcPr>
            <w:tcW w:w="1146" w:type="dxa"/>
            <w:vAlign w:val="center"/>
          </w:tcPr>
          <w:p w14:paraId="66F682CD" w14:textId="21E9EAE7"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10.0 </w:t>
            </w:r>
          </w:p>
        </w:tc>
        <w:tc>
          <w:tcPr>
            <w:tcW w:w="1147" w:type="dxa"/>
            <w:vAlign w:val="center"/>
          </w:tcPr>
          <w:p w14:paraId="1A04D215" w14:textId="6BF08203" w:rsidR="008B72E6" w:rsidRPr="00A11E1A" w:rsidRDefault="008B72E6" w:rsidP="008B72E6">
            <w:pPr>
              <w:spacing w:after="0"/>
              <w:jc w:val="right"/>
              <w:rPr>
                <w:rFonts w:ascii="Arial" w:eastAsia="Times New Roman" w:hAnsi="Arial" w:cs="Arial"/>
                <w:bCs/>
                <w:sz w:val="20"/>
                <w:szCs w:val="20"/>
                <w:lang w:eastAsia="en-GB"/>
              </w:rPr>
            </w:pPr>
            <w:r w:rsidRPr="00A11E1A">
              <w:rPr>
                <w:rFonts w:ascii="Arial" w:hAnsi="Arial" w:cs="Arial"/>
                <w:sz w:val="20"/>
                <w:szCs w:val="20"/>
              </w:rPr>
              <w:t xml:space="preserve">10.0 </w:t>
            </w:r>
          </w:p>
        </w:tc>
      </w:tr>
      <w:tr w:rsidR="00A11E1A" w:rsidRPr="00A11E1A" w14:paraId="69D7987B" w14:textId="77777777">
        <w:trPr>
          <w:trHeight w:val="340"/>
        </w:trPr>
        <w:tc>
          <w:tcPr>
            <w:tcW w:w="3510" w:type="dxa"/>
            <w:vAlign w:val="center"/>
          </w:tcPr>
          <w:p w14:paraId="794DE144" w14:textId="77777777" w:rsidR="008B72E6" w:rsidRPr="00A11E1A" w:rsidRDefault="008B72E6" w:rsidP="008B72E6">
            <w:pPr>
              <w:spacing w:after="0"/>
              <w:rPr>
                <w:rFonts w:ascii="Arial" w:eastAsia="Times New Roman" w:hAnsi="Arial" w:cs="Arial"/>
                <w:b/>
                <w:bCs/>
                <w:sz w:val="20"/>
                <w:szCs w:val="20"/>
                <w:lang w:eastAsia="en-GB"/>
              </w:rPr>
            </w:pPr>
            <w:r w:rsidRPr="00A11E1A">
              <w:rPr>
                <w:rFonts w:ascii="Arial" w:eastAsia="Times New Roman" w:hAnsi="Arial" w:cs="Arial"/>
                <w:b/>
                <w:bCs/>
                <w:sz w:val="20"/>
                <w:szCs w:val="20"/>
                <w:lang w:eastAsia="en-GB"/>
              </w:rPr>
              <w:t>Liability benchmark</w:t>
            </w:r>
          </w:p>
        </w:tc>
        <w:tc>
          <w:tcPr>
            <w:tcW w:w="1146" w:type="dxa"/>
            <w:vAlign w:val="center"/>
          </w:tcPr>
          <w:p w14:paraId="3BC7D8C7" w14:textId="3B7B2C64" w:rsidR="008B72E6" w:rsidRPr="00A11E1A" w:rsidRDefault="008B72E6" w:rsidP="008B72E6">
            <w:pPr>
              <w:spacing w:after="0"/>
              <w:jc w:val="right"/>
              <w:rPr>
                <w:rFonts w:ascii="Arial" w:eastAsia="Times New Roman" w:hAnsi="Arial" w:cs="Arial"/>
                <w:b/>
                <w:bCs/>
                <w:sz w:val="20"/>
                <w:szCs w:val="20"/>
                <w:lang w:eastAsia="en-GB"/>
              </w:rPr>
            </w:pPr>
            <w:r w:rsidRPr="00A11E1A">
              <w:rPr>
                <w:rFonts w:ascii="Arial" w:hAnsi="Arial" w:cs="Arial"/>
                <w:b/>
                <w:bCs/>
                <w:sz w:val="20"/>
                <w:szCs w:val="20"/>
              </w:rPr>
              <w:t xml:space="preserve">14.8 </w:t>
            </w:r>
          </w:p>
        </w:tc>
        <w:tc>
          <w:tcPr>
            <w:tcW w:w="1146" w:type="dxa"/>
            <w:vAlign w:val="center"/>
          </w:tcPr>
          <w:p w14:paraId="7CD4137F" w14:textId="0C1FF911" w:rsidR="008B72E6" w:rsidRPr="00A11E1A" w:rsidRDefault="008B72E6" w:rsidP="008B72E6">
            <w:pPr>
              <w:spacing w:after="0"/>
              <w:jc w:val="right"/>
              <w:rPr>
                <w:rFonts w:ascii="Arial" w:eastAsia="Times New Roman" w:hAnsi="Arial" w:cs="Arial"/>
                <w:b/>
                <w:bCs/>
                <w:sz w:val="20"/>
                <w:szCs w:val="20"/>
                <w:lang w:eastAsia="en-GB"/>
              </w:rPr>
            </w:pPr>
            <w:r w:rsidRPr="00A11E1A">
              <w:rPr>
                <w:rFonts w:ascii="Arial" w:hAnsi="Arial" w:cs="Arial"/>
                <w:b/>
                <w:bCs/>
                <w:sz w:val="20"/>
                <w:szCs w:val="20"/>
              </w:rPr>
              <w:t xml:space="preserve">46.9 </w:t>
            </w:r>
          </w:p>
        </w:tc>
        <w:tc>
          <w:tcPr>
            <w:tcW w:w="1147" w:type="dxa"/>
            <w:shd w:val="clear" w:color="auto" w:fill="EEECE1" w:themeFill="background2"/>
            <w:vAlign w:val="center"/>
          </w:tcPr>
          <w:p w14:paraId="6EFCDABB" w14:textId="18A04BDD" w:rsidR="008B72E6" w:rsidRPr="00A11E1A" w:rsidRDefault="008B72E6" w:rsidP="008B72E6">
            <w:pPr>
              <w:spacing w:after="0"/>
              <w:jc w:val="right"/>
              <w:rPr>
                <w:rFonts w:ascii="Arial" w:eastAsia="Times New Roman" w:hAnsi="Arial" w:cs="Arial"/>
                <w:b/>
                <w:bCs/>
                <w:sz w:val="20"/>
                <w:szCs w:val="20"/>
                <w:lang w:eastAsia="en-GB"/>
              </w:rPr>
            </w:pPr>
            <w:r w:rsidRPr="00A11E1A">
              <w:rPr>
                <w:rFonts w:ascii="Arial" w:hAnsi="Arial" w:cs="Arial"/>
                <w:b/>
                <w:bCs/>
                <w:sz w:val="20"/>
                <w:szCs w:val="20"/>
              </w:rPr>
              <w:t xml:space="preserve">46.4 </w:t>
            </w:r>
          </w:p>
        </w:tc>
        <w:tc>
          <w:tcPr>
            <w:tcW w:w="1146" w:type="dxa"/>
            <w:vAlign w:val="center"/>
          </w:tcPr>
          <w:p w14:paraId="756031D7" w14:textId="695CA287" w:rsidR="008B72E6" w:rsidRPr="00A11E1A" w:rsidRDefault="008B72E6" w:rsidP="008B72E6">
            <w:pPr>
              <w:spacing w:after="0"/>
              <w:jc w:val="right"/>
              <w:rPr>
                <w:rFonts w:ascii="Arial" w:eastAsia="Times New Roman" w:hAnsi="Arial" w:cs="Arial"/>
                <w:b/>
                <w:bCs/>
                <w:sz w:val="20"/>
                <w:szCs w:val="20"/>
                <w:lang w:eastAsia="en-GB"/>
              </w:rPr>
            </w:pPr>
            <w:r w:rsidRPr="00A11E1A">
              <w:rPr>
                <w:rFonts w:ascii="Arial" w:hAnsi="Arial" w:cs="Arial"/>
                <w:b/>
                <w:bCs/>
                <w:sz w:val="20"/>
                <w:szCs w:val="20"/>
              </w:rPr>
              <w:t xml:space="preserve">44.6 </w:t>
            </w:r>
          </w:p>
        </w:tc>
        <w:tc>
          <w:tcPr>
            <w:tcW w:w="1147" w:type="dxa"/>
            <w:vAlign w:val="center"/>
          </w:tcPr>
          <w:p w14:paraId="0664F354" w14:textId="5E3A7AD6" w:rsidR="008B72E6" w:rsidRPr="00A11E1A" w:rsidRDefault="008B72E6" w:rsidP="008B72E6">
            <w:pPr>
              <w:spacing w:after="0"/>
              <w:jc w:val="right"/>
              <w:rPr>
                <w:rFonts w:ascii="Arial" w:eastAsia="Times New Roman" w:hAnsi="Arial" w:cs="Arial"/>
                <w:b/>
                <w:bCs/>
                <w:sz w:val="20"/>
                <w:szCs w:val="20"/>
                <w:lang w:eastAsia="en-GB"/>
              </w:rPr>
            </w:pPr>
            <w:r w:rsidRPr="00A11E1A">
              <w:rPr>
                <w:rFonts w:ascii="Arial" w:hAnsi="Arial" w:cs="Arial"/>
                <w:b/>
                <w:bCs/>
                <w:sz w:val="20"/>
                <w:szCs w:val="20"/>
              </w:rPr>
              <w:t xml:space="preserve">44.1 </w:t>
            </w:r>
          </w:p>
        </w:tc>
      </w:tr>
    </w:tbl>
    <w:p w14:paraId="3D54630C" w14:textId="78DDE927" w:rsidR="003B5239" w:rsidRPr="004A7257" w:rsidRDefault="003B5239" w:rsidP="004B25A6">
      <w:pPr>
        <w:pStyle w:val="ListParagraph"/>
        <w:keepNext/>
        <w:widowControl w:val="0"/>
        <w:ind w:left="0"/>
        <w:contextualSpacing w:val="0"/>
        <w:jc w:val="both"/>
        <w:rPr>
          <w:rFonts w:ascii="Arial" w:hAnsi="Arial" w:cs="Arial"/>
          <w:b/>
          <w:color w:val="FF0000"/>
          <w:sz w:val="20"/>
          <w:szCs w:val="20"/>
        </w:rPr>
      </w:pPr>
    </w:p>
    <w:p w14:paraId="74467D71" w14:textId="3D4B974D" w:rsidR="003B3C00" w:rsidRPr="004A7257" w:rsidRDefault="003B3C00" w:rsidP="004B25A6">
      <w:pPr>
        <w:pStyle w:val="ListParagraph"/>
        <w:keepNext/>
        <w:widowControl w:val="0"/>
        <w:ind w:left="0"/>
        <w:contextualSpacing w:val="0"/>
        <w:jc w:val="both"/>
        <w:rPr>
          <w:rFonts w:ascii="Arial" w:hAnsi="Arial" w:cs="Arial"/>
          <w:b/>
          <w:color w:val="FF0000"/>
          <w:sz w:val="20"/>
          <w:szCs w:val="20"/>
        </w:rPr>
      </w:pPr>
      <w:r w:rsidRPr="004A7257">
        <w:rPr>
          <w:rFonts w:ascii="Arial" w:hAnsi="Arial" w:cs="Arial"/>
          <w:b/>
          <w:color w:val="FF0000"/>
          <w:sz w:val="20"/>
          <w:szCs w:val="20"/>
        </w:rPr>
        <w:t>Chart 1: Liability Benchmark</w:t>
      </w:r>
    </w:p>
    <w:p w14:paraId="1B3AC9D4" w14:textId="4D21BC12" w:rsidR="00464CFB" w:rsidRDefault="002B1649" w:rsidP="004B25A6">
      <w:pPr>
        <w:pStyle w:val="ListParagraph"/>
        <w:keepNext/>
        <w:widowControl w:val="0"/>
        <w:ind w:left="0"/>
        <w:contextualSpacing w:val="0"/>
        <w:jc w:val="both"/>
        <w:rPr>
          <w:rFonts w:ascii="Arial" w:hAnsi="Arial" w:cs="Arial"/>
          <w:bCs/>
          <w:color w:val="FF0000"/>
          <w:sz w:val="20"/>
          <w:szCs w:val="20"/>
        </w:rPr>
      </w:pPr>
      <w:r>
        <w:rPr>
          <w:rFonts w:ascii="Arial" w:hAnsi="Arial" w:cs="Arial"/>
          <w:bCs/>
          <w:noProof/>
          <w:color w:val="FF0000"/>
          <w:sz w:val="20"/>
          <w:szCs w:val="20"/>
        </w:rPr>
        <w:drawing>
          <wp:inline distT="0" distB="0" distL="0" distR="0" wp14:anchorId="2238D35C" wp14:editId="10DA3A79">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1C6D2E" w14:textId="6172FF38" w:rsidR="00405053" w:rsidRPr="00B64F95" w:rsidRDefault="007C5471" w:rsidP="004B25A6">
      <w:pPr>
        <w:pStyle w:val="ListParagraph"/>
        <w:keepNext/>
        <w:widowControl w:val="0"/>
        <w:ind w:left="0"/>
        <w:contextualSpacing w:val="0"/>
        <w:jc w:val="both"/>
        <w:rPr>
          <w:rFonts w:ascii="Arial" w:hAnsi="Arial" w:cs="Arial"/>
          <w:b/>
          <w:sz w:val="20"/>
          <w:szCs w:val="20"/>
          <w:u w:val="single"/>
        </w:rPr>
      </w:pPr>
      <w:r w:rsidRPr="00B64F95">
        <w:rPr>
          <w:rFonts w:ascii="Arial" w:hAnsi="Arial" w:cs="Arial"/>
          <w:b/>
          <w:sz w:val="20"/>
          <w:szCs w:val="20"/>
          <w:u w:val="single"/>
        </w:rPr>
        <w:t>Borrowing Strategy</w:t>
      </w:r>
    </w:p>
    <w:p w14:paraId="76956B54" w14:textId="377745D5" w:rsidR="00B521A2" w:rsidRPr="00B64F95" w:rsidRDefault="000027B2" w:rsidP="00D01CFD">
      <w:pPr>
        <w:spacing w:after="0" w:line="240" w:lineRule="auto"/>
        <w:jc w:val="both"/>
        <w:rPr>
          <w:rFonts w:ascii="Arial" w:eastAsia="Times New Roman" w:hAnsi="Arial" w:cs="Arial"/>
          <w:color w:val="FF0000"/>
          <w:sz w:val="20"/>
          <w:szCs w:val="20"/>
          <w:lang w:eastAsia="en-GB"/>
        </w:rPr>
      </w:pPr>
      <w:r w:rsidRPr="00B64F95">
        <w:rPr>
          <w:rFonts w:ascii="Arial" w:hAnsi="Arial" w:cs="Arial"/>
          <w:sz w:val="20"/>
          <w:szCs w:val="20"/>
        </w:rPr>
        <w:t>The PCC’s budget approved in February state</w:t>
      </w:r>
      <w:r w:rsidR="00ED769C" w:rsidRPr="00B64F95">
        <w:rPr>
          <w:rFonts w:ascii="Arial" w:hAnsi="Arial" w:cs="Arial"/>
          <w:sz w:val="20"/>
          <w:szCs w:val="20"/>
        </w:rPr>
        <w:t xml:space="preserve">d </w:t>
      </w:r>
      <w:r w:rsidRPr="00B64F95">
        <w:rPr>
          <w:rFonts w:ascii="Arial" w:hAnsi="Arial" w:cs="Arial"/>
          <w:sz w:val="20"/>
          <w:szCs w:val="20"/>
        </w:rPr>
        <w:t xml:space="preserve">that </w:t>
      </w:r>
      <w:r w:rsidR="00ED769C" w:rsidRPr="00B64F95">
        <w:rPr>
          <w:rFonts w:ascii="Arial" w:hAnsi="Arial" w:cs="Arial"/>
          <w:sz w:val="20"/>
          <w:szCs w:val="20"/>
        </w:rPr>
        <w:t xml:space="preserve">the investment programme is </w:t>
      </w:r>
      <w:r w:rsidR="002021D9" w:rsidRPr="00B64F95">
        <w:rPr>
          <w:rFonts w:ascii="Arial" w:hAnsi="Arial" w:cs="Arial"/>
          <w:sz w:val="20"/>
          <w:szCs w:val="20"/>
        </w:rPr>
        <w:t xml:space="preserve">borrowing </w:t>
      </w:r>
      <w:r w:rsidR="00ED769C" w:rsidRPr="00B64F95">
        <w:rPr>
          <w:rFonts w:ascii="Arial" w:hAnsi="Arial" w:cs="Arial"/>
          <w:sz w:val="20"/>
          <w:szCs w:val="20"/>
        </w:rPr>
        <w:t>to fund the expenditure</w:t>
      </w:r>
      <w:r w:rsidR="00ED769C" w:rsidRPr="00B64F95">
        <w:rPr>
          <w:rFonts w:ascii="Arial" w:hAnsi="Arial" w:cs="Arial"/>
          <w:color w:val="FF0000"/>
          <w:sz w:val="20"/>
          <w:szCs w:val="20"/>
        </w:rPr>
        <w:t xml:space="preserve">. </w:t>
      </w:r>
      <w:r w:rsidR="00ED769C" w:rsidRPr="00B64F95">
        <w:rPr>
          <w:rFonts w:ascii="Arial" w:hAnsi="Arial" w:cs="Arial"/>
          <w:sz w:val="20"/>
          <w:szCs w:val="20"/>
        </w:rPr>
        <w:t xml:space="preserve">Depending on the project, business </w:t>
      </w:r>
      <w:r w:rsidR="00727C21" w:rsidRPr="00B64F95">
        <w:rPr>
          <w:rFonts w:ascii="Arial" w:hAnsi="Arial" w:cs="Arial"/>
          <w:sz w:val="20"/>
          <w:szCs w:val="20"/>
        </w:rPr>
        <w:t>case,</w:t>
      </w:r>
      <w:r w:rsidR="00ED769C" w:rsidRPr="00B64F95">
        <w:rPr>
          <w:rFonts w:ascii="Arial" w:hAnsi="Arial" w:cs="Arial"/>
          <w:sz w:val="20"/>
          <w:szCs w:val="20"/>
        </w:rPr>
        <w:t xml:space="preserve"> and life expectancy</w:t>
      </w:r>
      <w:r w:rsidR="00C25892" w:rsidRPr="00B64F95">
        <w:rPr>
          <w:rFonts w:ascii="Arial" w:hAnsi="Arial" w:cs="Arial"/>
          <w:sz w:val="20"/>
          <w:szCs w:val="20"/>
        </w:rPr>
        <w:t xml:space="preserve"> of the asset</w:t>
      </w:r>
      <w:r w:rsidR="00ED769C" w:rsidRPr="00B64F95">
        <w:rPr>
          <w:rFonts w:ascii="Arial" w:hAnsi="Arial" w:cs="Arial"/>
          <w:sz w:val="20"/>
          <w:szCs w:val="20"/>
        </w:rPr>
        <w:t xml:space="preserve"> the PCC </w:t>
      </w:r>
      <w:r w:rsidR="00291185" w:rsidRPr="00B64F95">
        <w:rPr>
          <w:rFonts w:ascii="Arial" w:hAnsi="Arial" w:cs="Arial"/>
          <w:sz w:val="20"/>
          <w:szCs w:val="20"/>
        </w:rPr>
        <w:t xml:space="preserve">will </w:t>
      </w:r>
      <w:r w:rsidR="00ED769C" w:rsidRPr="00B64F95">
        <w:rPr>
          <w:rFonts w:ascii="Arial" w:hAnsi="Arial" w:cs="Arial"/>
          <w:sz w:val="20"/>
          <w:szCs w:val="20"/>
        </w:rPr>
        <w:t xml:space="preserve">borrow to fund the longer life assets. Any decision to borrow will be made, like all decisions, with value for money for the </w:t>
      </w:r>
      <w:r w:rsidR="00C0539B" w:rsidRPr="00B64F95">
        <w:rPr>
          <w:rFonts w:ascii="Arial" w:hAnsi="Arial" w:cs="Arial"/>
          <w:sz w:val="20"/>
          <w:szCs w:val="20"/>
        </w:rPr>
        <w:t>taxpayer</w:t>
      </w:r>
      <w:r w:rsidR="00ED769C" w:rsidRPr="00B64F95">
        <w:rPr>
          <w:rFonts w:ascii="Arial" w:hAnsi="Arial" w:cs="Arial"/>
          <w:sz w:val="20"/>
          <w:szCs w:val="20"/>
        </w:rPr>
        <w:t xml:space="preserve"> in mind and only be done when it is the most </w:t>
      </w:r>
      <w:r w:rsidR="00C0539B" w:rsidRPr="00B64F95">
        <w:rPr>
          <w:rFonts w:ascii="Arial" w:hAnsi="Arial" w:cs="Arial"/>
          <w:sz w:val="20"/>
          <w:szCs w:val="20"/>
        </w:rPr>
        <w:t>cost-effective</w:t>
      </w:r>
      <w:r w:rsidR="00ED769C" w:rsidRPr="00B64F95">
        <w:rPr>
          <w:rFonts w:ascii="Arial" w:hAnsi="Arial" w:cs="Arial"/>
          <w:sz w:val="20"/>
          <w:szCs w:val="20"/>
        </w:rPr>
        <w:t xml:space="preserve"> way of delivering a project</w:t>
      </w:r>
      <w:r w:rsidR="00EF0CCF" w:rsidRPr="00B64F95">
        <w:rPr>
          <w:rFonts w:ascii="Arial" w:hAnsi="Arial" w:cs="Arial"/>
          <w:sz w:val="20"/>
          <w:szCs w:val="20"/>
        </w:rPr>
        <w:t xml:space="preserve">. </w:t>
      </w:r>
    </w:p>
    <w:p w14:paraId="5D436BD3" w14:textId="77777777" w:rsidR="00B521A2" w:rsidRPr="00B64F95" w:rsidRDefault="00B521A2" w:rsidP="00D01CFD">
      <w:pPr>
        <w:spacing w:after="0" w:line="240" w:lineRule="auto"/>
        <w:jc w:val="both"/>
        <w:rPr>
          <w:rFonts w:ascii="Arial" w:eastAsia="Times New Roman" w:hAnsi="Arial" w:cs="Arial"/>
          <w:sz w:val="20"/>
          <w:szCs w:val="20"/>
          <w:lang w:eastAsia="en-GB"/>
        </w:rPr>
      </w:pPr>
    </w:p>
    <w:p w14:paraId="25800FF9" w14:textId="365DA64F" w:rsidR="00C3209B" w:rsidRPr="001B7EC3" w:rsidRDefault="00D01CFD" w:rsidP="001B7EC3">
      <w:pPr>
        <w:rPr>
          <w:rFonts w:ascii="Arial" w:hAnsi="Arial" w:cs="Arial"/>
          <w:sz w:val="20"/>
          <w:szCs w:val="20"/>
        </w:rPr>
      </w:pPr>
      <w:r w:rsidRPr="001B7EC3">
        <w:rPr>
          <w:rFonts w:ascii="Arial" w:eastAsia="Times New Roman" w:hAnsi="Arial" w:cs="Arial"/>
          <w:sz w:val="20"/>
          <w:szCs w:val="20"/>
          <w:lang w:eastAsia="en-GB"/>
        </w:rPr>
        <w:t>T</w:t>
      </w:r>
      <w:r w:rsidR="00816303" w:rsidRPr="001B7EC3">
        <w:rPr>
          <w:rFonts w:ascii="Arial" w:hAnsi="Arial" w:cs="Arial"/>
          <w:sz w:val="20"/>
          <w:szCs w:val="20"/>
        </w:rPr>
        <w:t xml:space="preserve">he </w:t>
      </w:r>
      <w:r w:rsidRPr="001B7EC3">
        <w:rPr>
          <w:rFonts w:ascii="Arial" w:hAnsi="Arial" w:cs="Arial"/>
          <w:sz w:val="20"/>
          <w:szCs w:val="20"/>
        </w:rPr>
        <w:t>PCC’s</w:t>
      </w:r>
      <w:r w:rsidR="00816303" w:rsidRPr="001B7EC3">
        <w:rPr>
          <w:rFonts w:ascii="Arial" w:hAnsi="Arial" w:cs="Arial"/>
          <w:sz w:val="20"/>
          <w:szCs w:val="20"/>
        </w:rPr>
        <w:t xml:space="preserve"> borrowing strategy </w:t>
      </w:r>
      <w:r w:rsidRPr="001B7EC3">
        <w:rPr>
          <w:rFonts w:ascii="Arial" w:hAnsi="Arial" w:cs="Arial"/>
          <w:sz w:val="20"/>
          <w:szCs w:val="20"/>
        </w:rPr>
        <w:t>a</w:t>
      </w:r>
      <w:r w:rsidR="00816303" w:rsidRPr="001B7EC3">
        <w:rPr>
          <w:rFonts w:ascii="Arial" w:hAnsi="Arial" w:cs="Arial"/>
          <w:sz w:val="20"/>
          <w:szCs w:val="20"/>
        </w:rPr>
        <w:t>ddress</w:t>
      </w:r>
      <w:r w:rsidRPr="001B7EC3">
        <w:rPr>
          <w:rFonts w:ascii="Arial" w:hAnsi="Arial" w:cs="Arial"/>
          <w:sz w:val="20"/>
          <w:szCs w:val="20"/>
        </w:rPr>
        <w:t>es</w:t>
      </w:r>
      <w:r w:rsidR="00816303" w:rsidRPr="001B7EC3">
        <w:rPr>
          <w:rFonts w:ascii="Arial" w:hAnsi="Arial" w:cs="Arial"/>
          <w:sz w:val="20"/>
          <w:szCs w:val="20"/>
        </w:rPr>
        <w:t xml:space="preserve"> the key issue of affordability without compromising the longer-term stability of the </w:t>
      </w:r>
      <w:r w:rsidRPr="001B7EC3">
        <w:rPr>
          <w:rFonts w:ascii="Arial" w:hAnsi="Arial" w:cs="Arial"/>
          <w:sz w:val="20"/>
          <w:szCs w:val="20"/>
        </w:rPr>
        <w:t>organisation</w:t>
      </w:r>
      <w:r w:rsidR="00816303" w:rsidRPr="001B7EC3">
        <w:rPr>
          <w:rFonts w:ascii="Arial" w:hAnsi="Arial" w:cs="Arial"/>
          <w:sz w:val="20"/>
          <w:szCs w:val="20"/>
        </w:rPr>
        <w:t xml:space="preserve">. </w:t>
      </w:r>
      <w:r w:rsidR="00C3209B" w:rsidRPr="001B7EC3">
        <w:rPr>
          <w:rFonts w:ascii="Arial" w:hAnsi="Arial" w:cs="Arial"/>
          <w:sz w:val="20"/>
          <w:szCs w:val="20"/>
        </w:rPr>
        <w:t xml:space="preserve">The </w:t>
      </w:r>
      <w:r w:rsidR="005C3F3D" w:rsidRPr="001B7EC3">
        <w:rPr>
          <w:rFonts w:ascii="Arial" w:hAnsi="Arial" w:cs="Arial"/>
          <w:sz w:val="20"/>
          <w:szCs w:val="20"/>
        </w:rPr>
        <w:t>PCC</w:t>
      </w:r>
      <w:r w:rsidR="00C3209B" w:rsidRPr="001B7EC3">
        <w:rPr>
          <w:rFonts w:ascii="Arial" w:hAnsi="Arial" w:cs="Arial"/>
          <w:sz w:val="20"/>
          <w:szCs w:val="20"/>
        </w:rPr>
        <w:t>’s chief objective when borrowing money is to strike an appropriately low risk balance between securing low interest costs and achieving certainty of those costs over the period for which funds are required</w:t>
      </w:r>
      <w:r w:rsidR="00727C21" w:rsidRPr="001B7EC3">
        <w:rPr>
          <w:rFonts w:ascii="Arial" w:hAnsi="Arial" w:cs="Arial"/>
          <w:sz w:val="20"/>
          <w:szCs w:val="20"/>
        </w:rPr>
        <w:t xml:space="preserve">. </w:t>
      </w:r>
      <w:r w:rsidR="00C3209B" w:rsidRPr="001B7EC3">
        <w:rPr>
          <w:rFonts w:ascii="Arial" w:hAnsi="Arial" w:cs="Arial"/>
          <w:sz w:val="20"/>
          <w:szCs w:val="20"/>
        </w:rPr>
        <w:t xml:space="preserve">The flexibility to renegotiate loans should the </w:t>
      </w:r>
      <w:r w:rsidR="00C705C5" w:rsidRPr="001B7EC3">
        <w:rPr>
          <w:rFonts w:ascii="Arial" w:hAnsi="Arial" w:cs="Arial"/>
          <w:sz w:val="20"/>
          <w:szCs w:val="20"/>
        </w:rPr>
        <w:t>PCC</w:t>
      </w:r>
      <w:r w:rsidR="00C3209B" w:rsidRPr="001B7EC3">
        <w:rPr>
          <w:rFonts w:ascii="Arial" w:hAnsi="Arial" w:cs="Arial"/>
          <w:sz w:val="20"/>
          <w:szCs w:val="20"/>
        </w:rPr>
        <w:t>’s long-term plans change is a secondary objective.</w:t>
      </w:r>
    </w:p>
    <w:p w14:paraId="28DBC877" w14:textId="77777777" w:rsidR="004E4433" w:rsidRDefault="004E4433" w:rsidP="00C3209B">
      <w:pPr>
        <w:pStyle w:val="ListParagraph"/>
        <w:ind w:left="0"/>
        <w:jc w:val="both"/>
        <w:rPr>
          <w:rFonts w:ascii="Trebuchet MS" w:hAnsi="Trebuchet MS"/>
          <w:sz w:val="20"/>
          <w:szCs w:val="20"/>
        </w:rPr>
      </w:pPr>
    </w:p>
    <w:p w14:paraId="4A287D20" w14:textId="5CC9817B" w:rsidR="004E4433" w:rsidRPr="004E4433" w:rsidRDefault="004E4433" w:rsidP="004E4433">
      <w:pPr>
        <w:rPr>
          <w:rFonts w:ascii="Arial" w:hAnsi="Arial" w:cs="Arial"/>
          <w:sz w:val="20"/>
          <w:szCs w:val="20"/>
        </w:rPr>
      </w:pPr>
      <w:r w:rsidRPr="004E4433">
        <w:rPr>
          <w:rFonts w:ascii="Arial" w:hAnsi="Arial" w:cs="Arial"/>
          <w:sz w:val="20"/>
          <w:szCs w:val="20"/>
        </w:rPr>
        <w:lastRenderedPageBreak/>
        <w:t xml:space="preserve">Short-term interest rates have fallen over the past year, and are expected to fall further, and it is therefore likely to be more cost effective over the medium-term to either use internal resources, or to borrow short-term loans instead. The risks of this approach will be managed by keeping the PCC’s interest rate exposure within the limit set in the treasury management prudential indicators, see below. </w:t>
      </w:r>
    </w:p>
    <w:p w14:paraId="257AA5F5" w14:textId="6AEAE787" w:rsidR="00083B92" w:rsidRDefault="00816303" w:rsidP="00083B92">
      <w:pPr>
        <w:jc w:val="both"/>
        <w:rPr>
          <w:rFonts w:ascii="Trebuchet MS" w:hAnsi="Trebuchet MS"/>
          <w:sz w:val="20"/>
          <w:szCs w:val="20"/>
        </w:rPr>
      </w:pPr>
      <w:r w:rsidRPr="00B64F95">
        <w:rPr>
          <w:rFonts w:ascii="Arial" w:eastAsia="Times New Roman" w:hAnsi="Arial" w:cs="Arial"/>
          <w:sz w:val="20"/>
          <w:szCs w:val="20"/>
          <w:lang w:eastAsia="en-GB"/>
        </w:rPr>
        <w:t xml:space="preserve">By doing so, the </w:t>
      </w:r>
      <w:r w:rsidR="00B521A2" w:rsidRPr="00B64F95">
        <w:rPr>
          <w:rFonts w:ascii="Arial" w:eastAsia="Times New Roman" w:hAnsi="Arial" w:cs="Arial"/>
          <w:sz w:val="20"/>
          <w:szCs w:val="20"/>
          <w:lang w:eastAsia="en-GB"/>
        </w:rPr>
        <w:t>PCC</w:t>
      </w:r>
      <w:r w:rsidRPr="00B64F95">
        <w:rPr>
          <w:rFonts w:ascii="Arial" w:eastAsia="Times New Roman" w:hAnsi="Arial" w:cs="Arial"/>
          <w:sz w:val="20"/>
          <w:szCs w:val="20"/>
          <w:lang w:eastAsia="en-GB"/>
        </w:rPr>
        <w:t xml:space="preserve"> is able to </w:t>
      </w:r>
      <w:r w:rsidR="008135E6" w:rsidRPr="00B64F95">
        <w:rPr>
          <w:rFonts w:ascii="Arial" w:eastAsia="Times New Roman" w:hAnsi="Arial" w:cs="Arial"/>
          <w:sz w:val="20"/>
          <w:szCs w:val="20"/>
          <w:lang w:eastAsia="en-GB"/>
        </w:rPr>
        <w:t>reduc</w:t>
      </w:r>
      <w:r w:rsidRPr="00B64F95">
        <w:rPr>
          <w:rFonts w:ascii="Arial" w:eastAsia="Times New Roman" w:hAnsi="Arial" w:cs="Arial"/>
          <w:sz w:val="20"/>
          <w:szCs w:val="20"/>
          <w:lang w:eastAsia="en-GB"/>
        </w:rPr>
        <w:t xml:space="preserve">e </w:t>
      </w:r>
      <w:r w:rsidR="008135E6" w:rsidRPr="00B64F95">
        <w:rPr>
          <w:rFonts w:ascii="Arial" w:eastAsia="Times New Roman" w:hAnsi="Arial" w:cs="Arial"/>
          <w:sz w:val="20"/>
          <w:szCs w:val="20"/>
          <w:lang w:eastAsia="en-GB"/>
        </w:rPr>
        <w:t xml:space="preserve">net </w:t>
      </w:r>
      <w:r w:rsidRPr="00B64F95">
        <w:rPr>
          <w:rFonts w:ascii="Arial" w:eastAsia="Times New Roman" w:hAnsi="Arial" w:cs="Arial"/>
          <w:sz w:val="20"/>
          <w:szCs w:val="20"/>
          <w:lang w:eastAsia="en-GB"/>
        </w:rPr>
        <w:t>borrowing costs (</w:t>
      </w:r>
      <w:r w:rsidR="008135E6" w:rsidRPr="00B64F95">
        <w:rPr>
          <w:rFonts w:ascii="Arial" w:eastAsia="Times New Roman" w:hAnsi="Arial" w:cs="Arial"/>
          <w:sz w:val="20"/>
          <w:szCs w:val="20"/>
          <w:lang w:eastAsia="en-GB"/>
        </w:rPr>
        <w:t>despite</w:t>
      </w:r>
      <w:r w:rsidRPr="00B64F95">
        <w:rPr>
          <w:rFonts w:ascii="Arial" w:eastAsia="Times New Roman" w:hAnsi="Arial" w:cs="Arial"/>
          <w:sz w:val="20"/>
          <w:szCs w:val="20"/>
          <w:lang w:eastAsia="en-GB"/>
        </w:rPr>
        <w:t xml:space="preserve"> foregone investment income) and reduce overall treasury risk. The benefits of </w:t>
      </w:r>
      <w:r w:rsidR="00B521A2" w:rsidRPr="00B64F95">
        <w:rPr>
          <w:rFonts w:ascii="Arial" w:eastAsia="Times New Roman" w:hAnsi="Arial" w:cs="Arial"/>
          <w:sz w:val="20"/>
          <w:szCs w:val="20"/>
          <w:lang w:eastAsia="en-GB"/>
        </w:rPr>
        <w:t>internal</w:t>
      </w:r>
      <w:r w:rsidRPr="00B64F95">
        <w:rPr>
          <w:rFonts w:ascii="Arial" w:eastAsia="Times New Roman" w:hAnsi="Arial" w:cs="Arial"/>
          <w:sz w:val="20"/>
          <w:szCs w:val="20"/>
          <w:lang w:eastAsia="en-GB"/>
        </w:rPr>
        <w:t xml:space="preserve"> </w:t>
      </w:r>
      <w:r w:rsidR="00DC4F29">
        <w:rPr>
          <w:rFonts w:ascii="Arial" w:eastAsia="Times New Roman" w:hAnsi="Arial" w:cs="Arial"/>
          <w:sz w:val="20"/>
          <w:szCs w:val="20"/>
          <w:lang w:eastAsia="en-GB"/>
        </w:rPr>
        <w:t xml:space="preserve">and/ or </w:t>
      </w:r>
      <w:r w:rsidR="00FF494C">
        <w:rPr>
          <w:rFonts w:ascii="Arial" w:eastAsia="Times New Roman" w:hAnsi="Arial" w:cs="Arial"/>
          <w:sz w:val="20"/>
          <w:szCs w:val="20"/>
          <w:lang w:eastAsia="en-GB"/>
        </w:rPr>
        <w:t>short-term</w:t>
      </w:r>
      <w:r w:rsidR="00DC4F29">
        <w:rPr>
          <w:rFonts w:ascii="Arial" w:eastAsia="Times New Roman" w:hAnsi="Arial" w:cs="Arial"/>
          <w:sz w:val="20"/>
          <w:szCs w:val="20"/>
          <w:lang w:eastAsia="en-GB"/>
        </w:rPr>
        <w:t xml:space="preserve"> </w:t>
      </w:r>
      <w:r w:rsidRPr="00B64F95">
        <w:rPr>
          <w:rFonts w:ascii="Arial" w:eastAsia="Times New Roman" w:hAnsi="Arial" w:cs="Arial"/>
          <w:sz w:val="20"/>
          <w:szCs w:val="20"/>
          <w:lang w:eastAsia="en-GB"/>
        </w:rPr>
        <w:t xml:space="preserve">borrowing will </w:t>
      </w:r>
      <w:r w:rsidR="00867D1A" w:rsidRPr="00B64F95">
        <w:rPr>
          <w:rFonts w:ascii="Arial" w:eastAsia="Times New Roman" w:hAnsi="Arial" w:cs="Arial"/>
          <w:sz w:val="20"/>
          <w:szCs w:val="20"/>
          <w:lang w:eastAsia="en-GB"/>
        </w:rPr>
        <w:t xml:space="preserve">be </w:t>
      </w:r>
      <w:r w:rsidRPr="00B64F95">
        <w:rPr>
          <w:rFonts w:ascii="Arial" w:eastAsia="Times New Roman" w:hAnsi="Arial" w:cs="Arial"/>
          <w:sz w:val="20"/>
          <w:szCs w:val="20"/>
          <w:lang w:eastAsia="en-GB"/>
        </w:rPr>
        <w:t>monitored regularly against the potential for incurring additional costs by deferring borrowing into future years when long-term</w:t>
      </w:r>
      <w:r w:rsidR="00891CA1" w:rsidRPr="00B64F95">
        <w:rPr>
          <w:rFonts w:ascii="Arial" w:eastAsia="Times New Roman" w:hAnsi="Arial" w:cs="Arial"/>
          <w:sz w:val="20"/>
          <w:szCs w:val="20"/>
          <w:lang w:eastAsia="en-GB"/>
        </w:rPr>
        <w:t xml:space="preserve"> borrowing</w:t>
      </w:r>
      <w:r w:rsidRPr="00B64F95">
        <w:rPr>
          <w:rFonts w:ascii="Arial" w:eastAsia="Times New Roman" w:hAnsi="Arial" w:cs="Arial"/>
          <w:sz w:val="20"/>
          <w:szCs w:val="20"/>
          <w:lang w:eastAsia="en-GB"/>
        </w:rPr>
        <w:t xml:space="preserve"> rates are forecast to rise</w:t>
      </w:r>
      <w:r w:rsidR="0016103A" w:rsidRPr="00B64F95">
        <w:rPr>
          <w:rFonts w:ascii="Arial" w:eastAsia="Times New Roman" w:hAnsi="Arial" w:cs="Arial"/>
          <w:sz w:val="20"/>
          <w:szCs w:val="20"/>
          <w:lang w:eastAsia="en-GB"/>
        </w:rPr>
        <w:t xml:space="preserve"> modestly</w:t>
      </w:r>
      <w:r w:rsidRPr="00B64F95">
        <w:rPr>
          <w:rFonts w:ascii="Arial" w:eastAsia="Times New Roman" w:hAnsi="Arial" w:cs="Arial"/>
          <w:sz w:val="20"/>
          <w:szCs w:val="20"/>
          <w:lang w:eastAsia="en-GB"/>
        </w:rPr>
        <w:t xml:space="preserve">. </w:t>
      </w:r>
      <w:r w:rsidR="00681C2A">
        <w:rPr>
          <w:rFonts w:ascii="Arial" w:eastAsia="Times New Roman" w:hAnsi="Arial" w:cs="Arial"/>
          <w:sz w:val="20"/>
          <w:szCs w:val="20"/>
          <w:lang w:eastAsia="en-GB"/>
        </w:rPr>
        <w:t>The Treasury Management advisors</w:t>
      </w:r>
      <w:r w:rsidRPr="00B64F95">
        <w:rPr>
          <w:rFonts w:ascii="Arial" w:eastAsia="Times New Roman" w:hAnsi="Arial" w:cs="Arial"/>
          <w:sz w:val="20"/>
          <w:szCs w:val="20"/>
          <w:lang w:eastAsia="en-GB"/>
        </w:rPr>
        <w:t xml:space="preserve"> will assist the </w:t>
      </w:r>
      <w:r w:rsidR="00B521A2" w:rsidRPr="00B64F95">
        <w:rPr>
          <w:rFonts w:ascii="Arial" w:eastAsia="Times New Roman" w:hAnsi="Arial" w:cs="Arial"/>
          <w:sz w:val="20"/>
          <w:szCs w:val="20"/>
          <w:lang w:eastAsia="en-GB"/>
        </w:rPr>
        <w:t>PCC</w:t>
      </w:r>
      <w:r w:rsidRPr="00B64F95">
        <w:rPr>
          <w:rFonts w:ascii="Arial" w:eastAsia="Times New Roman" w:hAnsi="Arial" w:cs="Arial"/>
          <w:sz w:val="20"/>
          <w:szCs w:val="20"/>
          <w:lang w:eastAsia="en-GB"/>
        </w:rPr>
        <w:t xml:space="preserve"> with this ‘cost of carry’ </w:t>
      </w:r>
      <w:r w:rsidR="00891CA1" w:rsidRPr="00B64F95">
        <w:rPr>
          <w:rFonts w:ascii="Arial" w:eastAsia="Times New Roman" w:hAnsi="Arial" w:cs="Arial"/>
          <w:sz w:val="20"/>
          <w:szCs w:val="20"/>
          <w:lang w:eastAsia="en-GB"/>
        </w:rPr>
        <w:t xml:space="preserve">and </w:t>
      </w:r>
      <w:r w:rsidRPr="00B64F95">
        <w:rPr>
          <w:rFonts w:ascii="Arial" w:eastAsia="Times New Roman" w:hAnsi="Arial" w:cs="Arial"/>
          <w:sz w:val="20"/>
          <w:szCs w:val="20"/>
          <w:lang w:eastAsia="en-GB"/>
        </w:rPr>
        <w:t>break</w:t>
      </w:r>
      <w:r w:rsidR="00AA4413" w:rsidRPr="00B64F95">
        <w:rPr>
          <w:rFonts w:ascii="Arial" w:eastAsia="Times New Roman" w:hAnsi="Arial" w:cs="Arial"/>
          <w:sz w:val="20"/>
          <w:szCs w:val="20"/>
          <w:lang w:eastAsia="en-GB"/>
        </w:rPr>
        <w:t>-</w:t>
      </w:r>
      <w:r w:rsidRPr="00B64F95">
        <w:rPr>
          <w:rFonts w:ascii="Arial" w:eastAsia="Times New Roman" w:hAnsi="Arial" w:cs="Arial"/>
          <w:sz w:val="20"/>
          <w:szCs w:val="20"/>
          <w:lang w:eastAsia="en-GB"/>
        </w:rPr>
        <w:t>even analysis</w:t>
      </w:r>
      <w:r w:rsidR="00727C21" w:rsidRPr="00B64F95">
        <w:rPr>
          <w:rFonts w:ascii="Arial" w:eastAsia="Times New Roman" w:hAnsi="Arial" w:cs="Arial"/>
          <w:sz w:val="20"/>
          <w:szCs w:val="20"/>
          <w:lang w:eastAsia="en-GB"/>
        </w:rPr>
        <w:t>.</w:t>
      </w:r>
      <w:r w:rsidR="00727C21">
        <w:rPr>
          <w:rFonts w:ascii="Arial" w:eastAsia="Times New Roman" w:hAnsi="Arial" w:cs="Arial"/>
          <w:sz w:val="20"/>
          <w:szCs w:val="20"/>
          <w:lang w:eastAsia="en-GB"/>
        </w:rPr>
        <w:t xml:space="preserve"> </w:t>
      </w:r>
      <w:r w:rsidR="00F10A9A" w:rsidRPr="00F10A9A">
        <w:rPr>
          <w:rFonts w:ascii="Arial" w:hAnsi="Arial" w:cs="Arial"/>
          <w:sz w:val="20"/>
          <w:szCs w:val="20"/>
        </w:rPr>
        <w:t xml:space="preserve">Its output may determine whether the </w:t>
      </w:r>
      <w:r w:rsidR="00F10A9A">
        <w:rPr>
          <w:rFonts w:ascii="Arial" w:hAnsi="Arial" w:cs="Arial"/>
          <w:sz w:val="20"/>
          <w:szCs w:val="20"/>
        </w:rPr>
        <w:t>PCC</w:t>
      </w:r>
      <w:r w:rsidR="00F10A9A" w:rsidRPr="00F10A9A">
        <w:rPr>
          <w:rFonts w:ascii="Arial" w:hAnsi="Arial" w:cs="Arial"/>
          <w:sz w:val="20"/>
          <w:szCs w:val="20"/>
        </w:rPr>
        <w:t xml:space="preserve"> borrows additional sums at long-term fixed rates in 2026/27 with a view to keeping future interest costs low, even if this causes </w:t>
      </w:r>
      <w:bookmarkStart w:id="0" w:name="_Hlk58229100"/>
      <w:r w:rsidR="00083B92" w:rsidRPr="00F10A9A">
        <w:rPr>
          <w:rFonts w:ascii="Arial" w:hAnsi="Arial" w:cs="Arial"/>
          <w:sz w:val="20"/>
          <w:szCs w:val="20"/>
        </w:rPr>
        <w:t>additional cost in the short-term.</w:t>
      </w:r>
    </w:p>
    <w:p w14:paraId="49C39664" w14:textId="0F30A1DA" w:rsidR="008D5152" w:rsidRPr="00B64F95" w:rsidRDefault="00083B92" w:rsidP="009C61C6">
      <w:pPr>
        <w:rPr>
          <w:rFonts w:ascii="Arial" w:eastAsia="Times New Roman" w:hAnsi="Arial" w:cs="Arial"/>
          <w:sz w:val="20"/>
          <w:szCs w:val="20"/>
          <w:lang w:eastAsia="en-GB"/>
        </w:rPr>
      </w:pPr>
      <w:r w:rsidRPr="00083B92">
        <w:rPr>
          <w:rFonts w:ascii="Arial" w:hAnsi="Arial" w:cs="Arial"/>
          <w:sz w:val="20"/>
          <w:szCs w:val="20"/>
        </w:rPr>
        <w:t xml:space="preserve">The </w:t>
      </w:r>
      <w:r>
        <w:rPr>
          <w:rFonts w:ascii="Arial" w:hAnsi="Arial" w:cs="Arial"/>
          <w:sz w:val="20"/>
          <w:szCs w:val="20"/>
        </w:rPr>
        <w:t>PCC</w:t>
      </w:r>
      <w:r w:rsidRPr="00083B92">
        <w:rPr>
          <w:rFonts w:ascii="Arial" w:hAnsi="Arial" w:cs="Arial"/>
          <w:sz w:val="20"/>
          <w:szCs w:val="20"/>
        </w:rPr>
        <w:t xml:space="preserve"> has previously raised long-term borrowing from the PWLB but will consider long-term loans from other sources including banks, </w:t>
      </w:r>
      <w:r w:rsidR="00727C21" w:rsidRPr="00083B92">
        <w:rPr>
          <w:rFonts w:ascii="Arial" w:hAnsi="Arial" w:cs="Arial"/>
          <w:sz w:val="20"/>
          <w:szCs w:val="20"/>
        </w:rPr>
        <w:t>pensions,</w:t>
      </w:r>
      <w:r w:rsidRPr="00083B92">
        <w:rPr>
          <w:rFonts w:ascii="Arial" w:hAnsi="Arial" w:cs="Arial"/>
          <w:sz w:val="20"/>
          <w:szCs w:val="20"/>
        </w:rPr>
        <w:t xml:space="preserve"> and local authorities</w:t>
      </w:r>
      <w:r w:rsidR="004B39FB">
        <w:rPr>
          <w:rFonts w:ascii="Arial" w:hAnsi="Arial" w:cs="Arial"/>
          <w:sz w:val="20"/>
          <w:szCs w:val="20"/>
        </w:rPr>
        <w:t>.</w:t>
      </w:r>
      <w:bookmarkEnd w:id="0"/>
      <w:r w:rsidR="004B39FB">
        <w:rPr>
          <w:rFonts w:ascii="Arial" w:hAnsi="Arial" w:cs="Arial"/>
          <w:sz w:val="20"/>
          <w:szCs w:val="20"/>
        </w:rPr>
        <w:t xml:space="preserve"> </w:t>
      </w:r>
      <w:r w:rsidR="002E3175" w:rsidRPr="00B64F95">
        <w:rPr>
          <w:rFonts w:ascii="Arial" w:eastAsia="Times New Roman" w:hAnsi="Arial" w:cs="Arial"/>
          <w:sz w:val="20"/>
          <w:szCs w:val="20"/>
          <w:lang w:eastAsia="en-GB"/>
        </w:rPr>
        <w:t xml:space="preserve">Alternatively, the </w:t>
      </w:r>
      <w:r w:rsidR="00B521A2" w:rsidRPr="00B64F95">
        <w:rPr>
          <w:rFonts w:ascii="Arial" w:eastAsia="Times New Roman" w:hAnsi="Arial" w:cs="Arial"/>
          <w:sz w:val="20"/>
          <w:szCs w:val="20"/>
          <w:lang w:eastAsia="en-GB"/>
        </w:rPr>
        <w:t>PCC</w:t>
      </w:r>
      <w:r w:rsidR="002E3175" w:rsidRPr="00B64F95">
        <w:rPr>
          <w:rFonts w:ascii="Arial" w:eastAsia="Times New Roman" w:hAnsi="Arial" w:cs="Arial"/>
          <w:sz w:val="20"/>
          <w:szCs w:val="20"/>
          <w:lang w:eastAsia="en-GB"/>
        </w:rPr>
        <w:t xml:space="preserve"> may arrange forward starting loans during </w:t>
      </w:r>
      <w:r w:rsidR="004B39FB">
        <w:rPr>
          <w:rFonts w:ascii="Arial" w:eastAsia="Times New Roman" w:hAnsi="Arial" w:cs="Arial"/>
          <w:sz w:val="20"/>
          <w:szCs w:val="20"/>
          <w:lang w:eastAsia="en-GB"/>
        </w:rPr>
        <w:t>the year</w:t>
      </w:r>
      <w:r w:rsidR="002E3175" w:rsidRPr="00B64F95">
        <w:rPr>
          <w:rFonts w:ascii="Arial" w:eastAsia="Times New Roman" w:hAnsi="Arial" w:cs="Arial"/>
          <w:sz w:val="20"/>
          <w:szCs w:val="20"/>
          <w:lang w:eastAsia="en-GB"/>
        </w:rPr>
        <w:t>, where the interest rate is fixed in advance, but the cash is received in later years. This would enable certainty of cost to be achieved without suffering a cost of carry in the intervening period.</w:t>
      </w:r>
    </w:p>
    <w:p w14:paraId="08C91BB9" w14:textId="77777777" w:rsidR="0041798A" w:rsidRPr="00B64F95" w:rsidRDefault="0041798A" w:rsidP="00FD6480">
      <w:pPr>
        <w:pStyle w:val="ListParagraph"/>
        <w:ind w:left="0"/>
        <w:contextualSpacing w:val="0"/>
        <w:jc w:val="both"/>
        <w:rPr>
          <w:rFonts w:ascii="Arial" w:hAnsi="Arial" w:cs="Arial"/>
          <w:sz w:val="20"/>
          <w:szCs w:val="20"/>
        </w:rPr>
      </w:pPr>
      <w:r w:rsidRPr="00B64F95">
        <w:rPr>
          <w:rFonts w:ascii="Arial" w:hAnsi="Arial" w:cs="Arial"/>
          <w:sz w:val="20"/>
          <w:szCs w:val="20"/>
        </w:rPr>
        <w:t xml:space="preserve">In addition, the </w:t>
      </w:r>
      <w:r w:rsidR="00B521A2" w:rsidRPr="00B64F95">
        <w:rPr>
          <w:rFonts w:ascii="Arial" w:hAnsi="Arial" w:cs="Arial"/>
          <w:sz w:val="20"/>
          <w:szCs w:val="20"/>
        </w:rPr>
        <w:t>PCC</w:t>
      </w:r>
      <w:r w:rsidRPr="00B64F95">
        <w:rPr>
          <w:rFonts w:ascii="Arial" w:hAnsi="Arial" w:cs="Arial"/>
          <w:sz w:val="20"/>
          <w:szCs w:val="20"/>
        </w:rPr>
        <w:t xml:space="preserve"> may borrow</w:t>
      </w:r>
      <w:r w:rsidR="00BF4360" w:rsidRPr="00B64F95">
        <w:rPr>
          <w:rFonts w:ascii="Arial" w:hAnsi="Arial" w:cs="Arial"/>
          <w:sz w:val="20"/>
          <w:szCs w:val="20"/>
        </w:rPr>
        <w:t xml:space="preserve"> </w:t>
      </w:r>
      <w:r w:rsidR="00FD6480" w:rsidRPr="00B64F95">
        <w:rPr>
          <w:rFonts w:ascii="Arial" w:hAnsi="Arial" w:cs="Arial"/>
          <w:sz w:val="20"/>
          <w:szCs w:val="20"/>
        </w:rPr>
        <w:t>short-term loans</w:t>
      </w:r>
      <w:r w:rsidRPr="00B64F95">
        <w:rPr>
          <w:rFonts w:ascii="Arial" w:hAnsi="Arial" w:cs="Arial"/>
          <w:sz w:val="20"/>
          <w:szCs w:val="20"/>
        </w:rPr>
        <w:t xml:space="preserve"> to cover un</w:t>
      </w:r>
      <w:r w:rsidR="002B24C8" w:rsidRPr="00B64F95">
        <w:rPr>
          <w:rFonts w:ascii="Arial" w:hAnsi="Arial" w:cs="Arial"/>
          <w:sz w:val="20"/>
          <w:szCs w:val="20"/>
        </w:rPr>
        <w:t>planned</w:t>
      </w:r>
      <w:r w:rsidRPr="00B64F95">
        <w:rPr>
          <w:rFonts w:ascii="Arial" w:hAnsi="Arial" w:cs="Arial"/>
          <w:sz w:val="20"/>
          <w:szCs w:val="20"/>
        </w:rPr>
        <w:t xml:space="preserve"> cash flow shortages.</w:t>
      </w:r>
    </w:p>
    <w:p w14:paraId="26394008" w14:textId="77777777" w:rsidR="0041798A" w:rsidRPr="00B64F95" w:rsidRDefault="00D43FFA" w:rsidP="00FD6480">
      <w:pPr>
        <w:pStyle w:val="ListParagraph"/>
        <w:ind w:left="0"/>
        <w:contextualSpacing w:val="0"/>
        <w:jc w:val="both"/>
        <w:rPr>
          <w:rFonts w:ascii="Arial" w:hAnsi="Arial" w:cs="Arial"/>
          <w:sz w:val="20"/>
          <w:szCs w:val="20"/>
        </w:rPr>
      </w:pPr>
      <w:r w:rsidRPr="00B64F95">
        <w:rPr>
          <w:rFonts w:ascii="Arial" w:hAnsi="Arial" w:cs="Arial"/>
          <w:b/>
          <w:sz w:val="20"/>
          <w:szCs w:val="20"/>
        </w:rPr>
        <w:t>Sources</w:t>
      </w:r>
      <w:r w:rsidR="001A7599" w:rsidRPr="00B64F95">
        <w:rPr>
          <w:rFonts w:ascii="Arial" w:hAnsi="Arial" w:cs="Arial"/>
          <w:b/>
          <w:sz w:val="20"/>
          <w:szCs w:val="20"/>
        </w:rPr>
        <w:t xml:space="preserve"> of borrowing</w:t>
      </w:r>
      <w:r w:rsidRPr="00B64F95">
        <w:rPr>
          <w:rFonts w:ascii="Arial" w:hAnsi="Arial" w:cs="Arial"/>
          <w:b/>
          <w:sz w:val="20"/>
          <w:szCs w:val="20"/>
        </w:rPr>
        <w:t>:</w:t>
      </w:r>
      <w:r w:rsidRPr="00B64F95">
        <w:rPr>
          <w:rFonts w:ascii="Arial" w:hAnsi="Arial" w:cs="Arial"/>
          <w:sz w:val="20"/>
          <w:szCs w:val="20"/>
        </w:rPr>
        <w:t xml:space="preserve"> </w:t>
      </w:r>
      <w:r w:rsidR="0041798A" w:rsidRPr="00B64F95">
        <w:rPr>
          <w:rFonts w:ascii="Arial" w:hAnsi="Arial" w:cs="Arial"/>
          <w:sz w:val="20"/>
          <w:szCs w:val="20"/>
        </w:rPr>
        <w:t xml:space="preserve">The approved sources of long-term and short-term borrowing </w:t>
      </w:r>
      <w:r w:rsidR="00354898" w:rsidRPr="00B64F95">
        <w:rPr>
          <w:rFonts w:ascii="Arial" w:hAnsi="Arial" w:cs="Arial"/>
          <w:sz w:val="20"/>
          <w:szCs w:val="20"/>
        </w:rPr>
        <w:t>are</w:t>
      </w:r>
      <w:r w:rsidR="0041798A" w:rsidRPr="00B64F95">
        <w:rPr>
          <w:rFonts w:ascii="Arial" w:hAnsi="Arial" w:cs="Arial"/>
          <w:sz w:val="20"/>
          <w:szCs w:val="20"/>
        </w:rPr>
        <w:t>:</w:t>
      </w:r>
    </w:p>
    <w:p w14:paraId="7D5A32BE" w14:textId="77777777" w:rsidR="0041798A" w:rsidRPr="00B64F95" w:rsidRDefault="00153BB9" w:rsidP="007F12B1">
      <w:pPr>
        <w:pStyle w:val="ListParagraph"/>
        <w:numPr>
          <w:ilvl w:val="0"/>
          <w:numId w:val="2"/>
        </w:numPr>
        <w:spacing w:after="0"/>
        <w:ind w:left="709" w:hanging="349"/>
        <w:contextualSpacing w:val="0"/>
        <w:jc w:val="both"/>
        <w:rPr>
          <w:rFonts w:ascii="Arial" w:hAnsi="Arial" w:cs="Arial"/>
          <w:sz w:val="20"/>
          <w:szCs w:val="20"/>
        </w:rPr>
      </w:pPr>
      <w:r w:rsidRPr="00B64F95">
        <w:rPr>
          <w:rFonts w:ascii="Arial" w:hAnsi="Arial" w:cs="Arial"/>
          <w:sz w:val="20"/>
          <w:szCs w:val="20"/>
        </w:rPr>
        <w:t xml:space="preserve">HM Treasury’s PWLB lending facility (formerly the </w:t>
      </w:r>
      <w:r w:rsidR="0041798A" w:rsidRPr="00B64F95">
        <w:rPr>
          <w:rFonts w:ascii="Arial" w:hAnsi="Arial" w:cs="Arial"/>
          <w:sz w:val="20"/>
          <w:szCs w:val="20"/>
        </w:rPr>
        <w:t>Public Works Loan Board</w:t>
      </w:r>
      <w:r w:rsidRPr="00B64F95">
        <w:rPr>
          <w:rFonts w:ascii="Arial" w:hAnsi="Arial" w:cs="Arial"/>
          <w:sz w:val="20"/>
          <w:szCs w:val="20"/>
        </w:rPr>
        <w:t>)</w:t>
      </w:r>
    </w:p>
    <w:p w14:paraId="2ECDE314" w14:textId="50AB7090" w:rsidR="00400E61" w:rsidRPr="00B64F95" w:rsidRDefault="009C61C6" w:rsidP="00400E61">
      <w:pPr>
        <w:pStyle w:val="ListParagraph"/>
        <w:numPr>
          <w:ilvl w:val="0"/>
          <w:numId w:val="36"/>
        </w:numPr>
        <w:ind w:left="709" w:hanging="349"/>
        <w:jc w:val="both"/>
        <w:rPr>
          <w:rFonts w:ascii="Trebuchet MS" w:hAnsi="Trebuchet MS"/>
          <w:sz w:val="20"/>
          <w:szCs w:val="20"/>
        </w:rPr>
      </w:pPr>
      <w:r>
        <w:rPr>
          <w:rFonts w:ascii="Trebuchet MS" w:hAnsi="Trebuchet MS"/>
          <w:sz w:val="20"/>
          <w:szCs w:val="20"/>
        </w:rPr>
        <w:t xml:space="preserve">National Wealth Fund </w:t>
      </w:r>
      <w:r w:rsidR="00A40618">
        <w:rPr>
          <w:rFonts w:ascii="Trebuchet MS" w:hAnsi="Trebuchet MS"/>
          <w:sz w:val="20"/>
          <w:szCs w:val="20"/>
        </w:rPr>
        <w:t xml:space="preserve">Ltd (formerly </w:t>
      </w:r>
      <w:r w:rsidR="00400E61" w:rsidRPr="00B64F95">
        <w:rPr>
          <w:rFonts w:ascii="Trebuchet MS" w:hAnsi="Trebuchet MS"/>
          <w:sz w:val="20"/>
          <w:szCs w:val="20"/>
        </w:rPr>
        <w:t>UK Infrastructure Bank Ltd</w:t>
      </w:r>
      <w:r w:rsidR="00A40618">
        <w:rPr>
          <w:rFonts w:ascii="Trebuchet MS" w:hAnsi="Trebuchet MS"/>
          <w:sz w:val="20"/>
          <w:szCs w:val="20"/>
        </w:rPr>
        <w:t>)</w:t>
      </w:r>
    </w:p>
    <w:p w14:paraId="085999F0" w14:textId="77777777" w:rsidR="0041798A" w:rsidRPr="00B64F95" w:rsidRDefault="0041798A" w:rsidP="007F12B1">
      <w:pPr>
        <w:pStyle w:val="ListParagraph"/>
        <w:numPr>
          <w:ilvl w:val="0"/>
          <w:numId w:val="2"/>
        </w:numPr>
        <w:spacing w:after="0"/>
        <w:ind w:left="709" w:hanging="349"/>
        <w:contextualSpacing w:val="0"/>
        <w:jc w:val="both"/>
        <w:rPr>
          <w:rFonts w:ascii="Arial" w:hAnsi="Arial" w:cs="Arial"/>
          <w:sz w:val="20"/>
          <w:szCs w:val="20"/>
        </w:rPr>
      </w:pPr>
      <w:r w:rsidRPr="00B64F95">
        <w:rPr>
          <w:rFonts w:ascii="Arial" w:hAnsi="Arial" w:cs="Arial"/>
          <w:sz w:val="20"/>
          <w:szCs w:val="20"/>
        </w:rPr>
        <w:t xml:space="preserve">any institution approved for investments </w:t>
      </w:r>
      <w:r w:rsidR="00354898" w:rsidRPr="00B64F95">
        <w:rPr>
          <w:rFonts w:ascii="Arial" w:hAnsi="Arial" w:cs="Arial"/>
          <w:sz w:val="20"/>
          <w:szCs w:val="20"/>
        </w:rPr>
        <w:t>(see below</w:t>
      </w:r>
      <w:r w:rsidR="00DB4C2E" w:rsidRPr="00B64F95">
        <w:rPr>
          <w:rFonts w:ascii="Arial" w:hAnsi="Arial" w:cs="Arial"/>
          <w:sz w:val="20"/>
          <w:szCs w:val="20"/>
        </w:rPr>
        <w:t>)</w:t>
      </w:r>
    </w:p>
    <w:p w14:paraId="707349DA" w14:textId="25BD39C8" w:rsidR="0041798A" w:rsidRPr="00B64F95" w:rsidRDefault="0041798A" w:rsidP="007F12B1">
      <w:pPr>
        <w:pStyle w:val="ListParagraph"/>
        <w:numPr>
          <w:ilvl w:val="0"/>
          <w:numId w:val="2"/>
        </w:numPr>
        <w:spacing w:after="0"/>
        <w:ind w:left="709" w:hanging="349"/>
        <w:contextualSpacing w:val="0"/>
        <w:jc w:val="both"/>
        <w:rPr>
          <w:rFonts w:ascii="Arial" w:hAnsi="Arial" w:cs="Arial"/>
          <w:sz w:val="20"/>
          <w:szCs w:val="20"/>
        </w:rPr>
      </w:pPr>
      <w:r w:rsidRPr="00B64F95">
        <w:rPr>
          <w:rFonts w:ascii="Arial" w:hAnsi="Arial" w:cs="Arial"/>
          <w:sz w:val="20"/>
          <w:szCs w:val="20"/>
        </w:rPr>
        <w:t xml:space="preserve">any other bank or building society </w:t>
      </w:r>
      <w:r w:rsidR="00A40618">
        <w:rPr>
          <w:rFonts w:ascii="Arial" w:hAnsi="Arial" w:cs="Arial"/>
          <w:sz w:val="20"/>
          <w:szCs w:val="20"/>
        </w:rPr>
        <w:t xml:space="preserve">or insurance company </w:t>
      </w:r>
      <w:r w:rsidRPr="00B64F95">
        <w:rPr>
          <w:rFonts w:ascii="Arial" w:hAnsi="Arial" w:cs="Arial"/>
          <w:sz w:val="20"/>
          <w:szCs w:val="20"/>
        </w:rPr>
        <w:t>a</w:t>
      </w:r>
      <w:r w:rsidR="00354898" w:rsidRPr="00B64F95">
        <w:rPr>
          <w:rFonts w:ascii="Arial" w:hAnsi="Arial" w:cs="Arial"/>
          <w:sz w:val="20"/>
          <w:szCs w:val="20"/>
        </w:rPr>
        <w:t>uthorised</w:t>
      </w:r>
      <w:r w:rsidRPr="00B64F95">
        <w:rPr>
          <w:rFonts w:ascii="Arial" w:hAnsi="Arial" w:cs="Arial"/>
          <w:sz w:val="20"/>
          <w:szCs w:val="20"/>
        </w:rPr>
        <w:t xml:space="preserve"> </w:t>
      </w:r>
      <w:r w:rsidR="00354898" w:rsidRPr="00B64F95">
        <w:rPr>
          <w:rFonts w:ascii="Arial" w:hAnsi="Arial" w:cs="Arial"/>
          <w:sz w:val="20"/>
          <w:szCs w:val="20"/>
        </w:rPr>
        <w:t xml:space="preserve">to operate in the </w:t>
      </w:r>
      <w:r w:rsidR="00FF494C" w:rsidRPr="00B64F95">
        <w:rPr>
          <w:rFonts w:ascii="Arial" w:hAnsi="Arial" w:cs="Arial"/>
          <w:sz w:val="20"/>
          <w:szCs w:val="20"/>
        </w:rPr>
        <w:t>UK.</w:t>
      </w:r>
    </w:p>
    <w:p w14:paraId="11E51CD8" w14:textId="77777777" w:rsidR="00C25892" w:rsidRPr="00B64F95" w:rsidRDefault="00C25892" w:rsidP="007F12B1">
      <w:pPr>
        <w:pStyle w:val="ListParagraph"/>
        <w:numPr>
          <w:ilvl w:val="0"/>
          <w:numId w:val="2"/>
        </w:numPr>
        <w:spacing w:after="0"/>
        <w:ind w:left="709" w:hanging="349"/>
        <w:contextualSpacing w:val="0"/>
        <w:jc w:val="both"/>
        <w:rPr>
          <w:rFonts w:ascii="Arial" w:hAnsi="Arial" w:cs="Arial"/>
          <w:sz w:val="20"/>
          <w:szCs w:val="20"/>
        </w:rPr>
      </w:pPr>
      <w:r w:rsidRPr="00B64F95">
        <w:rPr>
          <w:rFonts w:ascii="Arial" w:hAnsi="Arial" w:cs="Arial"/>
          <w:sz w:val="20"/>
          <w:szCs w:val="20"/>
        </w:rPr>
        <w:t>any other UK public sector body</w:t>
      </w:r>
    </w:p>
    <w:p w14:paraId="1D904CA2" w14:textId="77777777" w:rsidR="00354898" w:rsidRPr="00B64F95" w:rsidRDefault="00132091" w:rsidP="007F12B1">
      <w:pPr>
        <w:pStyle w:val="ListParagraph"/>
        <w:numPr>
          <w:ilvl w:val="0"/>
          <w:numId w:val="2"/>
        </w:numPr>
        <w:spacing w:after="0"/>
        <w:ind w:left="709" w:hanging="349"/>
        <w:contextualSpacing w:val="0"/>
        <w:jc w:val="both"/>
        <w:rPr>
          <w:rFonts w:ascii="Arial" w:hAnsi="Arial" w:cs="Arial"/>
          <w:sz w:val="20"/>
          <w:szCs w:val="20"/>
        </w:rPr>
      </w:pPr>
      <w:r w:rsidRPr="00B64F95">
        <w:rPr>
          <w:rFonts w:ascii="Arial" w:hAnsi="Arial" w:cs="Arial"/>
          <w:sz w:val="20"/>
          <w:szCs w:val="20"/>
        </w:rPr>
        <w:t xml:space="preserve">UK </w:t>
      </w:r>
      <w:r w:rsidR="00E54078" w:rsidRPr="00B64F95">
        <w:rPr>
          <w:rFonts w:ascii="Arial" w:hAnsi="Arial" w:cs="Arial"/>
          <w:sz w:val="20"/>
          <w:szCs w:val="20"/>
        </w:rPr>
        <w:t>public and private sector</w:t>
      </w:r>
      <w:r w:rsidRPr="00B64F95">
        <w:rPr>
          <w:rFonts w:ascii="Arial" w:hAnsi="Arial" w:cs="Arial"/>
          <w:sz w:val="20"/>
          <w:szCs w:val="20"/>
        </w:rPr>
        <w:t xml:space="preserve"> </w:t>
      </w:r>
      <w:r w:rsidR="00354898" w:rsidRPr="00B64F95">
        <w:rPr>
          <w:rFonts w:ascii="Arial" w:hAnsi="Arial" w:cs="Arial"/>
          <w:sz w:val="20"/>
          <w:szCs w:val="20"/>
        </w:rPr>
        <w:t>pension funds</w:t>
      </w:r>
      <w:r w:rsidRPr="00B64F95">
        <w:rPr>
          <w:rFonts w:ascii="Arial" w:hAnsi="Arial" w:cs="Arial"/>
          <w:sz w:val="20"/>
          <w:szCs w:val="20"/>
        </w:rPr>
        <w:t xml:space="preserve"> (except</w:t>
      </w:r>
      <w:r w:rsidR="00153BB9" w:rsidRPr="00B64F95">
        <w:rPr>
          <w:rFonts w:ascii="Arial" w:hAnsi="Arial" w:cs="Arial"/>
          <w:sz w:val="20"/>
          <w:szCs w:val="20"/>
        </w:rPr>
        <w:t xml:space="preserve"> the</w:t>
      </w:r>
      <w:r w:rsidRPr="00B64F95">
        <w:rPr>
          <w:rFonts w:ascii="Arial" w:hAnsi="Arial" w:cs="Arial"/>
          <w:sz w:val="20"/>
          <w:szCs w:val="20"/>
        </w:rPr>
        <w:t xml:space="preserve"> </w:t>
      </w:r>
      <w:r w:rsidR="00B521A2" w:rsidRPr="00B64F95">
        <w:rPr>
          <w:rFonts w:ascii="Arial" w:hAnsi="Arial" w:cs="Arial"/>
          <w:sz w:val="20"/>
          <w:szCs w:val="20"/>
        </w:rPr>
        <w:t>Kent</w:t>
      </w:r>
      <w:r w:rsidRPr="00B64F95">
        <w:rPr>
          <w:rFonts w:ascii="Arial" w:hAnsi="Arial" w:cs="Arial"/>
          <w:sz w:val="20"/>
          <w:szCs w:val="20"/>
        </w:rPr>
        <w:t xml:space="preserve"> </w:t>
      </w:r>
      <w:r w:rsidR="00202E2E" w:rsidRPr="00B64F95">
        <w:rPr>
          <w:rFonts w:ascii="Arial" w:hAnsi="Arial" w:cs="Arial"/>
          <w:sz w:val="20"/>
          <w:szCs w:val="20"/>
        </w:rPr>
        <w:t>P</w:t>
      </w:r>
      <w:r w:rsidRPr="00B64F95">
        <w:rPr>
          <w:rFonts w:ascii="Arial" w:hAnsi="Arial" w:cs="Arial"/>
          <w:sz w:val="20"/>
          <w:szCs w:val="20"/>
        </w:rPr>
        <w:t xml:space="preserve">ension </w:t>
      </w:r>
      <w:r w:rsidR="00202E2E" w:rsidRPr="00B64F95">
        <w:rPr>
          <w:rFonts w:ascii="Arial" w:hAnsi="Arial" w:cs="Arial"/>
          <w:sz w:val="20"/>
          <w:szCs w:val="20"/>
        </w:rPr>
        <w:t>F</w:t>
      </w:r>
      <w:r w:rsidRPr="00B64F95">
        <w:rPr>
          <w:rFonts w:ascii="Arial" w:hAnsi="Arial" w:cs="Arial"/>
          <w:sz w:val="20"/>
          <w:szCs w:val="20"/>
        </w:rPr>
        <w:t>und)</w:t>
      </w:r>
    </w:p>
    <w:p w14:paraId="43D8A53D" w14:textId="35314FC7" w:rsidR="00522B8B" w:rsidRPr="00B64F95" w:rsidRDefault="00522B8B" w:rsidP="00522B8B">
      <w:pPr>
        <w:pStyle w:val="ListParagraph"/>
        <w:numPr>
          <w:ilvl w:val="0"/>
          <w:numId w:val="2"/>
        </w:numPr>
        <w:spacing w:after="0"/>
        <w:ind w:left="709" w:hanging="349"/>
        <w:contextualSpacing w:val="0"/>
        <w:jc w:val="both"/>
        <w:rPr>
          <w:rFonts w:ascii="Arial" w:hAnsi="Arial" w:cs="Arial"/>
          <w:sz w:val="20"/>
          <w:szCs w:val="20"/>
        </w:rPr>
      </w:pPr>
      <w:r w:rsidRPr="00B64F95">
        <w:rPr>
          <w:rFonts w:ascii="Arial" w:hAnsi="Arial" w:cs="Arial"/>
          <w:sz w:val="20"/>
          <w:szCs w:val="20"/>
        </w:rPr>
        <w:t xml:space="preserve">capital market bond </w:t>
      </w:r>
      <w:r w:rsidR="00FF494C" w:rsidRPr="00B64F95">
        <w:rPr>
          <w:rFonts w:ascii="Arial" w:hAnsi="Arial" w:cs="Arial"/>
          <w:sz w:val="20"/>
          <w:szCs w:val="20"/>
        </w:rPr>
        <w:t>investors.</w:t>
      </w:r>
    </w:p>
    <w:p w14:paraId="53D8EE64" w14:textId="518540F0" w:rsidR="00E24A97" w:rsidRPr="00B64F95" w:rsidRDefault="00E24A97" w:rsidP="00E24A97">
      <w:pPr>
        <w:pStyle w:val="ListParagraph"/>
        <w:numPr>
          <w:ilvl w:val="0"/>
          <w:numId w:val="36"/>
        </w:numPr>
        <w:ind w:left="709" w:hanging="349"/>
        <w:jc w:val="both"/>
        <w:rPr>
          <w:rFonts w:ascii="Trebuchet MS" w:hAnsi="Trebuchet MS"/>
          <w:sz w:val="20"/>
          <w:szCs w:val="20"/>
        </w:rPr>
      </w:pPr>
      <w:r w:rsidRPr="00B64F95">
        <w:rPr>
          <w:rFonts w:ascii="Trebuchet MS" w:hAnsi="Trebuchet MS"/>
          <w:sz w:val="20"/>
          <w:szCs w:val="20"/>
        </w:rPr>
        <w:t>retail investors via a regulated peer-to-peer platform</w:t>
      </w:r>
    </w:p>
    <w:p w14:paraId="6947EC73" w14:textId="1CE96D8A" w:rsidR="00522B8B" w:rsidRPr="00B64F95" w:rsidRDefault="00522B8B" w:rsidP="00E37A9A">
      <w:pPr>
        <w:pStyle w:val="ListParagraph"/>
        <w:numPr>
          <w:ilvl w:val="0"/>
          <w:numId w:val="2"/>
        </w:numPr>
        <w:spacing w:after="0"/>
        <w:ind w:left="709" w:hanging="349"/>
        <w:contextualSpacing w:val="0"/>
        <w:jc w:val="both"/>
        <w:rPr>
          <w:rFonts w:ascii="Arial" w:hAnsi="Arial" w:cs="Arial"/>
          <w:sz w:val="20"/>
          <w:szCs w:val="20"/>
        </w:rPr>
      </w:pPr>
      <w:r w:rsidRPr="00B64F95">
        <w:rPr>
          <w:rFonts w:ascii="Arial" w:hAnsi="Arial" w:cs="Arial"/>
          <w:sz w:val="20"/>
          <w:szCs w:val="20"/>
        </w:rPr>
        <w:t xml:space="preserve">special purpose companies created to enable local authority bond </w:t>
      </w:r>
      <w:r w:rsidR="00FF494C" w:rsidRPr="00B64F95">
        <w:rPr>
          <w:rFonts w:ascii="Arial" w:hAnsi="Arial" w:cs="Arial"/>
          <w:sz w:val="20"/>
          <w:szCs w:val="20"/>
        </w:rPr>
        <w:t>issues.</w:t>
      </w:r>
    </w:p>
    <w:p w14:paraId="0746E913" w14:textId="77777777" w:rsidR="001150F1" w:rsidRPr="00B64F95" w:rsidRDefault="001150F1" w:rsidP="001B7C4D">
      <w:pPr>
        <w:pStyle w:val="ListParagraph"/>
        <w:spacing w:after="0"/>
        <w:ind w:left="709"/>
        <w:contextualSpacing w:val="0"/>
        <w:jc w:val="both"/>
        <w:rPr>
          <w:rFonts w:ascii="Arial" w:hAnsi="Arial" w:cs="Arial"/>
          <w:sz w:val="20"/>
          <w:szCs w:val="20"/>
        </w:rPr>
      </w:pPr>
    </w:p>
    <w:p w14:paraId="46682397" w14:textId="77777777" w:rsidR="004E047F" w:rsidRPr="00B64F95" w:rsidRDefault="001A7599" w:rsidP="00FD6480">
      <w:pPr>
        <w:pStyle w:val="ListParagraph"/>
        <w:ind w:left="0"/>
        <w:contextualSpacing w:val="0"/>
        <w:jc w:val="both"/>
        <w:rPr>
          <w:rFonts w:ascii="Arial" w:hAnsi="Arial" w:cs="Arial"/>
          <w:sz w:val="20"/>
          <w:szCs w:val="20"/>
        </w:rPr>
      </w:pPr>
      <w:r w:rsidRPr="00B64F95">
        <w:rPr>
          <w:rFonts w:ascii="Arial" w:hAnsi="Arial" w:cs="Arial"/>
          <w:b/>
          <w:sz w:val="20"/>
          <w:szCs w:val="20"/>
        </w:rPr>
        <w:t>Other sources of debt finance:</w:t>
      </w:r>
      <w:r w:rsidRPr="00B64F95">
        <w:rPr>
          <w:rFonts w:ascii="Arial" w:hAnsi="Arial" w:cs="Arial"/>
          <w:sz w:val="20"/>
          <w:szCs w:val="20"/>
        </w:rPr>
        <w:t xml:space="preserve"> </w:t>
      </w:r>
      <w:r w:rsidR="004E047F" w:rsidRPr="00B64F95">
        <w:rPr>
          <w:rFonts w:ascii="Arial" w:hAnsi="Arial" w:cs="Arial"/>
          <w:sz w:val="20"/>
          <w:szCs w:val="20"/>
        </w:rPr>
        <w:t>In addition, capital finance may be raised by the following methods that are not borrowing</w:t>
      </w:r>
      <w:r w:rsidR="0026017D" w:rsidRPr="00B64F95">
        <w:rPr>
          <w:rFonts w:ascii="Arial" w:hAnsi="Arial" w:cs="Arial"/>
          <w:sz w:val="20"/>
          <w:szCs w:val="20"/>
        </w:rPr>
        <w:t>, but may be classed as other debt liabilities</w:t>
      </w:r>
      <w:r w:rsidR="004E047F" w:rsidRPr="00B64F95">
        <w:rPr>
          <w:rFonts w:ascii="Arial" w:hAnsi="Arial" w:cs="Arial"/>
          <w:sz w:val="20"/>
          <w:szCs w:val="20"/>
        </w:rPr>
        <w:t>:</w:t>
      </w:r>
    </w:p>
    <w:p w14:paraId="242A3FB5" w14:textId="77777777" w:rsidR="004E047F" w:rsidRPr="00B64F95" w:rsidRDefault="00C25892" w:rsidP="004E047F">
      <w:pPr>
        <w:pStyle w:val="ListParagraph"/>
        <w:numPr>
          <w:ilvl w:val="0"/>
          <w:numId w:val="2"/>
        </w:numPr>
        <w:spacing w:after="0"/>
        <w:ind w:left="709" w:hanging="349"/>
        <w:contextualSpacing w:val="0"/>
        <w:jc w:val="both"/>
        <w:rPr>
          <w:rFonts w:ascii="Arial" w:hAnsi="Arial" w:cs="Arial"/>
          <w:sz w:val="20"/>
          <w:szCs w:val="20"/>
        </w:rPr>
      </w:pPr>
      <w:r w:rsidRPr="00B64F95">
        <w:rPr>
          <w:rFonts w:ascii="Arial" w:hAnsi="Arial" w:cs="Arial"/>
          <w:sz w:val="20"/>
          <w:szCs w:val="20"/>
        </w:rPr>
        <w:t>leasing</w:t>
      </w:r>
    </w:p>
    <w:p w14:paraId="03DAD328" w14:textId="17A19128" w:rsidR="0026017D" w:rsidRPr="00B64F95" w:rsidRDefault="0026017D" w:rsidP="004E047F">
      <w:pPr>
        <w:pStyle w:val="ListParagraph"/>
        <w:numPr>
          <w:ilvl w:val="0"/>
          <w:numId w:val="2"/>
        </w:numPr>
        <w:spacing w:after="0"/>
        <w:ind w:left="709" w:hanging="349"/>
        <w:contextualSpacing w:val="0"/>
        <w:jc w:val="both"/>
        <w:rPr>
          <w:rFonts w:ascii="Arial" w:hAnsi="Arial" w:cs="Arial"/>
          <w:sz w:val="20"/>
          <w:szCs w:val="20"/>
        </w:rPr>
      </w:pPr>
      <w:r w:rsidRPr="00B64F95">
        <w:rPr>
          <w:rFonts w:ascii="Arial" w:hAnsi="Arial" w:cs="Arial"/>
          <w:sz w:val="20"/>
          <w:szCs w:val="20"/>
        </w:rPr>
        <w:t xml:space="preserve">hire </w:t>
      </w:r>
      <w:r w:rsidR="00FF494C" w:rsidRPr="00B64F95">
        <w:rPr>
          <w:rFonts w:ascii="Arial" w:hAnsi="Arial" w:cs="Arial"/>
          <w:sz w:val="20"/>
          <w:szCs w:val="20"/>
        </w:rPr>
        <w:t>purchase.</w:t>
      </w:r>
    </w:p>
    <w:p w14:paraId="7CE3552F" w14:textId="77777777" w:rsidR="004E047F" w:rsidRPr="00B64F95" w:rsidRDefault="004E047F" w:rsidP="004E047F">
      <w:pPr>
        <w:pStyle w:val="ListParagraph"/>
        <w:numPr>
          <w:ilvl w:val="0"/>
          <w:numId w:val="2"/>
        </w:numPr>
        <w:spacing w:after="0"/>
        <w:ind w:left="709" w:hanging="349"/>
        <w:contextualSpacing w:val="0"/>
        <w:jc w:val="both"/>
        <w:rPr>
          <w:rFonts w:ascii="Arial" w:hAnsi="Arial" w:cs="Arial"/>
          <w:sz w:val="20"/>
          <w:szCs w:val="20"/>
        </w:rPr>
      </w:pPr>
      <w:r w:rsidRPr="00B64F95">
        <w:rPr>
          <w:rFonts w:ascii="Arial" w:hAnsi="Arial" w:cs="Arial"/>
          <w:sz w:val="20"/>
          <w:szCs w:val="20"/>
        </w:rPr>
        <w:t xml:space="preserve">Private Finance Initiative </w:t>
      </w:r>
    </w:p>
    <w:p w14:paraId="3847D9FF" w14:textId="77777777" w:rsidR="004E047F" w:rsidRPr="00B64F95" w:rsidRDefault="0026017D" w:rsidP="0028735D">
      <w:pPr>
        <w:pStyle w:val="ListParagraph"/>
        <w:numPr>
          <w:ilvl w:val="0"/>
          <w:numId w:val="2"/>
        </w:numPr>
        <w:spacing w:after="0"/>
        <w:ind w:left="709" w:hanging="349"/>
        <w:contextualSpacing w:val="0"/>
        <w:jc w:val="both"/>
        <w:rPr>
          <w:rFonts w:ascii="Arial" w:hAnsi="Arial" w:cs="Arial"/>
          <w:sz w:val="20"/>
          <w:szCs w:val="20"/>
        </w:rPr>
      </w:pPr>
      <w:r w:rsidRPr="00B64F95">
        <w:rPr>
          <w:rFonts w:ascii="Arial" w:hAnsi="Arial" w:cs="Arial"/>
          <w:sz w:val="20"/>
          <w:szCs w:val="20"/>
        </w:rPr>
        <w:t>sale and leaseback</w:t>
      </w:r>
    </w:p>
    <w:p w14:paraId="6BB131CD" w14:textId="57955BDE" w:rsidR="00A240C8" w:rsidRPr="00B64F95" w:rsidRDefault="00A240C8" w:rsidP="00A240C8">
      <w:pPr>
        <w:pStyle w:val="ListParagraph"/>
        <w:numPr>
          <w:ilvl w:val="0"/>
          <w:numId w:val="36"/>
        </w:numPr>
        <w:ind w:left="709" w:hanging="349"/>
        <w:jc w:val="both"/>
        <w:rPr>
          <w:rFonts w:ascii="Trebuchet MS" w:hAnsi="Trebuchet MS"/>
          <w:sz w:val="20"/>
          <w:szCs w:val="20"/>
        </w:rPr>
      </w:pPr>
      <w:r w:rsidRPr="00B64F95">
        <w:rPr>
          <w:rFonts w:ascii="Trebuchet MS" w:hAnsi="Trebuchet MS"/>
          <w:sz w:val="20"/>
          <w:szCs w:val="20"/>
        </w:rPr>
        <w:t xml:space="preserve">similar </w:t>
      </w:r>
      <w:r w:rsidR="004A18FE" w:rsidRPr="00B64F95">
        <w:rPr>
          <w:rFonts w:ascii="Trebuchet MS" w:hAnsi="Trebuchet MS"/>
          <w:sz w:val="20"/>
          <w:szCs w:val="20"/>
        </w:rPr>
        <w:t>asset-based</w:t>
      </w:r>
      <w:r w:rsidRPr="00B64F95">
        <w:rPr>
          <w:rFonts w:ascii="Trebuchet MS" w:hAnsi="Trebuchet MS"/>
          <w:sz w:val="20"/>
          <w:szCs w:val="20"/>
        </w:rPr>
        <w:t xml:space="preserve"> finance</w:t>
      </w:r>
    </w:p>
    <w:p w14:paraId="3782D119" w14:textId="77777777" w:rsidR="0028735D" w:rsidRPr="00B64F95" w:rsidRDefault="0028735D" w:rsidP="0028735D">
      <w:pPr>
        <w:pStyle w:val="ListParagraph"/>
        <w:spacing w:after="0"/>
        <w:ind w:left="0"/>
        <w:contextualSpacing w:val="0"/>
        <w:jc w:val="both"/>
        <w:rPr>
          <w:rFonts w:ascii="Arial" w:hAnsi="Arial" w:cs="Arial"/>
          <w:sz w:val="20"/>
          <w:szCs w:val="20"/>
        </w:rPr>
      </w:pPr>
    </w:p>
    <w:p w14:paraId="309C6E2C" w14:textId="77777777" w:rsidR="0041798A" w:rsidRPr="00B64F95" w:rsidRDefault="0041798A" w:rsidP="00FD6480">
      <w:pPr>
        <w:pStyle w:val="ListParagraph"/>
        <w:ind w:left="0"/>
        <w:contextualSpacing w:val="0"/>
        <w:jc w:val="both"/>
        <w:rPr>
          <w:rFonts w:ascii="Arial" w:hAnsi="Arial" w:cs="Arial"/>
          <w:sz w:val="20"/>
          <w:szCs w:val="20"/>
        </w:rPr>
      </w:pPr>
      <w:r w:rsidRPr="00B64F95">
        <w:rPr>
          <w:rFonts w:ascii="Arial" w:hAnsi="Arial" w:cs="Arial"/>
          <w:sz w:val="20"/>
          <w:szCs w:val="20"/>
        </w:rPr>
        <w:t xml:space="preserve">The </w:t>
      </w:r>
      <w:r w:rsidR="00B521A2" w:rsidRPr="00B64F95">
        <w:rPr>
          <w:rFonts w:ascii="Arial" w:hAnsi="Arial" w:cs="Arial"/>
          <w:sz w:val="20"/>
          <w:szCs w:val="20"/>
        </w:rPr>
        <w:t>PCC</w:t>
      </w:r>
      <w:r w:rsidRPr="00B64F95">
        <w:rPr>
          <w:rFonts w:ascii="Arial" w:hAnsi="Arial" w:cs="Arial"/>
          <w:sz w:val="20"/>
          <w:szCs w:val="20"/>
        </w:rPr>
        <w:t xml:space="preserve"> </w:t>
      </w:r>
      <w:r w:rsidR="00004683" w:rsidRPr="00B64F95">
        <w:rPr>
          <w:rFonts w:ascii="Arial" w:hAnsi="Arial" w:cs="Arial"/>
          <w:sz w:val="20"/>
          <w:szCs w:val="20"/>
        </w:rPr>
        <w:t>will</w:t>
      </w:r>
      <w:r w:rsidRPr="00B64F95">
        <w:rPr>
          <w:rFonts w:ascii="Arial" w:hAnsi="Arial" w:cs="Arial"/>
          <w:sz w:val="20"/>
          <w:szCs w:val="20"/>
        </w:rPr>
        <w:t xml:space="preserve"> investigate other sources of finance, such as </w:t>
      </w:r>
      <w:r w:rsidR="008135E6" w:rsidRPr="00B64F95">
        <w:rPr>
          <w:rFonts w:ascii="Arial" w:hAnsi="Arial" w:cs="Arial"/>
          <w:sz w:val="20"/>
          <w:szCs w:val="20"/>
        </w:rPr>
        <w:t>local authority loans</w:t>
      </w:r>
      <w:r w:rsidRPr="00B64F95">
        <w:rPr>
          <w:rFonts w:ascii="Arial" w:hAnsi="Arial" w:cs="Arial"/>
          <w:sz w:val="20"/>
          <w:szCs w:val="20"/>
        </w:rPr>
        <w:t xml:space="preserve"> and bank </w:t>
      </w:r>
      <w:r w:rsidR="0021680D" w:rsidRPr="00B64F95">
        <w:rPr>
          <w:rFonts w:ascii="Arial" w:hAnsi="Arial" w:cs="Arial"/>
          <w:sz w:val="20"/>
          <w:szCs w:val="20"/>
        </w:rPr>
        <w:t>loans, which</w:t>
      </w:r>
      <w:r w:rsidRPr="00B64F95">
        <w:rPr>
          <w:rFonts w:ascii="Arial" w:hAnsi="Arial" w:cs="Arial"/>
          <w:sz w:val="20"/>
          <w:szCs w:val="20"/>
        </w:rPr>
        <w:t xml:space="preserve"> may be available at more favourable rates.</w:t>
      </w:r>
    </w:p>
    <w:p w14:paraId="097BCFD6" w14:textId="77777777" w:rsidR="0041798A" w:rsidRDefault="007D7B42" w:rsidP="00354898">
      <w:pPr>
        <w:pStyle w:val="ListParagraph"/>
        <w:ind w:left="0"/>
        <w:contextualSpacing w:val="0"/>
        <w:jc w:val="both"/>
        <w:rPr>
          <w:rFonts w:ascii="Arial" w:hAnsi="Arial" w:cs="Arial"/>
          <w:sz w:val="20"/>
          <w:szCs w:val="20"/>
        </w:rPr>
      </w:pPr>
      <w:r w:rsidRPr="00B64F95">
        <w:rPr>
          <w:rFonts w:ascii="Arial" w:hAnsi="Arial" w:cs="Arial"/>
          <w:b/>
          <w:sz w:val="20"/>
          <w:szCs w:val="20"/>
        </w:rPr>
        <w:t xml:space="preserve">Short-term and </w:t>
      </w:r>
      <w:r w:rsidR="00875827" w:rsidRPr="00B64F95">
        <w:rPr>
          <w:rFonts w:ascii="Arial" w:hAnsi="Arial" w:cs="Arial"/>
          <w:b/>
          <w:sz w:val="20"/>
          <w:szCs w:val="20"/>
        </w:rPr>
        <w:t>v</w:t>
      </w:r>
      <w:r w:rsidR="0041798A" w:rsidRPr="00B64F95">
        <w:rPr>
          <w:rFonts w:ascii="Arial" w:hAnsi="Arial" w:cs="Arial"/>
          <w:b/>
          <w:sz w:val="20"/>
          <w:szCs w:val="20"/>
        </w:rPr>
        <w:t xml:space="preserve">ariable </w:t>
      </w:r>
      <w:r w:rsidR="00875827" w:rsidRPr="00B64F95">
        <w:rPr>
          <w:rFonts w:ascii="Arial" w:hAnsi="Arial" w:cs="Arial"/>
          <w:b/>
          <w:sz w:val="20"/>
          <w:szCs w:val="20"/>
        </w:rPr>
        <w:t>r</w:t>
      </w:r>
      <w:r w:rsidR="0041798A" w:rsidRPr="00B64F95">
        <w:rPr>
          <w:rFonts w:ascii="Arial" w:hAnsi="Arial" w:cs="Arial"/>
          <w:b/>
          <w:sz w:val="20"/>
          <w:szCs w:val="20"/>
        </w:rPr>
        <w:t>ate loans</w:t>
      </w:r>
      <w:r w:rsidR="00D43FFA" w:rsidRPr="00B64F95">
        <w:rPr>
          <w:rFonts w:ascii="Arial" w:hAnsi="Arial" w:cs="Arial"/>
          <w:sz w:val="20"/>
          <w:szCs w:val="20"/>
        </w:rPr>
        <w:t>:</w:t>
      </w:r>
      <w:r w:rsidR="0041798A" w:rsidRPr="00B64F95">
        <w:rPr>
          <w:rFonts w:ascii="Arial" w:hAnsi="Arial" w:cs="Arial"/>
          <w:sz w:val="20"/>
          <w:szCs w:val="20"/>
        </w:rPr>
        <w:t xml:space="preserve"> </w:t>
      </w:r>
      <w:r w:rsidR="00D43FFA" w:rsidRPr="00B64F95">
        <w:rPr>
          <w:rFonts w:ascii="Arial" w:hAnsi="Arial" w:cs="Arial"/>
          <w:sz w:val="20"/>
          <w:szCs w:val="20"/>
        </w:rPr>
        <w:t xml:space="preserve">These loans </w:t>
      </w:r>
      <w:r w:rsidRPr="00B64F95">
        <w:rPr>
          <w:rFonts w:ascii="Arial" w:hAnsi="Arial" w:cs="Arial"/>
          <w:sz w:val="20"/>
          <w:szCs w:val="20"/>
        </w:rPr>
        <w:t xml:space="preserve">leave the </w:t>
      </w:r>
      <w:r w:rsidR="00B521A2" w:rsidRPr="00B64F95">
        <w:rPr>
          <w:rFonts w:ascii="Arial" w:hAnsi="Arial" w:cs="Arial"/>
          <w:sz w:val="20"/>
          <w:szCs w:val="20"/>
        </w:rPr>
        <w:t>PCC</w:t>
      </w:r>
      <w:r w:rsidRPr="00B64F95">
        <w:rPr>
          <w:rFonts w:ascii="Arial" w:hAnsi="Arial" w:cs="Arial"/>
          <w:sz w:val="20"/>
          <w:szCs w:val="20"/>
        </w:rPr>
        <w:t xml:space="preserve"> exposed to the risk of short-term interest rate rises and are therefore</w:t>
      </w:r>
      <w:r w:rsidR="0041798A" w:rsidRPr="00B64F95">
        <w:rPr>
          <w:rFonts w:ascii="Arial" w:hAnsi="Arial" w:cs="Arial"/>
          <w:sz w:val="20"/>
          <w:szCs w:val="20"/>
        </w:rPr>
        <w:t xml:space="preserve"> subject to the </w:t>
      </w:r>
      <w:r w:rsidR="00C25892" w:rsidRPr="00B64F95">
        <w:rPr>
          <w:rFonts w:ascii="Arial" w:hAnsi="Arial" w:cs="Arial"/>
          <w:sz w:val="20"/>
          <w:szCs w:val="20"/>
        </w:rPr>
        <w:t>interest rate exposure limits</w:t>
      </w:r>
      <w:r w:rsidR="0041798A" w:rsidRPr="00B64F95">
        <w:rPr>
          <w:rFonts w:ascii="Arial" w:hAnsi="Arial" w:cs="Arial"/>
          <w:sz w:val="20"/>
          <w:szCs w:val="20"/>
        </w:rPr>
        <w:t xml:space="preserve"> in the treasu</w:t>
      </w:r>
      <w:r w:rsidR="00354898" w:rsidRPr="00B64F95">
        <w:rPr>
          <w:rFonts w:ascii="Arial" w:hAnsi="Arial" w:cs="Arial"/>
          <w:sz w:val="20"/>
          <w:szCs w:val="20"/>
        </w:rPr>
        <w:t>ry management indicators below.</w:t>
      </w:r>
    </w:p>
    <w:p w14:paraId="21FCBA17" w14:textId="55003C21" w:rsidR="00772E50" w:rsidRDefault="00772E50" w:rsidP="00354898">
      <w:pPr>
        <w:pStyle w:val="ListParagraph"/>
        <w:ind w:left="0"/>
        <w:contextualSpacing w:val="0"/>
        <w:jc w:val="both"/>
        <w:rPr>
          <w:rFonts w:ascii="Arial" w:hAnsi="Arial" w:cs="Arial"/>
          <w:sz w:val="20"/>
          <w:szCs w:val="20"/>
        </w:rPr>
      </w:pPr>
      <w:r w:rsidRPr="00772E50">
        <w:rPr>
          <w:rFonts w:ascii="Arial" w:hAnsi="Arial" w:cs="Arial"/>
          <w:b/>
          <w:sz w:val="20"/>
          <w:szCs w:val="20"/>
        </w:rPr>
        <w:t>Debt rescheduling:</w:t>
      </w:r>
      <w:r w:rsidRPr="00772E50">
        <w:rPr>
          <w:rFonts w:ascii="Arial" w:hAnsi="Arial" w:cs="Arial"/>
          <w:sz w:val="20"/>
          <w:szCs w:val="20"/>
        </w:rPr>
        <w:t xml:space="preserve"> The PWLB allows </w:t>
      </w:r>
      <w:r>
        <w:rPr>
          <w:rFonts w:ascii="Arial" w:hAnsi="Arial" w:cs="Arial"/>
          <w:sz w:val="20"/>
          <w:szCs w:val="20"/>
        </w:rPr>
        <w:t>PCC</w:t>
      </w:r>
      <w:r w:rsidRPr="00772E50">
        <w:rPr>
          <w:rFonts w:ascii="Arial" w:hAnsi="Arial" w:cs="Arial"/>
          <w:sz w:val="20"/>
          <w:szCs w:val="20"/>
        </w:rPr>
        <w:t xml:space="preserve">s to repay loans before maturity and either pay a premium or receive a discount according to a set formula based on current interest rates. Other lenders may also be prepared to negotiate premature redemption terms. The </w:t>
      </w:r>
      <w:r>
        <w:rPr>
          <w:rFonts w:ascii="Arial" w:hAnsi="Arial" w:cs="Arial"/>
          <w:sz w:val="20"/>
          <w:szCs w:val="20"/>
        </w:rPr>
        <w:t>PCC</w:t>
      </w:r>
      <w:r w:rsidRPr="00772E50">
        <w:rPr>
          <w:rFonts w:ascii="Arial" w:hAnsi="Arial" w:cs="Arial"/>
          <w:sz w:val="20"/>
          <w:szCs w:val="20"/>
        </w:rPr>
        <w:t xml:space="preserve"> may take advantage of this and replace some loans with new loans, or repay loans without replacement, where this is expected to lead to an overall cost saving or a reduction in risk. </w:t>
      </w:r>
    </w:p>
    <w:p w14:paraId="0294924D" w14:textId="346F3277" w:rsidR="00882176" w:rsidRPr="00882176" w:rsidRDefault="00882176" w:rsidP="00882176">
      <w:pPr>
        <w:pStyle w:val="ListParagraph"/>
        <w:ind w:left="0"/>
        <w:contextualSpacing w:val="0"/>
        <w:jc w:val="both"/>
        <w:rPr>
          <w:rFonts w:ascii="Arial" w:hAnsi="Arial" w:cs="Arial"/>
          <w:b/>
          <w:bCs/>
          <w:sz w:val="20"/>
          <w:szCs w:val="20"/>
        </w:rPr>
      </w:pPr>
      <w:r w:rsidRPr="00882176">
        <w:rPr>
          <w:rFonts w:ascii="Arial" w:hAnsi="Arial" w:cs="Arial"/>
          <w:b/>
          <w:bCs/>
          <w:sz w:val="20"/>
          <w:szCs w:val="20"/>
        </w:rPr>
        <w:lastRenderedPageBreak/>
        <w:t>Borrowing Limit</w:t>
      </w:r>
      <w:r>
        <w:rPr>
          <w:rFonts w:ascii="Arial" w:hAnsi="Arial" w:cs="Arial"/>
          <w:b/>
          <w:bCs/>
          <w:sz w:val="20"/>
          <w:szCs w:val="20"/>
        </w:rPr>
        <w:t xml:space="preserve">: </w:t>
      </w:r>
      <w:r w:rsidRPr="00882176">
        <w:rPr>
          <w:rFonts w:ascii="Arial" w:hAnsi="Arial" w:cs="Arial"/>
          <w:bCs/>
          <w:sz w:val="20"/>
          <w:szCs w:val="20"/>
        </w:rPr>
        <w:t xml:space="preserve">The total amount borrowed will not exceed the authorised borrowing limit of </w:t>
      </w:r>
      <w:r w:rsidRPr="00882176">
        <w:rPr>
          <w:rFonts w:ascii="Arial" w:hAnsi="Arial" w:cs="Arial"/>
          <w:sz w:val="20"/>
          <w:szCs w:val="20"/>
        </w:rPr>
        <w:t>£</w:t>
      </w:r>
      <w:r w:rsidRPr="00882176">
        <w:rPr>
          <w:rFonts w:ascii="Arial" w:hAnsi="Arial" w:cs="Arial"/>
          <w:color w:val="FF0000"/>
          <w:sz w:val="20"/>
          <w:szCs w:val="20"/>
        </w:rPr>
        <w:t>120</w:t>
      </w:r>
      <w:r w:rsidRPr="00882176">
        <w:rPr>
          <w:rFonts w:ascii="Arial" w:hAnsi="Arial" w:cs="Arial"/>
          <w:sz w:val="20"/>
          <w:szCs w:val="20"/>
        </w:rPr>
        <w:t xml:space="preserve"> </w:t>
      </w:r>
      <w:r w:rsidRPr="00882176">
        <w:rPr>
          <w:rFonts w:ascii="Arial" w:hAnsi="Arial" w:cs="Arial"/>
          <w:bCs/>
          <w:sz w:val="20"/>
          <w:szCs w:val="20"/>
        </w:rPr>
        <w:t>million</w:t>
      </w:r>
      <w:r w:rsidRPr="00882176">
        <w:rPr>
          <w:rFonts w:ascii="Arial" w:hAnsi="Arial" w:cs="Arial"/>
          <w:bCs/>
          <w:color w:val="FF0000"/>
          <w:sz w:val="20"/>
          <w:szCs w:val="20"/>
        </w:rPr>
        <w:t xml:space="preserve">. </w:t>
      </w:r>
      <w:r w:rsidRPr="00882176">
        <w:rPr>
          <w:rFonts w:ascii="Arial" w:hAnsi="Arial" w:cs="Arial"/>
          <w:bCs/>
          <w:sz w:val="20"/>
          <w:szCs w:val="20"/>
        </w:rPr>
        <w:t>The maximum period between borrowing and expenditure is expected to be two years, although the PCC is not required to link particular loans with particular items of expenditure.</w:t>
      </w:r>
    </w:p>
    <w:p w14:paraId="6DE0E8EE" w14:textId="77777777" w:rsidR="00ED62B3" w:rsidRPr="00B64F95" w:rsidRDefault="00ED62B3" w:rsidP="00136DD3">
      <w:pPr>
        <w:pStyle w:val="ListParagraph"/>
        <w:keepNext/>
        <w:widowControl w:val="0"/>
        <w:ind w:left="0"/>
        <w:contextualSpacing w:val="0"/>
        <w:jc w:val="both"/>
        <w:rPr>
          <w:rFonts w:ascii="Arial" w:hAnsi="Arial" w:cs="Arial"/>
          <w:b/>
          <w:sz w:val="20"/>
          <w:szCs w:val="20"/>
          <w:u w:val="single"/>
        </w:rPr>
      </w:pPr>
      <w:r w:rsidRPr="00B64F95">
        <w:rPr>
          <w:rFonts w:ascii="Arial" w:hAnsi="Arial" w:cs="Arial"/>
          <w:b/>
          <w:sz w:val="20"/>
          <w:szCs w:val="20"/>
          <w:u w:val="single"/>
        </w:rPr>
        <w:t>Investment Strategy</w:t>
      </w:r>
    </w:p>
    <w:p w14:paraId="6854E865" w14:textId="1D4F883B" w:rsidR="00820497" w:rsidRPr="00B64F95" w:rsidRDefault="005015C4" w:rsidP="009F23E2">
      <w:pPr>
        <w:pStyle w:val="ListParagraph"/>
        <w:ind w:left="0"/>
        <w:contextualSpacing w:val="0"/>
        <w:jc w:val="both"/>
        <w:rPr>
          <w:rFonts w:ascii="Arial" w:hAnsi="Arial" w:cs="Arial"/>
          <w:sz w:val="20"/>
          <w:szCs w:val="20"/>
        </w:rPr>
      </w:pPr>
      <w:r w:rsidRPr="00B64F95">
        <w:rPr>
          <w:rFonts w:ascii="Arial" w:hAnsi="Arial" w:cs="Arial"/>
          <w:sz w:val="20"/>
          <w:szCs w:val="20"/>
        </w:rPr>
        <w:t xml:space="preserve">The </w:t>
      </w:r>
      <w:r w:rsidR="00B521A2" w:rsidRPr="00B64F95">
        <w:rPr>
          <w:rFonts w:ascii="Arial" w:hAnsi="Arial" w:cs="Arial"/>
          <w:sz w:val="20"/>
          <w:szCs w:val="20"/>
        </w:rPr>
        <w:t>PCC</w:t>
      </w:r>
      <w:r w:rsidRPr="00B64F95">
        <w:rPr>
          <w:rFonts w:ascii="Arial" w:hAnsi="Arial" w:cs="Arial"/>
          <w:sz w:val="20"/>
          <w:szCs w:val="20"/>
        </w:rPr>
        <w:t xml:space="preserve"> holds</w:t>
      </w:r>
      <w:r w:rsidR="00B521A2" w:rsidRPr="00B64F95">
        <w:rPr>
          <w:rFonts w:ascii="Arial" w:hAnsi="Arial" w:cs="Arial"/>
          <w:sz w:val="20"/>
          <w:szCs w:val="20"/>
        </w:rPr>
        <w:t xml:space="preserve"> significant</w:t>
      </w:r>
      <w:r w:rsidRPr="00B64F95">
        <w:rPr>
          <w:rFonts w:ascii="Arial" w:hAnsi="Arial" w:cs="Arial"/>
          <w:sz w:val="20"/>
          <w:szCs w:val="20"/>
        </w:rPr>
        <w:t xml:space="preserve"> </w:t>
      </w:r>
      <w:r w:rsidR="00AA5358" w:rsidRPr="00B64F95">
        <w:rPr>
          <w:rFonts w:ascii="Arial" w:hAnsi="Arial" w:cs="Arial"/>
          <w:sz w:val="20"/>
          <w:szCs w:val="20"/>
        </w:rPr>
        <w:t>invested</w:t>
      </w:r>
      <w:r w:rsidRPr="00B64F95">
        <w:rPr>
          <w:rFonts w:ascii="Arial" w:hAnsi="Arial" w:cs="Arial"/>
          <w:sz w:val="20"/>
          <w:szCs w:val="20"/>
        </w:rPr>
        <w:t xml:space="preserve"> funds, representing income received in advance of expenditure plus balances and reserves held</w:t>
      </w:r>
      <w:r w:rsidR="0045565C" w:rsidRPr="00B64F95">
        <w:rPr>
          <w:rFonts w:ascii="Arial" w:hAnsi="Arial" w:cs="Arial"/>
          <w:sz w:val="20"/>
          <w:szCs w:val="20"/>
        </w:rPr>
        <w:t>.</w:t>
      </w:r>
    </w:p>
    <w:p w14:paraId="1C64674D" w14:textId="037198E0" w:rsidR="00213B39" w:rsidRPr="00B64F95" w:rsidRDefault="00D43FFA" w:rsidP="009F23E2">
      <w:pPr>
        <w:pStyle w:val="ListParagraph"/>
        <w:ind w:left="0"/>
        <w:contextualSpacing w:val="0"/>
        <w:jc w:val="both"/>
        <w:rPr>
          <w:rFonts w:ascii="Arial" w:hAnsi="Arial" w:cs="Arial"/>
          <w:sz w:val="20"/>
          <w:szCs w:val="20"/>
        </w:rPr>
      </w:pPr>
      <w:r w:rsidRPr="00B64F95">
        <w:rPr>
          <w:rFonts w:ascii="Arial" w:hAnsi="Arial" w:cs="Arial"/>
          <w:b/>
          <w:sz w:val="20"/>
          <w:szCs w:val="20"/>
        </w:rPr>
        <w:t>Objectives:</w:t>
      </w:r>
      <w:r w:rsidRPr="00B64F95">
        <w:rPr>
          <w:rFonts w:ascii="Arial" w:hAnsi="Arial" w:cs="Arial"/>
          <w:sz w:val="20"/>
          <w:szCs w:val="20"/>
        </w:rPr>
        <w:t xml:space="preserve"> </w:t>
      </w:r>
      <w:r w:rsidR="00153BB9" w:rsidRPr="00B64F95">
        <w:rPr>
          <w:rFonts w:ascii="Arial" w:hAnsi="Arial" w:cs="Arial"/>
          <w:sz w:val="20"/>
          <w:szCs w:val="20"/>
        </w:rPr>
        <w:t>The</w:t>
      </w:r>
      <w:r w:rsidR="005015C4" w:rsidRPr="00B64F95">
        <w:rPr>
          <w:rFonts w:ascii="Arial" w:hAnsi="Arial" w:cs="Arial"/>
          <w:sz w:val="20"/>
          <w:szCs w:val="20"/>
        </w:rPr>
        <w:t xml:space="preserve"> CIPFA Code</w:t>
      </w:r>
      <w:r w:rsidR="008B3FAF" w:rsidRPr="00B64F95">
        <w:rPr>
          <w:rFonts w:ascii="Arial" w:hAnsi="Arial" w:cs="Arial"/>
          <w:sz w:val="20"/>
          <w:szCs w:val="20"/>
        </w:rPr>
        <w:t xml:space="preserve"> </w:t>
      </w:r>
      <w:r w:rsidR="005015C4" w:rsidRPr="00B64F95">
        <w:rPr>
          <w:rFonts w:ascii="Arial" w:hAnsi="Arial" w:cs="Arial"/>
          <w:sz w:val="20"/>
          <w:szCs w:val="20"/>
        </w:rPr>
        <w:t>require</w:t>
      </w:r>
      <w:r w:rsidR="00153BB9" w:rsidRPr="00B64F95">
        <w:rPr>
          <w:rFonts w:ascii="Arial" w:hAnsi="Arial" w:cs="Arial"/>
          <w:sz w:val="20"/>
          <w:szCs w:val="20"/>
        </w:rPr>
        <w:t>s</w:t>
      </w:r>
      <w:r w:rsidR="005015C4" w:rsidRPr="00B64F95">
        <w:rPr>
          <w:rFonts w:ascii="Arial" w:hAnsi="Arial" w:cs="Arial"/>
          <w:sz w:val="20"/>
          <w:szCs w:val="20"/>
        </w:rPr>
        <w:t xml:space="preserve"> the </w:t>
      </w:r>
      <w:r w:rsidR="00314578" w:rsidRPr="00B64F95">
        <w:rPr>
          <w:rFonts w:ascii="Arial" w:hAnsi="Arial" w:cs="Arial"/>
          <w:sz w:val="20"/>
          <w:szCs w:val="20"/>
        </w:rPr>
        <w:t>PCC</w:t>
      </w:r>
      <w:r w:rsidR="005015C4" w:rsidRPr="00B64F95">
        <w:rPr>
          <w:rFonts w:ascii="Arial" w:hAnsi="Arial" w:cs="Arial"/>
          <w:sz w:val="20"/>
          <w:szCs w:val="20"/>
        </w:rPr>
        <w:t xml:space="preserve"> to invest its </w:t>
      </w:r>
      <w:r w:rsidR="004113E9" w:rsidRPr="00B64F95">
        <w:rPr>
          <w:rFonts w:ascii="Arial" w:hAnsi="Arial" w:cs="Arial"/>
          <w:sz w:val="20"/>
          <w:szCs w:val="20"/>
        </w:rPr>
        <w:t xml:space="preserve">treasury </w:t>
      </w:r>
      <w:r w:rsidR="005015C4" w:rsidRPr="00B64F95">
        <w:rPr>
          <w:rFonts w:ascii="Arial" w:hAnsi="Arial" w:cs="Arial"/>
          <w:sz w:val="20"/>
          <w:szCs w:val="20"/>
        </w:rPr>
        <w:t>funds prudently, and to have regard to the security and liquidity of its investments before seeking the highest rate of return, or yield</w:t>
      </w:r>
      <w:r w:rsidR="00EF0CCF" w:rsidRPr="00B64F95">
        <w:rPr>
          <w:rFonts w:ascii="Arial" w:hAnsi="Arial" w:cs="Arial"/>
          <w:sz w:val="20"/>
          <w:szCs w:val="20"/>
        </w:rPr>
        <w:t xml:space="preserve">. </w:t>
      </w:r>
      <w:r w:rsidR="00945662" w:rsidRPr="00B64F95">
        <w:rPr>
          <w:rFonts w:ascii="Arial" w:hAnsi="Arial" w:cs="Arial"/>
          <w:sz w:val="20"/>
          <w:szCs w:val="20"/>
        </w:rPr>
        <w:t xml:space="preserve">The </w:t>
      </w:r>
      <w:r w:rsidR="00314578" w:rsidRPr="00B64F95">
        <w:rPr>
          <w:rFonts w:ascii="Arial" w:hAnsi="Arial" w:cs="Arial"/>
          <w:sz w:val="20"/>
          <w:szCs w:val="20"/>
        </w:rPr>
        <w:t>PCC</w:t>
      </w:r>
      <w:r w:rsidR="00945662" w:rsidRPr="00B64F95">
        <w:rPr>
          <w:rFonts w:ascii="Arial" w:hAnsi="Arial" w:cs="Arial"/>
          <w:sz w:val="20"/>
          <w:szCs w:val="20"/>
        </w:rPr>
        <w:t xml:space="preserve">’s objective when investing money is to strike an appropriate balance between risk and return, minimising the risk of incurring losses </w:t>
      </w:r>
      <w:r w:rsidR="00A425C6" w:rsidRPr="00B64F95">
        <w:rPr>
          <w:rFonts w:ascii="Arial" w:hAnsi="Arial" w:cs="Arial"/>
          <w:sz w:val="20"/>
          <w:szCs w:val="20"/>
        </w:rPr>
        <w:t xml:space="preserve">from defaults and the risk </w:t>
      </w:r>
      <w:r w:rsidR="002B24C8" w:rsidRPr="00B64F95">
        <w:rPr>
          <w:rFonts w:ascii="Arial" w:hAnsi="Arial" w:cs="Arial"/>
          <w:sz w:val="20"/>
          <w:szCs w:val="20"/>
        </w:rPr>
        <w:t xml:space="preserve">of </w:t>
      </w:r>
      <w:r w:rsidR="00A425C6" w:rsidRPr="00B64F95">
        <w:rPr>
          <w:rFonts w:ascii="Arial" w:hAnsi="Arial" w:cs="Arial"/>
          <w:sz w:val="20"/>
          <w:szCs w:val="20"/>
        </w:rPr>
        <w:t>receiving unsuitably low investment income.</w:t>
      </w:r>
      <w:r w:rsidR="002B24C8" w:rsidRPr="00B64F95">
        <w:rPr>
          <w:rFonts w:ascii="Arial" w:hAnsi="Arial" w:cs="Arial"/>
          <w:sz w:val="20"/>
          <w:szCs w:val="20"/>
        </w:rPr>
        <w:t xml:space="preserve"> Where balances are expected to be invested for more than one year, the </w:t>
      </w:r>
      <w:r w:rsidR="003E3EC1" w:rsidRPr="00B64F95">
        <w:rPr>
          <w:rFonts w:ascii="Arial" w:hAnsi="Arial" w:cs="Arial"/>
          <w:sz w:val="20"/>
          <w:szCs w:val="20"/>
        </w:rPr>
        <w:t>PCC</w:t>
      </w:r>
      <w:r w:rsidR="002B24C8" w:rsidRPr="00B64F95">
        <w:rPr>
          <w:rFonts w:ascii="Arial" w:hAnsi="Arial" w:cs="Arial"/>
          <w:sz w:val="20"/>
          <w:szCs w:val="20"/>
        </w:rPr>
        <w:t xml:space="preserve"> will aim to achieve a total return that is equal or higher than the prevailing rate of inflation, in order to maintain the spending power of the sum invested.</w:t>
      </w:r>
      <w:r w:rsidR="00814AA0" w:rsidRPr="00814AA0">
        <w:rPr>
          <w:rFonts w:ascii="Trebuchet MS" w:hAnsi="Trebuchet MS"/>
          <w:sz w:val="20"/>
          <w:szCs w:val="20"/>
        </w:rPr>
        <w:t xml:space="preserve"> </w:t>
      </w:r>
      <w:r w:rsidR="00814AA0" w:rsidRPr="00814AA0">
        <w:rPr>
          <w:rFonts w:ascii="Arial" w:hAnsi="Arial" w:cs="Arial"/>
          <w:sz w:val="20"/>
          <w:szCs w:val="20"/>
        </w:rPr>
        <w:t xml:space="preserve">The </w:t>
      </w:r>
      <w:r w:rsidR="00814AA0">
        <w:rPr>
          <w:rFonts w:ascii="Arial" w:hAnsi="Arial" w:cs="Arial"/>
          <w:sz w:val="20"/>
          <w:szCs w:val="20"/>
        </w:rPr>
        <w:t>PCC</w:t>
      </w:r>
      <w:r w:rsidR="00814AA0" w:rsidRPr="00814AA0">
        <w:rPr>
          <w:rFonts w:ascii="Arial" w:hAnsi="Arial" w:cs="Arial"/>
          <w:sz w:val="20"/>
          <w:szCs w:val="20"/>
        </w:rPr>
        <w:t xml:space="preserve"> aims to be a responsible investor and will consider environmental, social and governance (ESG) issues when investing.</w:t>
      </w:r>
    </w:p>
    <w:p w14:paraId="503EB0EC" w14:textId="77777777" w:rsidR="00C25892" w:rsidRDefault="00A61872" w:rsidP="009F23E2">
      <w:pPr>
        <w:pStyle w:val="ListParagraph"/>
        <w:ind w:left="0"/>
        <w:contextualSpacing w:val="0"/>
        <w:jc w:val="both"/>
        <w:rPr>
          <w:rFonts w:ascii="Arial" w:hAnsi="Arial" w:cs="Arial"/>
          <w:sz w:val="20"/>
          <w:szCs w:val="20"/>
        </w:rPr>
      </w:pPr>
      <w:r w:rsidRPr="00B64F95">
        <w:rPr>
          <w:rFonts w:ascii="Arial" w:hAnsi="Arial" w:cs="Arial"/>
          <w:b/>
          <w:sz w:val="20"/>
          <w:szCs w:val="20"/>
        </w:rPr>
        <w:t xml:space="preserve">Strategy: </w:t>
      </w:r>
      <w:r w:rsidR="0026017D" w:rsidRPr="00B64F95">
        <w:rPr>
          <w:rFonts w:ascii="Arial" w:hAnsi="Arial" w:cs="Arial"/>
          <w:sz w:val="20"/>
          <w:szCs w:val="20"/>
        </w:rPr>
        <w:t>G</w:t>
      </w:r>
      <w:r w:rsidR="00666C22" w:rsidRPr="00B64F95">
        <w:rPr>
          <w:rFonts w:ascii="Arial" w:hAnsi="Arial" w:cs="Arial"/>
          <w:sz w:val="20"/>
          <w:szCs w:val="20"/>
        </w:rPr>
        <w:t xml:space="preserve">iven the increasing risk and </w:t>
      </w:r>
      <w:r w:rsidR="00C758B7" w:rsidRPr="00B64F95">
        <w:rPr>
          <w:rFonts w:ascii="Arial" w:hAnsi="Arial" w:cs="Arial"/>
          <w:sz w:val="20"/>
          <w:szCs w:val="20"/>
        </w:rPr>
        <w:t>very low</w:t>
      </w:r>
      <w:r w:rsidR="00666C22" w:rsidRPr="00B64F95">
        <w:rPr>
          <w:rFonts w:ascii="Arial" w:hAnsi="Arial" w:cs="Arial"/>
          <w:sz w:val="20"/>
          <w:szCs w:val="20"/>
        </w:rPr>
        <w:t xml:space="preserve"> returns </w:t>
      </w:r>
      <w:r w:rsidR="0026017D" w:rsidRPr="00B64F95">
        <w:rPr>
          <w:rFonts w:ascii="Arial" w:hAnsi="Arial" w:cs="Arial"/>
          <w:sz w:val="20"/>
          <w:szCs w:val="20"/>
        </w:rPr>
        <w:t>from</w:t>
      </w:r>
      <w:r w:rsidR="00666C22" w:rsidRPr="00B64F95">
        <w:rPr>
          <w:rFonts w:ascii="Arial" w:hAnsi="Arial" w:cs="Arial"/>
          <w:sz w:val="20"/>
          <w:szCs w:val="20"/>
        </w:rPr>
        <w:t xml:space="preserve"> </w:t>
      </w:r>
      <w:r w:rsidR="0026017D" w:rsidRPr="00B64F95">
        <w:rPr>
          <w:rFonts w:ascii="Arial" w:hAnsi="Arial" w:cs="Arial"/>
          <w:sz w:val="20"/>
          <w:szCs w:val="20"/>
        </w:rPr>
        <w:t>short-term unsecured bank investments</w:t>
      </w:r>
      <w:r w:rsidR="00666C22" w:rsidRPr="00B64F95">
        <w:rPr>
          <w:rFonts w:ascii="Arial" w:hAnsi="Arial" w:cs="Arial"/>
          <w:sz w:val="20"/>
          <w:szCs w:val="20"/>
        </w:rPr>
        <w:t>,</w:t>
      </w:r>
      <w:r w:rsidR="00431BA5" w:rsidRPr="00B64F95">
        <w:rPr>
          <w:rFonts w:ascii="Arial" w:hAnsi="Arial" w:cs="Arial"/>
          <w:sz w:val="20"/>
          <w:szCs w:val="20"/>
        </w:rPr>
        <w:t xml:space="preserve"> the </w:t>
      </w:r>
      <w:r w:rsidR="00E74B68" w:rsidRPr="00B64F95">
        <w:rPr>
          <w:rFonts w:ascii="Arial" w:hAnsi="Arial" w:cs="Arial"/>
          <w:sz w:val="20"/>
          <w:szCs w:val="20"/>
        </w:rPr>
        <w:t>PCC</w:t>
      </w:r>
      <w:r w:rsidR="00431BA5" w:rsidRPr="00B64F95">
        <w:rPr>
          <w:rFonts w:ascii="Arial" w:hAnsi="Arial" w:cs="Arial"/>
          <w:sz w:val="20"/>
          <w:szCs w:val="20"/>
        </w:rPr>
        <w:t xml:space="preserve"> </w:t>
      </w:r>
      <w:r w:rsidR="00EC59A6" w:rsidRPr="00B64F95">
        <w:rPr>
          <w:rFonts w:ascii="Arial" w:hAnsi="Arial" w:cs="Arial"/>
          <w:sz w:val="20"/>
          <w:szCs w:val="20"/>
        </w:rPr>
        <w:t xml:space="preserve">took a decision </w:t>
      </w:r>
      <w:r w:rsidR="004113E9" w:rsidRPr="00B64F95">
        <w:rPr>
          <w:rFonts w:ascii="Arial" w:hAnsi="Arial" w:cs="Arial"/>
          <w:sz w:val="20"/>
          <w:szCs w:val="20"/>
        </w:rPr>
        <w:t xml:space="preserve">several years ago </w:t>
      </w:r>
      <w:r w:rsidR="00EC59A6" w:rsidRPr="00B64F95">
        <w:rPr>
          <w:rFonts w:ascii="Arial" w:hAnsi="Arial" w:cs="Arial"/>
          <w:sz w:val="20"/>
          <w:szCs w:val="20"/>
        </w:rPr>
        <w:t xml:space="preserve">to </w:t>
      </w:r>
      <w:r w:rsidR="00E74B68" w:rsidRPr="00B64F95">
        <w:rPr>
          <w:rFonts w:ascii="Arial" w:hAnsi="Arial" w:cs="Arial"/>
          <w:sz w:val="20"/>
          <w:szCs w:val="20"/>
        </w:rPr>
        <w:t>diversif</w:t>
      </w:r>
      <w:r w:rsidR="00EC59A6" w:rsidRPr="00B64F95">
        <w:rPr>
          <w:rFonts w:ascii="Arial" w:hAnsi="Arial" w:cs="Arial"/>
          <w:sz w:val="20"/>
          <w:szCs w:val="20"/>
        </w:rPr>
        <w:t>y</w:t>
      </w:r>
      <w:r w:rsidR="00E74B68" w:rsidRPr="00B64F95">
        <w:rPr>
          <w:rFonts w:ascii="Arial" w:hAnsi="Arial" w:cs="Arial"/>
          <w:sz w:val="20"/>
          <w:szCs w:val="20"/>
        </w:rPr>
        <w:t xml:space="preserve"> </w:t>
      </w:r>
      <w:r w:rsidR="00431BA5" w:rsidRPr="00B64F95">
        <w:rPr>
          <w:rFonts w:ascii="Arial" w:hAnsi="Arial" w:cs="Arial"/>
          <w:sz w:val="20"/>
          <w:szCs w:val="20"/>
        </w:rPr>
        <w:t>into more secure and/or higher yielding asset classes</w:t>
      </w:r>
      <w:r w:rsidR="00EC59A6" w:rsidRPr="00B64F95">
        <w:rPr>
          <w:rFonts w:ascii="Arial" w:hAnsi="Arial" w:cs="Arial"/>
          <w:sz w:val="20"/>
          <w:szCs w:val="20"/>
        </w:rPr>
        <w:t>.</w:t>
      </w:r>
      <w:r w:rsidR="00431BA5" w:rsidRPr="00B64F95">
        <w:rPr>
          <w:rFonts w:ascii="Arial" w:hAnsi="Arial" w:cs="Arial"/>
          <w:sz w:val="20"/>
          <w:szCs w:val="20"/>
        </w:rPr>
        <w:t xml:space="preserve"> </w:t>
      </w:r>
      <w:r w:rsidR="004113E9" w:rsidRPr="00B64F95">
        <w:rPr>
          <w:rFonts w:ascii="Arial" w:hAnsi="Arial" w:cs="Arial"/>
          <w:sz w:val="20"/>
          <w:szCs w:val="20"/>
        </w:rPr>
        <w:t xml:space="preserve">If funds are available this </w:t>
      </w:r>
      <w:r w:rsidR="00F27E62" w:rsidRPr="00B64F95">
        <w:rPr>
          <w:rFonts w:ascii="Arial" w:hAnsi="Arial" w:cs="Arial"/>
          <w:sz w:val="20"/>
          <w:szCs w:val="20"/>
        </w:rPr>
        <w:t>strategy</w:t>
      </w:r>
      <w:r w:rsidR="004113E9" w:rsidRPr="00B64F95">
        <w:rPr>
          <w:rFonts w:ascii="Arial" w:hAnsi="Arial" w:cs="Arial"/>
          <w:sz w:val="20"/>
          <w:szCs w:val="20"/>
        </w:rPr>
        <w:t xml:space="preserve"> will continue</w:t>
      </w:r>
      <w:r w:rsidR="00004683" w:rsidRPr="00B64F95">
        <w:rPr>
          <w:rFonts w:ascii="Arial" w:hAnsi="Arial" w:cs="Arial"/>
          <w:sz w:val="20"/>
          <w:szCs w:val="20"/>
        </w:rPr>
        <w:t xml:space="preserve"> and therefore there a</w:t>
      </w:r>
      <w:r w:rsidR="00D76E99" w:rsidRPr="00B64F95">
        <w:rPr>
          <w:rFonts w:ascii="Arial" w:hAnsi="Arial" w:cs="Arial"/>
          <w:sz w:val="20"/>
          <w:szCs w:val="20"/>
        </w:rPr>
        <w:t xml:space="preserve">re no significant changes between </w:t>
      </w:r>
      <w:r w:rsidR="00004683" w:rsidRPr="00B64F95">
        <w:rPr>
          <w:rFonts w:ascii="Arial" w:hAnsi="Arial" w:cs="Arial"/>
          <w:sz w:val="20"/>
          <w:szCs w:val="20"/>
        </w:rPr>
        <w:t xml:space="preserve">the </w:t>
      </w:r>
      <w:r w:rsidR="004113E9" w:rsidRPr="00B64F95">
        <w:rPr>
          <w:rFonts w:ascii="Arial" w:hAnsi="Arial" w:cs="Arial"/>
          <w:sz w:val="20"/>
          <w:szCs w:val="20"/>
        </w:rPr>
        <w:t xml:space="preserve">coming </w:t>
      </w:r>
      <w:r w:rsidR="00004683" w:rsidRPr="00B64F95">
        <w:rPr>
          <w:rFonts w:ascii="Arial" w:hAnsi="Arial" w:cs="Arial"/>
          <w:sz w:val="20"/>
          <w:szCs w:val="20"/>
        </w:rPr>
        <w:t xml:space="preserve">financial </w:t>
      </w:r>
      <w:r w:rsidR="004113E9" w:rsidRPr="00B64F95">
        <w:rPr>
          <w:rFonts w:ascii="Arial" w:hAnsi="Arial" w:cs="Arial"/>
          <w:sz w:val="20"/>
          <w:szCs w:val="20"/>
        </w:rPr>
        <w:t>year and last year</w:t>
      </w:r>
      <w:r w:rsidR="00D76E99" w:rsidRPr="00B64F95">
        <w:rPr>
          <w:rFonts w:ascii="Arial" w:hAnsi="Arial" w:cs="Arial"/>
          <w:sz w:val="20"/>
          <w:szCs w:val="20"/>
        </w:rPr>
        <w:t>.</w:t>
      </w:r>
    </w:p>
    <w:p w14:paraId="047A8446" w14:textId="41C32A75" w:rsidR="00101FEE" w:rsidRPr="00B64F95" w:rsidRDefault="00101FEE" w:rsidP="009F23E2">
      <w:pPr>
        <w:pStyle w:val="ListParagraph"/>
        <w:ind w:left="0"/>
        <w:contextualSpacing w:val="0"/>
        <w:jc w:val="both"/>
        <w:rPr>
          <w:rFonts w:ascii="Arial" w:hAnsi="Arial" w:cs="Arial"/>
          <w:sz w:val="20"/>
          <w:szCs w:val="20"/>
        </w:rPr>
      </w:pPr>
      <w:r w:rsidRPr="00101FEE">
        <w:rPr>
          <w:rFonts w:ascii="Arial" w:hAnsi="Arial" w:cs="Arial"/>
          <w:b/>
          <w:sz w:val="20"/>
          <w:szCs w:val="20"/>
        </w:rPr>
        <w:t xml:space="preserve">ESG policy: </w:t>
      </w:r>
      <w:r w:rsidRPr="00101FEE">
        <w:rPr>
          <w:rFonts w:ascii="Arial" w:hAnsi="Arial" w:cs="Arial"/>
          <w:bCs/>
          <w:sz w:val="20"/>
          <w:szCs w:val="20"/>
        </w:rPr>
        <w:t xml:space="preserve">Environmental, social and governance (ESG) considerations are increasingly a factor in global investors’ decision making, but the framework for evaluating investment opportunities is still developing and therefore the </w:t>
      </w:r>
      <w:r>
        <w:rPr>
          <w:rFonts w:ascii="Arial" w:hAnsi="Arial" w:cs="Arial"/>
          <w:bCs/>
          <w:sz w:val="20"/>
          <w:szCs w:val="20"/>
        </w:rPr>
        <w:t>PCC</w:t>
      </w:r>
      <w:r w:rsidRPr="00101FEE">
        <w:rPr>
          <w:rFonts w:ascii="Arial" w:hAnsi="Arial" w:cs="Arial"/>
          <w:bCs/>
          <w:sz w:val="20"/>
          <w:szCs w:val="20"/>
        </w:rPr>
        <w:t xml:space="preserve">’s ESG policy does not currently include ESG scoring or other real-time ESG criteria at an individual investment level. When investing in banks and funds, the </w:t>
      </w:r>
      <w:r>
        <w:rPr>
          <w:rFonts w:ascii="Arial" w:hAnsi="Arial" w:cs="Arial"/>
          <w:bCs/>
          <w:sz w:val="20"/>
          <w:szCs w:val="20"/>
        </w:rPr>
        <w:t>PCC</w:t>
      </w:r>
      <w:r w:rsidRPr="00101FEE">
        <w:rPr>
          <w:rFonts w:ascii="Arial" w:hAnsi="Arial" w:cs="Arial"/>
          <w:bCs/>
          <w:sz w:val="20"/>
          <w:szCs w:val="20"/>
        </w:rPr>
        <w:t xml:space="preserve"> will prioritise banks that are signatories to the UN Principles for Responsible Banking and funds operated by managers that are signatories to the UN Principles for Responsible Investment, the Net Zero Asset Managers </w:t>
      </w:r>
      <w:r w:rsidR="00727C21" w:rsidRPr="00101FEE">
        <w:rPr>
          <w:rFonts w:ascii="Arial" w:hAnsi="Arial" w:cs="Arial"/>
          <w:bCs/>
          <w:sz w:val="20"/>
          <w:szCs w:val="20"/>
        </w:rPr>
        <w:t>Alliance,</w:t>
      </w:r>
      <w:r w:rsidRPr="00101FEE">
        <w:rPr>
          <w:rFonts w:ascii="Arial" w:hAnsi="Arial" w:cs="Arial"/>
          <w:bCs/>
          <w:sz w:val="20"/>
          <w:szCs w:val="20"/>
        </w:rPr>
        <w:t xml:space="preserve"> and/or the UK Stewardship Code.</w:t>
      </w:r>
    </w:p>
    <w:p w14:paraId="10163058" w14:textId="77777777" w:rsidR="00A61872" w:rsidRPr="00B64F95" w:rsidRDefault="00C25892" w:rsidP="009F23E2">
      <w:pPr>
        <w:pStyle w:val="ListParagraph"/>
        <w:ind w:left="0"/>
        <w:contextualSpacing w:val="0"/>
        <w:jc w:val="both"/>
        <w:rPr>
          <w:rFonts w:ascii="Arial" w:hAnsi="Arial" w:cs="Arial"/>
          <w:sz w:val="20"/>
          <w:szCs w:val="20"/>
        </w:rPr>
      </w:pPr>
      <w:r w:rsidRPr="00B64F95">
        <w:rPr>
          <w:rFonts w:ascii="Trebuchet MS" w:hAnsi="Trebuchet MS"/>
          <w:b/>
          <w:sz w:val="20"/>
          <w:szCs w:val="20"/>
        </w:rPr>
        <w:t>Business models:</w:t>
      </w:r>
      <w:r w:rsidRPr="00B64F95">
        <w:rPr>
          <w:rFonts w:ascii="Trebuchet MS" w:hAnsi="Trebuchet MS"/>
          <w:sz w:val="20"/>
          <w:szCs w:val="20"/>
        </w:rPr>
        <w:t xml:space="preserve"> </w:t>
      </w:r>
      <w:r w:rsidRPr="00B64F95">
        <w:rPr>
          <w:rFonts w:ascii="Arial" w:hAnsi="Arial" w:cs="Arial"/>
          <w:sz w:val="20"/>
          <w:szCs w:val="20"/>
        </w:rPr>
        <w:t xml:space="preserve">Under the IFRS 9 standard, accounting for certain investments depends on the </w:t>
      </w:r>
      <w:r w:rsidR="00EC59A6" w:rsidRPr="00B64F95">
        <w:rPr>
          <w:rFonts w:ascii="Arial" w:hAnsi="Arial" w:cs="Arial"/>
          <w:sz w:val="20"/>
          <w:szCs w:val="20"/>
        </w:rPr>
        <w:t>PCC</w:t>
      </w:r>
      <w:r w:rsidRPr="00B64F95">
        <w:rPr>
          <w:rFonts w:ascii="Arial" w:hAnsi="Arial" w:cs="Arial"/>
          <w:sz w:val="20"/>
          <w:szCs w:val="20"/>
        </w:rPr>
        <w:t xml:space="preserve">’s “business model” for managing them. The </w:t>
      </w:r>
      <w:r w:rsidR="00EC59A6" w:rsidRPr="00B64F95">
        <w:rPr>
          <w:rFonts w:ascii="Arial" w:hAnsi="Arial" w:cs="Arial"/>
          <w:sz w:val="20"/>
          <w:szCs w:val="20"/>
        </w:rPr>
        <w:t>PCC</w:t>
      </w:r>
      <w:r w:rsidRPr="00B64F95">
        <w:rPr>
          <w:rFonts w:ascii="Arial" w:hAnsi="Arial" w:cs="Arial"/>
          <w:sz w:val="20"/>
          <w:szCs w:val="20"/>
        </w:rPr>
        <w:t xml:space="preserve"> aims to achieve value from its internally managed treasury investments by a business model of collecting the contractual cash flows and therefore, where other criteria are also met, these investments will continue to be accounted for at amortised cost.</w:t>
      </w:r>
    </w:p>
    <w:p w14:paraId="3E4954F2" w14:textId="2B19A9B9" w:rsidR="0026017D" w:rsidRPr="00B64F95" w:rsidRDefault="007D2690" w:rsidP="009F23E2">
      <w:pPr>
        <w:pStyle w:val="ListParagraph"/>
        <w:ind w:left="0"/>
        <w:contextualSpacing w:val="0"/>
        <w:jc w:val="both"/>
        <w:rPr>
          <w:rFonts w:ascii="Arial" w:hAnsi="Arial" w:cs="Arial"/>
          <w:sz w:val="20"/>
          <w:szCs w:val="20"/>
        </w:rPr>
      </w:pPr>
      <w:r w:rsidRPr="00B64F95">
        <w:rPr>
          <w:rFonts w:ascii="Arial" w:hAnsi="Arial" w:cs="Arial"/>
          <w:b/>
          <w:sz w:val="20"/>
          <w:szCs w:val="20"/>
        </w:rPr>
        <w:t>Approved c</w:t>
      </w:r>
      <w:r w:rsidR="00D43FFA" w:rsidRPr="00B64F95">
        <w:rPr>
          <w:rFonts w:ascii="Arial" w:hAnsi="Arial" w:cs="Arial"/>
          <w:b/>
          <w:sz w:val="20"/>
          <w:szCs w:val="20"/>
        </w:rPr>
        <w:t>ounterparties:</w:t>
      </w:r>
      <w:r w:rsidR="00D43FFA" w:rsidRPr="00B64F95">
        <w:rPr>
          <w:rFonts w:ascii="Arial" w:hAnsi="Arial" w:cs="Arial"/>
          <w:sz w:val="20"/>
          <w:szCs w:val="20"/>
        </w:rPr>
        <w:t xml:space="preserve"> </w:t>
      </w:r>
      <w:r w:rsidR="00C9098F" w:rsidRPr="00B64F95">
        <w:rPr>
          <w:rFonts w:ascii="Arial" w:hAnsi="Arial" w:cs="Arial"/>
          <w:sz w:val="20"/>
          <w:szCs w:val="20"/>
        </w:rPr>
        <w:t>Based on advice from Arlingclose</w:t>
      </w:r>
      <w:r w:rsidR="002B76F8" w:rsidRPr="00B64F95">
        <w:rPr>
          <w:rFonts w:ascii="Arial" w:hAnsi="Arial" w:cs="Arial"/>
          <w:sz w:val="20"/>
          <w:szCs w:val="20"/>
        </w:rPr>
        <w:t xml:space="preserve"> and the estimated average investment portfolio</w:t>
      </w:r>
      <w:r w:rsidR="00C9098F" w:rsidRPr="00B64F95">
        <w:rPr>
          <w:rFonts w:ascii="Arial" w:hAnsi="Arial" w:cs="Arial"/>
          <w:sz w:val="20"/>
          <w:szCs w:val="20"/>
        </w:rPr>
        <w:t>, t</w:t>
      </w:r>
      <w:r w:rsidR="00213B39" w:rsidRPr="00B64F95">
        <w:rPr>
          <w:rFonts w:ascii="Arial" w:hAnsi="Arial" w:cs="Arial"/>
          <w:sz w:val="20"/>
          <w:szCs w:val="20"/>
        </w:rPr>
        <w:t xml:space="preserve">he </w:t>
      </w:r>
      <w:r w:rsidR="00E74B68" w:rsidRPr="00B64F95">
        <w:rPr>
          <w:rFonts w:ascii="Arial" w:hAnsi="Arial" w:cs="Arial"/>
          <w:sz w:val="20"/>
          <w:szCs w:val="20"/>
        </w:rPr>
        <w:t>PCC</w:t>
      </w:r>
      <w:r w:rsidR="00213B39" w:rsidRPr="00B64F95">
        <w:rPr>
          <w:rFonts w:ascii="Arial" w:hAnsi="Arial" w:cs="Arial"/>
          <w:sz w:val="20"/>
          <w:szCs w:val="20"/>
        </w:rPr>
        <w:t xml:space="preserve"> </w:t>
      </w:r>
      <w:r w:rsidR="005015C4" w:rsidRPr="00B64F95">
        <w:rPr>
          <w:rFonts w:ascii="Arial" w:hAnsi="Arial" w:cs="Arial"/>
          <w:sz w:val="20"/>
          <w:szCs w:val="20"/>
        </w:rPr>
        <w:t>may invest its surplus funds with any of the counterpart</w:t>
      </w:r>
      <w:r w:rsidR="00322900" w:rsidRPr="00B64F95">
        <w:rPr>
          <w:rFonts w:ascii="Arial" w:hAnsi="Arial" w:cs="Arial"/>
          <w:sz w:val="20"/>
          <w:szCs w:val="20"/>
        </w:rPr>
        <w:t>y types</w:t>
      </w:r>
      <w:r w:rsidR="008D0592" w:rsidRPr="00B64F95">
        <w:rPr>
          <w:rFonts w:ascii="Arial" w:hAnsi="Arial" w:cs="Arial"/>
          <w:sz w:val="20"/>
          <w:szCs w:val="20"/>
        </w:rPr>
        <w:t xml:space="preserve"> in table 2</w:t>
      </w:r>
      <w:r w:rsidR="005015C4" w:rsidRPr="00B64F95">
        <w:rPr>
          <w:rFonts w:ascii="Arial" w:hAnsi="Arial" w:cs="Arial"/>
          <w:sz w:val="20"/>
          <w:szCs w:val="20"/>
        </w:rPr>
        <w:t xml:space="preserve">, subject to the cash </w:t>
      </w:r>
      <w:r w:rsidR="00322900" w:rsidRPr="00B64F95">
        <w:rPr>
          <w:rFonts w:ascii="Arial" w:hAnsi="Arial" w:cs="Arial"/>
          <w:sz w:val="20"/>
          <w:szCs w:val="20"/>
        </w:rPr>
        <w:t xml:space="preserve">limits (per counterparty) </w:t>
      </w:r>
      <w:r w:rsidR="005015C4" w:rsidRPr="00B64F95">
        <w:rPr>
          <w:rFonts w:ascii="Arial" w:hAnsi="Arial" w:cs="Arial"/>
          <w:sz w:val="20"/>
          <w:szCs w:val="20"/>
        </w:rPr>
        <w:t xml:space="preserve">and </w:t>
      </w:r>
      <w:r w:rsidR="00322900" w:rsidRPr="00B64F95">
        <w:rPr>
          <w:rFonts w:ascii="Arial" w:hAnsi="Arial" w:cs="Arial"/>
          <w:sz w:val="20"/>
          <w:szCs w:val="20"/>
        </w:rPr>
        <w:t xml:space="preserve">the </w:t>
      </w:r>
      <w:r w:rsidR="005015C4" w:rsidRPr="00B64F95">
        <w:rPr>
          <w:rFonts w:ascii="Arial" w:hAnsi="Arial" w:cs="Arial"/>
          <w:sz w:val="20"/>
          <w:szCs w:val="20"/>
        </w:rPr>
        <w:t>time limits shown.</w:t>
      </w:r>
    </w:p>
    <w:p w14:paraId="37B930E2" w14:textId="77777777" w:rsidR="00E536FB" w:rsidRPr="00B64F95" w:rsidRDefault="00E536FB" w:rsidP="009F23E2">
      <w:pPr>
        <w:pStyle w:val="ListParagraph"/>
        <w:ind w:left="0"/>
        <w:contextualSpacing w:val="0"/>
        <w:jc w:val="both"/>
        <w:rPr>
          <w:rFonts w:ascii="Arial" w:hAnsi="Arial" w:cs="Arial"/>
          <w:sz w:val="20"/>
          <w:szCs w:val="20"/>
          <w:u w:val="single"/>
        </w:rPr>
      </w:pPr>
      <w:r w:rsidRPr="00B64F95">
        <w:rPr>
          <w:rFonts w:ascii="Arial" w:hAnsi="Arial" w:cs="Arial"/>
          <w:sz w:val="20"/>
          <w:szCs w:val="20"/>
          <w:u w:val="single"/>
        </w:rPr>
        <w:t xml:space="preserve">Table 2: </w:t>
      </w:r>
      <w:r w:rsidR="007D2690" w:rsidRPr="00B64F95">
        <w:rPr>
          <w:rFonts w:ascii="Arial" w:hAnsi="Arial" w:cs="Arial"/>
          <w:sz w:val="20"/>
          <w:szCs w:val="20"/>
          <w:u w:val="single"/>
        </w:rPr>
        <w:t>Approved i</w:t>
      </w:r>
      <w:r w:rsidR="00BF1D9A" w:rsidRPr="00B64F95">
        <w:rPr>
          <w:rFonts w:ascii="Arial" w:hAnsi="Arial" w:cs="Arial"/>
          <w:sz w:val="20"/>
          <w:szCs w:val="20"/>
          <w:u w:val="single"/>
        </w:rPr>
        <w:t xml:space="preserve">nvestment </w:t>
      </w:r>
      <w:r w:rsidR="007D2690" w:rsidRPr="00B64F95">
        <w:rPr>
          <w:rFonts w:ascii="Arial" w:hAnsi="Arial" w:cs="Arial"/>
          <w:sz w:val="20"/>
          <w:szCs w:val="20"/>
          <w:u w:val="single"/>
        </w:rPr>
        <w:t>co</w:t>
      </w:r>
      <w:r w:rsidR="00BF1D9A" w:rsidRPr="00B64F95">
        <w:rPr>
          <w:rFonts w:ascii="Arial" w:hAnsi="Arial" w:cs="Arial"/>
          <w:sz w:val="20"/>
          <w:szCs w:val="20"/>
          <w:u w:val="single"/>
        </w:rPr>
        <w:t>unterparties</w:t>
      </w:r>
      <w:r w:rsidR="008C2DEA" w:rsidRPr="00B64F95">
        <w:rPr>
          <w:rFonts w:ascii="Arial" w:hAnsi="Arial" w:cs="Arial"/>
          <w:sz w:val="20"/>
          <w:szCs w:val="20"/>
          <w:u w:val="single"/>
        </w:rPr>
        <w:t xml:space="preserve"> and </w:t>
      </w:r>
      <w:r w:rsidR="007D2690" w:rsidRPr="00B64F95">
        <w:rPr>
          <w:rFonts w:ascii="Arial" w:hAnsi="Arial" w:cs="Arial"/>
          <w:sz w:val="20"/>
          <w:szCs w:val="20"/>
          <w:u w:val="single"/>
        </w:rPr>
        <w:t>l</w:t>
      </w:r>
      <w:r w:rsidR="008C2DEA" w:rsidRPr="00B64F95">
        <w:rPr>
          <w:rFonts w:ascii="Arial" w:hAnsi="Arial" w:cs="Arial"/>
          <w:sz w:val="20"/>
          <w:szCs w:val="20"/>
          <w:u w:val="single"/>
        </w:rPr>
        <w:t>imits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168"/>
        <w:gridCol w:w="2192"/>
        <w:gridCol w:w="2170"/>
      </w:tblGrid>
      <w:tr w:rsidR="00153BB9" w:rsidRPr="00B64F95" w14:paraId="30746314" w14:textId="77777777" w:rsidTr="001B7C4D">
        <w:trPr>
          <w:trHeight w:val="397"/>
        </w:trPr>
        <w:tc>
          <w:tcPr>
            <w:tcW w:w="2537" w:type="dxa"/>
            <w:vAlign w:val="center"/>
          </w:tcPr>
          <w:p w14:paraId="56952026" w14:textId="77777777" w:rsidR="00153BB9" w:rsidRPr="00B64F95" w:rsidRDefault="00153BB9" w:rsidP="00153BB9">
            <w:pPr>
              <w:pStyle w:val="ListParagraph"/>
              <w:ind w:left="34"/>
              <w:rPr>
                <w:rFonts w:ascii="Arial" w:hAnsi="Arial" w:cs="Arial"/>
                <w:b/>
                <w:sz w:val="20"/>
                <w:szCs w:val="20"/>
              </w:rPr>
            </w:pPr>
            <w:r w:rsidRPr="00B64F95">
              <w:rPr>
                <w:rFonts w:ascii="Arial" w:hAnsi="Arial" w:cs="Arial"/>
                <w:b/>
                <w:sz w:val="20"/>
                <w:szCs w:val="20"/>
              </w:rPr>
              <w:t>Sector</w:t>
            </w:r>
          </w:p>
        </w:tc>
        <w:tc>
          <w:tcPr>
            <w:tcW w:w="2168" w:type="dxa"/>
            <w:vAlign w:val="center"/>
          </w:tcPr>
          <w:p w14:paraId="31FF27AC" w14:textId="77777777" w:rsidR="00153BB9" w:rsidRPr="00B64F95" w:rsidRDefault="00153BB9" w:rsidP="00241A6A">
            <w:pPr>
              <w:pStyle w:val="ListParagraph"/>
              <w:ind w:left="40" w:hanging="40"/>
              <w:jc w:val="center"/>
              <w:rPr>
                <w:rFonts w:ascii="Arial" w:hAnsi="Arial" w:cs="Arial"/>
                <w:b/>
                <w:sz w:val="20"/>
                <w:szCs w:val="20"/>
                <w:u w:val="single"/>
              </w:rPr>
            </w:pPr>
            <w:r w:rsidRPr="00B64F95">
              <w:rPr>
                <w:rFonts w:ascii="Arial" w:hAnsi="Arial" w:cs="Arial"/>
                <w:b/>
                <w:sz w:val="20"/>
                <w:szCs w:val="20"/>
                <w:u w:val="single"/>
              </w:rPr>
              <w:t>Time limit</w:t>
            </w:r>
          </w:p>
        </w:tc>
        <w:tc>
          <w:tcPr>
            <w:tcW w:w="2192" w:type="dxa"/>
            <w:vAlign w:val="center"/>
          </w:tcPr>
          <w:p w14:paraId="24A1D178" w14:textId="77777777" w:rsidR="00153BB9" w:rsidRPr="00B64F95" w:rsidRDefault="00153BB9" w:rsidP="00241A6A">
            <w:pPr>
              <w:pStyle w:val="ListParagraph"/>
              <w:ind w:left="40" w:hanging="40"/>
              <w:jc w:val="center"/>
              <w:rPr>
                <w:rFonts w:ascii="Arial" w:hAnsi="Arial" w:cs="Arial"/>
                <w:b/>
                <w:sz w:val="20"/>
                <w:szCs w:val="20"/>
                <w:u w:val="single"/>
              </w:rPr>
            </w:pPr>
            <w:r w:rsidRPr="00B64F95">
              <w:rPr>
                <w:rFonts w:ascii="Arial" w:hAnsi="Arial" w:cs="Arial"/>
                <w:b/>
                <w:sz w:val="20"/>
                <w:szCs w:val="20"/>
                <w:u w:val="single"/>
              </w:rPr>
              <w:t>Counterparty limit</w:t>
            </w:r>
          </w:p>
        </w:tc>
        <w:tc>
          <w:tcPr>
            <w:tcW w:w="2170" w:type="dxa"/>
            <w:vAlign w:val="center"/>
          </w:tcPr>
          <w:p w14:paraId="6EEDB638" w14:textId="77777777" w:rsidR="00153BB9" w:rsidRPr="00B64F95" w:rsidRDefault="00153BB9" w:rsidP="00241A6A">
            <w:pPr>
              <w:pStyle w:val="ListParagraph"/>
              <w:ind w:left="40" w:hanging="40"/>
              <w:jc w:val="center"/>
              <w:rPr>
                <w:rFonts w:ascii="Arial" w:hAnsi="Arial" w:cs="Arial"/>
                <w:b/>
                <w:sz w:val="20"/>
                <w:szCs w:val="20"/>
                <w:u w:val="single"/>
              </w:rPr>
            </w:pPr>
            <w:r w:rsidRPr="00B64F95">
              <w:rPr>
                <w:rFonts w:ascii="Arial" w:hAnsi="Arial" w:cs="Arial"/>
                <w:b/>
                <w:sz w:val="20"/>
                <w:szCs w:val="20"/>
                <w:u w:val="single"/>
              </w:rPr>
              <w:t>Sector limit</w:t>
            </w:r>
          </w:p>
        </w:tc>
      </w:tr>
      <w:tr w:rsidR="00153BB9" w:rsidRPr="00B64F95" w14:paraId="2BA78736" w14:textId="77777777" w:rsidTr="005B41B3">
        <w:trPr>
          <w:trHeight w:val="397"/>
        </w:trPr>
        <w:tc>
          <w:tcPr>
            <w:tcW w:w="2537" w:type="dxa"/>
            <w:vAlign w:val="center"/>
          </w:tcPr>
          <w:p w14:paraId="7C09BCEB" w14:textId="77777777" w:rsidR="00153BB9" w:rsidRPr="00B64F95" w:rsidRDefault="00153BB9" w:rsidP="00153BB9">
            <w:pPr>
              <w:pStyle w:val="ListParagraph"/>
              <w:ind w:left="34"/>
              <w:rPr>
                <w:rFonts w:ascii="Arial" w:hAnsi="Arial" w:cs="Arial"/>
                <w:sz w:val="20"/>
                <w:szCs w:val="20"/>
              </w:rPr>
            </w:pPr>
            <w:r w:rsidRPr="00B64F95">
              <w:rPr>
                <w:rFonts w:ascii="Arial" w:hAnsi="Arial" w:cs="Arial"/>
                <w:sz w:val="20"/>
                <w:szCs w:val="20"/>
              </w:rPr>
              <w:t>The UK Government</w:t>
            </w:r>
          </w:p>
        </w:tc>
        <w:tc>
          <w:tcPr>
            <w:tcW w:w="2168" w:type="dxa"/>
          </w:tcPr>
          <w:p w14:paraId="1CA18E97" w14:textId="25812F62" w:rsidR="00153BB9" w:rsidRPr="00B64F95" w:rsidRDefault="005A67D7" w:rsidP="00241A6A">
            <w:pPr>
              <w:pStyle w:val="ListParagraph"/>
              <w:ind w:left="40" w:hanging="40"/>
              <w:jc w:val="center"/>
              <w:rPr>
                <w:rFonts w:ascii="Arial" w:hAnsi="Arial" w:cs="Arial"/>
                <w:sz w:val="20"/>
                <w:szCs w:val="20"/>
              </w:rPr>
            </w:pPr>
            <w:r>
              <w:rPr>
                <w:rFonts w:ascii="Arial" w:hAnsi="Arial" w:cs="Arial"/>
                <w:sz w:val="20"/>
                <w:szCs w:val="20"/>
              </w:rPr>
              <w:t>3</w:t>
            </w:r>
            <w:r w:rsidR="00153BB9" w:rsidRPr="00B64F95">
              <w:rPr>
                <w:rFonts w:ascii="Arial" w:hAnsi="Arial" w:cs="Arial"/>
                <w:sz w:val="20"/>
                <w:szCs w:val="20"/>
              </w:rPr>
              <w:t xml:space="preserve"> years</w:t>
            </w:r>
          </w:p>
        </w:tc>
        <w:tc>
          <w:tcPr>
            <w:tcW w:w="2192" w:type="dxa"/>
          </w:tcPr>
          <w:p w14:paraId="7CE7FD36" w14:textId="77777777" w:rsidR="00153BB9" w:rsidRPr="00B64F95" w:rsidRDefault="00153BB9" w:rsidP="00241A6A">
            <w:pPr>
              <w:pStyle w:val="ListParagraph"/>
              <w:ind w:left="40" w:hanging="40"/>
              <w:jc w:val="center"/>
              <w:rPr>
                <w:rFonts w:ascii="Arial" w:hAnsi="Arial" w:cs="Arial"/>
                <w:sz w:val="20"/>
                <w:szCs w:val="20"/>
              </w:rPr>
            </w:pPr>
            <w:r w:rsidRPr="00B64F95">
              <w:rPr>
                <w:rFonts w:ascii="Arial" w:hAnsi="Arial" w:cs="Arial"/>
                <w:sz w:val="20"/>
                <w:szCs w:val="20"/>
              </w:rPr>
              <w:t>Unlimited</w:t>
            </w:r>
          </w:p>
        </w:tc>
        <w:tc>
          <w:tcPr>
            <w:tcW w:w="2170" w:type="dxa"/>
          </w:tcPr>
          <w:p w14:paraId="6AE9EFF5" w14:textId="77777777" w:rsidR="00153BB9" w:rsidRPr="00B64F95" w:rsidRDefault="00153BB9" w:rsidP="00241A6A">
            <w:pPr>
              <w:pStyle w:val="ListParagraph"/>
              <w:ind w:left="40" w:hanging="40"/>
              <w:jc w:val="center"/>
              <w:rPr>
                <w:rFonts w:ascii="Arial" w:hAnsi="Arial" w:cs="Arial"/>
                <w:sz w:val="20"/>
                <w:szCs w:val="20"/>
              </w:rPr>
            </w:pPr>
            <w:r w:rsidRPr="00B64F95">
              <w:rPr>
                <w:rFonts w:ascii="Arial" w:hAnsi="Arial" w:cs="Arial"/>
                <w:sz w:val="20"/>
                <w:szCs w:val="20"/>
              </w:rPr>
              <w:t>n/a</w:t>
            </w:r>
          </w:p>
        </w:tc>
      </w:tr>
      <w:tr w:rsidR="00153BB9" w:rsidRPr="00B64F95" w14:paraId="6CA2372E" w14:textId="77777777" w:rsidTr="005B41B3">
        <w:trPr>
          <w:trHeight w:val="397"/>
        </w:trPr>
        <w:tc>
          <w:tcPr>
            <w:tcW w:w="2537" w:type="dxa"/>
            <w:vAlign w:val="center"/>
          </w:tcPr>
          <w:p w14:paraId="54FAEA2C" w14:textId="77777777" w:rsidR="00153BB9" w:rsidRPr="00B64F95" w:rsidRDefault="00153BB9" w:rsidP="00153BB9">
            <w:pPr>
              <w:pStyle w:val="ListParagraph"/>
              <w:ind w:left="34"/>
              <w:rPr>
                <w:rFonts w:ascii="Arial" w:hAnsi="Arial" w:cs="Arial"/>
                <w:sz w:val="20"/>
                <w:szCs w:val="20"/>
              </w:rPr>
            </w:pPr>
            <w:r w:rsidRPr="00B64F95">
              <w:rPr>
                <w:rFonts w:ascii="Arial" w:hAnsi="Arial" w:cs="Arial"/>
                <w:sz w:val="20"/>
                <w:szCs w:val="20"/>
              </w:rPr>
              <w:t>Local authorities &amp; other government entities</w:t>
            </w:r>
          </w:p>
        </w:tc>
        <w:tc>
          <w:tcPr>
            <w:tcW w:w="2168" w:type="dxa"/>
          </w:tcPr>
          <w:p w14:paraId="38F685BB" w14:textId="3E6E706A" w:rsidR="00153BB9" w:rsidRPr="00B64F95" w:rsidRDefault="005A67D7" w:rsidP="00241A6A">
            <w:pPr>
              <w:pStyle w:val="ListParagraph"/>
              <w:ind w:left="40" w:hanging="40"/>
              <w:jc w:val="center"/>
              <w:rPr>
                <w:rFonts w:ascii="Arial" w:hAnsi="Arial" w:cs="Arial"/>
                <w:sz w:val="20"/>
                <w:szCs w:val="20"/>
              </w:rPr>
            </w:pPr>
            <w:r>
              <w:rPr>
                <w:rFonts w:ascii="Arial" w:hAnsi="Arial" w:cs="Arial"/>
                <w:sz w:val="20"/>
                <w:szCs w:val="20"/>
              </w:rPr>
              <w:t>3</w:t>
            </w:r>
            <w:r w:rsidR="00153BB9" w:rsidRPr="00B64F95">
              <w:rPr>
                <w:rFonts w:ascii="Arial" w:hAnsi="Arial" w:cs="Arial"/>
                <w:sz w:val="20"/>
                <w:szCs w:val="20"/>
              </w:rPr>
              <w:t xml:space="preserve"> years</w:t>
            </w:r>
          </w:p>
        </w:tc>
        <w:tc>
          <w:tcPr>
            <w:tcW w:w="2192" w:type="dxa"/>
          </w:tcPr>
          <w:p w14:paraId="6475386A" w14:textId="305E5A44" w:rsidR="00153BB9" w:rsidRPr="00B64F95" w:rsidRDefault="00153BB9" w:rsidP="00241A6A">
            <w:pPr>
              <w:pStyle w:val="ListParagraph"/>
              <w:ind w:left="40" w:hanging="40"/>
              <w:jc w:val="center"/>
              <w:rPr>
                <w:rFonts w:ascii="Arial" w:hAnsi="Arial" w:cs="Arial"/>
                <w:sz w:val="20"/>
                <w:szCs w:val="20"/>
              </w:rPr>
            </w:pPr>
            <w:r w:rsidRPr="00B64F95">
              <w:rPr>
                <w:rFonts w:ascii="Arial" w:hAnsi="Arial" w:cs="Arial"/>
                <w:sz w:val="20"/>
                <w:szCs w:val="20"/>
              </w:rPr>
              <w:t>£</w:t>
            </w:r>
            <w:r w:rsidR="00F72AAF">
              <w:rPr>
                <w:rFonts w:ascii="Arial" w:hAnsi="Arial" w:cs="Arial"/>
                <w:sz w:val="20"/>
                <w:szCs w:val="20"/>
              </w:rPr>
              <w:t>9</w:t>
            </w:r>
            <w:r w:rsidRPr="00B64F95">
              <w:rPr>
                <w:rFonts w:ascii="Arial" w:hAnsi="Arial" w:cs="Arial"/>
                <w:sz w:val="20"/>
                <w:szCs w:val="20"/>
              </w:rPr>
              <w:t>m</w:t>
            </w:r>
          </w:p>
        </w:tc>
        <w:tc>
          <w:tcPr>
            <w:tcW w:w="2170" w:type="dxa"/>
          </w:tcPr>
          <w:p w14:paraId="0002206A" w14:textId="77777777" w:rsidR="00153BB9" w:rsidRPr="00B64F95" w:rsidRDefault="00153BB9" w:rsidP="00241A6A">
            <w:pPr>
              <w:pStyle w:val="ListParagraph"/>
              <w:ind w:left="40" w:hanging="40"/>
              <w:jc w:val="center"/>
              <w:rPr>
                <w:rFonts w:ascii="Arial" w:hAnsi="Arial" w:cs="Arial"/>
                <w:sz w:val="20"/>
                <w:szCs w:val="20"/>
              </w:rPr>
            </w:pPr>
            <w:r w:rsidRPr="00B64F95">
              <w:rPr>
                <w:rFonts w:ascii="Arial" w:hAnsi="Arial" w:cs="Arial"/>
                <w:sz w:val="20"/>
                <w:szCs w:val="20"/>
              </w:rPr>
              <w:t>Unlimited</w:t>
            </w:r>
          </w:p>
        </w:tc>
      </w:tr>
      <w:tr w:rsidR="001B7C4D" w:rsidRPr="00B64F95" w14:paraId="28513343" w14:textId="77777777" w:rsidTr="005B41B3">
        <w:trPr>
          <w:trHeight w:val="397"/>
        </w:trPr>
        <w:tc>
          <w:tcPr>
            <w:tcW w:w="2537" w:type="dxa"/>
            <w:vAlign w:val="center"/>
          </w:tcPr>
          <w:p w14:paraId="262BD427" w14:textId="59F0BA9E" w:rsidR="001B7C4D" w:rsidRPr="00B64F95" w:rsidRDefault="001B7C4D" w:rsidP="001B7C4D">
            <w:pPr>
              <w:pStyle w:val="ListParagraph"/>
              <w:ind w:left="34"/>
              <w:rPr>
                <w:rFonts w:ascii="Arial" w:hAnsi="Arial" w:cs="Arial"/>
                <w:sz w:val="20"/>
                <w:szCs w:val="20"/>
              </w:rPr>
            </w:pPr>
            <w:r w:rsidRPr="00B64F95">
              <w:rPr>
                <w:rFonts w:ascii="Arial" w:hAnsi="Arial" w:cs="Arial"/>
                <w:sz w:val="20"/>
                <w:szCs w:val="20"/>
              </w:rPr>
              <w:t>Secured investments</w:t>
            </w:r>
            <w:r w:rsidR="0020643C">
              <w:rPr>
                <w:rFonts w:ascii="Arial" w:hAnsi="Arial" w:cs="Arial"/>
                <w:sz w:val="20"/>
                <w:szCs w:val="20"/>
              </w:rPr>
              <w:t xml:space="preserve"> – government collateral</w:t>
            </w:r>
            <w:r w:rsidRPr="00B64F95">
              <w:rPr>
                <w:rFonts w:ascii="Arial" w:hAnsi="Arial" w:cs="Arial"/>
                <w:sz w:val="20"/>
                <w:szCs w:val="20"/>
              </w:rPr>
              <w:t xml:space="preserve"> *</w:t>
            </w:r>
          </w:p>
        </w:tc>
        <w:tc>
          <w:tcPr>
            <w:tcW w:w="2168" w:type="dxa"/>
          </w:tcPr>
          <w:p w14:paraId="7A76A7EB" w14:textId="0926B7D9" w:rsidR="001B7C4D" w:rsidRPr="00B64F95" w:rsidRDefault="005A67D7" w:rsidP="00241A6A">
            <w:pPr>
              <w:pStyle w:val="ListParagraph"/>
              <w:ind w:left="40" w:hanging="40"/>
              <w:jc w:val="center"/>
              <w:rPr>
                <w:rFonts w:ascii="Arial" w:hAnsi="Arial" w:cs="Arial"/>
                <w:sz w:val="20"/>
                <w:szCs w:val="20"/>
              </w:rPr>
            </w:pPr>
            <w:r>
              <w:rPr>
                <w:rFonts w:ascii="Arial" w:hAnsi="Arial" w:cs="Arial"/>
                <w:sz w:val="20"/>
                <w:szCs w:val="20"/>
              </w:rPr>
              <w:t>3</w:t>
            </w:r>
            <w:r w:rsidR="001B7C4D" w:rsidRPr="00B64F95">
              <w:rPr>
                <w:rFonts w:ascii="Arial" w:hAnsi="Arial" w:cs="Arial"/>
                <w:sz w:val="20"/>
                <w:szCs w:val="20"/>
              </w:rPr>
              <w:t xml:space="preserve"> years</w:t>
            </w:r>
          </w:p>
        </w:tc>
        <w:tc>
          <w:tcPr>
            <w:tcW w:w="2192" w:type="dxa"/>
          </w:tcPr>
          <w:p w14:paraId="3514D4B6" w14:textId="2654F43D" w:rsidR="001B7C4D" w:rsidRPr="00B64F95" w:rsidRDefault="001B7C4D" w:rsidP="00241A6A">
            <w:pPr>
              <w:pStyle w:val="ListParagraph"/>
              <w:ind w:left="40" w:hanging="40"/>
              <w:jc w:val="center"/>
              <w:rPr>
                <w:rFonts w:ascii="Arial" w:hAnsi="Arial" w:cs="Arial"/>
                <w:sz w:val="20"/>
                <w:szCs w:val="20"/>
              </w:rPr>
            </w:pPr>
            <w:r w:rsidRPr="00B64F95">
              <w:rPr>
                <w:rFonts w:ascii="Arial" w:hAnsi="Arial" w:cs="Arial"/>
                <w:sz w:val="20"/>
                <w:szCs w:val="20"/>
              </w:rPr>
              <w:t>£</w:t>
            </w:r>
            <w:r w:rsidR="00F72AAF">
              <w:rPr>
                <w:rFonts w:ascii="Arial" w:hAnsi="Arial" w:cs="Arial"/>
                <w:sz w:val="20"/>
                <w:szCs w:val="20"/>
              </w:rPr>
              <w:t>9</w:t>
            </w:r>
            <w:r w:rsidRPr="00B64F95">
              <w:rPr>
                <w:rFonts w:ascii="Arial" w:hAnsi="Arial" w:cs="Arial"/>
                <w:sz w:val="20"/>
                <w:szCs w:val="20"/>
              </w:rPr>
              <w:t>m</w:t>
            </w:r>
          </w:p>
        </w:tc>
        <w:tc>
          <w:tcPr>
            <w:tcW w:w="2170" w:type="dxa"/>
          </w:tcPr>
          <w:p w14:paraId="7B312B25" w14:textId="77777777" w:rsidR="001B7C4D" w:rsidRPr="00B64F95" w:rsidRDefault="001B7C4D" w:rsidP="00241A6A">
            <w:pPr>
              <w:pStyle w:val="ListParagraph"/>
              <w:ind w:left="40" w:hanging="40"/>
              <w:jc w:val="center"/>
              <w:rPr>
                <w:rFonts w:ascii="Arial" w:hAnsi="Arial" w:cs="Arial"/>
                <w:sz w:val="20"/>
                <w:szCs w:val="20"/>
              </w:rPr>
            </w:pPr>
            <w:r w:rsidRPr="00B64F95">
              <w:rPr>
                <w:rFonts w:ascii="Arial" w:hAnsi="Arial" w:cs="Arial"/>
                <w:sz w:val="20"/>
                <w:szCs w:val="20"/>
              </w:rPr>
              <w:t>Unlimited</w:t>
            </w:r>
          </w:p>
        </w:tc>
      </w:tr>
      <w:tr w:rsidR="006A433F" w:rsidRPr="00B64F95" w14:paraId="0AA58AD4" w14:textId="77777777" w:rsidTr="005B41B3">
        <w:trPr>
          <w:trHeight w:val="397"/>
        </w:trPr>
        <w:tc>
          <w:tcPr>
            <w:tcW w:w="2537" w:type="dxa"/>
            <w:vAlign w:val="center"/>
          </w:tcPr>
          <w:p w14:paraId="19EA8797" w14:textId="4148D849" w:rsidR="006A433F" w:rsidRPr="00B64F95" w:rsidRDefault="006A433F" w:rsidP="006A433F">
            <w:pPr>
              <w:pStyle w:val="ListParagraph"/>
              <w:ind w:left="34"/>
              <w:rPr>
                <w:rFonts w:ascii="Arial" w:hAnsi="Arial" w:cs="Arial"/>
                <w:sz w:val="20"/>
                <w:szCs w:val="20"/>
              </w:rPr>
            </w:pPr>
            <w:r w:rsidRPr="00B64F95">
              <w:rPr>
                <w:rFonts w:ascii="Arial" w:hAnsi="Arial" w:cs="Arial"/>
                <w:sz w:val="20"/>
                <w:szCs w:val="20"/>
              </w:rPr>
              <w:t>Secured investments</w:t>
            </w:r>
            <w:r>
              <w:rPr>
                <w:rFonts w:ascii="Arial" w:hAnsi="Arial" w:cs="Arial"/>
                <w:sz w:val="20"/>
                <w:szCs w:val="20"/>
              </w:rPr>
              <w:t xml:space="preserve"> – other collateral</w:t>
            </w:r>
            <w:r w:rsidRPr="00B64F95">
              <w:rPr>
                <w:rFonts w:ascii="Arial" w:hAnsi="Arial" w:cs="Arial"/>
                <w:sz w:val="20"/>
                <w:szCs w:val="20"/>
              </w:rPr>
              <w:t xml:space="preserve"> *</w:t>
            </w:r>
          </w:p>
        </w:tc>
        <w:tc>
          <w:tcPr>
            <w:tcW w:w="2168" w:type="dxa"/>
          </w:tcPr>
          <w:p w14:paraId="55606925" w14:textId="722770BC" w:rsidR="006A433F" w:rsidRDefault="006A433F" w:rsidP="006A433F">
            <w:pPr>
              <w:pStyle w:val="ListParagraph"/>
              <w:ind w:left="40" w:hanging="40"/>
              <w:jc w:val="center"/>
              <w:rPr>
                <w:rFonts w:ascii="Arial" w:hAnsi="Arial" w:cs="Arial"/>
                <w:sz w:val="20"/>
                <w:szCs w:val="20"/>
              </w:rPr>
            </w:pPr>
            <w:r>
              <w:rPr>
                <w:rFonts w:ascii="Arial" w:hAnsi="Arial" w:cs="Arial"/>
                <w:sz w:val="20"/>
                <w:szCs w:val="20"/>
              </w:rPr>
              <w:t>3</w:t>
            </w:r>
            <w:r w:rsidRPr="00B64F95">
              <w:rPr>
                <w:rFonts w:ascii="Arial" w:hAnsi="Arial" w:cs="Arial"/>
                <w:sz w:val="20"/>
                <w:szCs w:val="20"/>
              </w:rPr>
              <w:t xml:space="preserve"> years</w:t>
            </w:r>
          </w:p>
        </w:tc>
        <w:tc>
          <w:tcPr>
            <w:tcW w:w="2192" w:type="dxa"/>
          </w:tcPr>
          <w:p w14:paraId="6EAEA09B" w14:textId="10E67F13" w:rsidR="006A433F" w:rsidRPr="00B64F95" w:rsidRDefault="006A433F" w:rsidP="006A433F">
            <w:pPr>
              <w:pStyle w:val="ListParagraph"/>
              <w:ind w:left="40" w:hanging="40"/>
              <w:jc w:val="center"/>
              <w:rPr>
                <w:rFonts w:ascii="Arial" w:hAnsi="Arial" w:cs="Arial"/>
                <w:sz w:val="20"/>
                <w:szCs w:val="20"/>
              </w:rPr>
            </w:pPr>
            <w:r w:rsidRPr="00B64F95">
              <w:rPr>
                <w:rFonts w:ascii="Arial" w:hAnsi="Arial" w:cs="Arial"/>
                <w:sz w:val="20"/>
                <w:szCs w:val="20"/>
              </w:rPr>
              <w:t>£</w:t>
            </w:r>
            <w:r w:rsidR="00F72AAF">
              <w:rPr>
                <w:rFonts w:ascii="Arial" w:hAnsi="Arial" w:cs="Arial"/>
                <w:sz w:val="20"/>
                <w:szCs w:val="20"/>
              </w:rPr>
              <w:t>9</w:t>
            </w:r>
            <w:r w:rsidRPr="00B64F95">
              <w:rPr>
                <w:rFonts w:ascii="Arial" w:hAnsi="Arial" w:cs="Arial"/>
                <w:sz w:val="20"/>
                <w:szCs w:val="20"/>
              </w:rPr>
              <w:t>m</w:t>
            </w:r>
          </w:p>
        </w:tc>
        <w:tc>
          <w:tcPr>
            <w:tcW w:w="2170" w:type="dxa"/>
          </w:tcPr>
          <w:p w14:paraId="3C54574A" w14:textId="60363B02" w:rsidR="006A433F" w:rsidRPr="00B64F95" w:rsidRDefault="006A433F" w:rsidP="006A433F">
            <w:pPr>
              <w:pStyle w:val="ListParagraph"/>
              <w:ind w:left="40" w:hanging="40"/>
              <w:jc w:val="center"/>
              <w:rPr>
                <w:rFonts w:ascii="Arial" w:hAnsi="Arial" w:cs="Arial"/>
                <w:sz w:val="20"/>
                <w:szCs w:val="20"/>
              </w:rPr>
            </w:pPr>
            <w:r w:rsidRPr="00B64F95">
              <w:rPr>
                <w:rFonts w:ascii="Arial" w:hAnsi="Arial" w:cs="Arial"/>
                <w:sz w:val="20"/>
                <w:szCs w:val="20"/>
              </w:rPr>
              <w:t>Unlimited</w:t>
            </w:r>
          </w:p>
        </w:tc>
      </w:tr>
      <w:tr w:rsidR="00343B8C" w:rsidRPr="00B64F95" w14:paraId="402C389C" w14:textId="77777777" w:rsidTr="005B41B3">
        <w:trPr>
          <w:trHeight w:val="397"/>
        </w:trPr>
        <w:tc>
          <w:tcPr>
            <w:tcW w:w="2537" w:type="dxa"/>
            <w:vAlign w:val="center"/>
          </w:tcPr>
          <w:p w14:paraId="4E285EE4" w14:textId="77777777" w:rsidR="00343B8C" w:rsidRPr="00B64F95" w:rsidRDefault="00343B8C" w:rsidP="00343B8C">
            <w:pPr>
              <w:pStyle w:val="ListParagraph"/>
              <w:ind w:left="34"/>
              <w:rPr>
                <w:rFonts w:ascii="Arial" w:hAnsi="Arial" w:cs="Arial"/>
                <w:sz w:val="20"/>
                <w:szCs w:val="20"/>
              </w:rPr>
            </w:pPr>
            <w:r w:rsidRPr="00B64F95">
              <w:rPr>
                <w:rFonts w:ascii="Arial" w:hAnsi="Arial" w:cs="Arial"/>
                <w:sz w:val="20"/>
                <w:szCs w:val="20"/>
              </w:rPr>
              <w:t>Banks (unsecured) *</w:t>
            </w:r>
          </w:p>
        </w:tc>
        <w:tc>
          <w:tcPr>
            <w:tcW w:w="2168" w:type="dxa"/>
          </w:tcPr>
          <w:p w14:paraId="7DCD2A97" w14:textId="77777777" w:rsidR="00343B8C" w:rsidRPr="00B64F95" w:rsidRDefault="00343B8C" w:rsidP="00343B8C">
            <w:pPr>
              <w:pStyle w:val="ListParagraph"/>
              <w:ind w:left="40" w:hanging="40"/>
              <w:jc w:val="center"/>
              <w:rPr>
                <w:rFonts w:ascii="Arial" w:hAnsi="Arial" w:cs="Arial"/>
                <w:sz w:val="20"/>
                <w:szCs w:val="20"/>
              </w:rPr>
            </w:pPr>
            <w:r w:rsidRPr="00B64F95">
              <w:rPr>
                <w:rFonts w:ascii="Arial" w:hAnsi="Arial" w:cs="Arial"/>
                <w:sz w:val="20"/>
                <w:szCs w:val="20"/>
              </w:rPr>
              <w:t>13 months</w:t>
            </w:r>
          </w:p>
        </w:tc>
        <w:tc>
          <w:tcPr>
            <w:tcW w:w="2192" w:type="dxa"/>
          </w:tcPr>
          <w:p w14:paraId="42E7D3EC" w14:textId="70DB672F" w:rsidR="00343B8C" w:rsidRPr="00B64F95" w:rsidRDefault="00343B8C" w:rsidP="00343B8C">
            <w:pPr>
              <w:pStyle w:val="ListParagraph"/>
              <w:ind w:left="40" w:hanging="40"/>
              <w:jc w:val="center"/>
              <w:rPr>
                <w:rFonts w:ascii="Arial" w:hAnsi="Arial" w:cs="Arial"/>
                <w:sz w:val="20"/>
                <w:szCs w:val="20"/>
              </w:rPr>
            </w:pPr>
            <w:r w:rsidRPr="00B64F95">
              <w:rPr>
                <w:rFonts w:ascii="Arial" w:hAnsi="Arial" w:cs="Arial"/>
                <w:sz w:val="20"/>
                <w:szCs w:val="20"/>
              </w:rPr>
              <w:t>£</w:t>
            </w:r>
            <w:r w:rsidR="00F72AAF">
              <w:rPr>
                <w:rFonts w:ascii="Arial" w:hAnsi="Arial" w:cs="Arial"/>
                <w:sz w:val="20"/>
                <w:szCs w:val="20"/>
              </w:rPr>
              <w:t>9</w:t>
            </w:r>
            <w:r w:rsidRPr="00B64F95">
              <w:rPr>
                <w:rFonts w:ascii="Arial" w:hAnsi="Arial" w:cs="Arial"/>
                <w:sz w:val="20"/>
                <w:szCs w:val="20"/>
              </w:rPr>
              <w:t>m</w:t>
            </w:r>
          </w:p>
        </w:tc>
        <w:tc>
          <w:tcPr>
            <w:tcW w:w="2170" w:type="dxa"/>
          </w:tcPr>
          <w:p w14:paraId="52B9E252" w14:textId="77777777" w:rsidR="00343B8C" w:rsidRPr="00B64F95" w:rsidRDefault="00343B8C" w:rsidP="00343B8C">
            <w:pPr>
              <w:pStyle w:val="ListParagraph"/>
              <w:ind w:left="40" w:hanging="40"/>
              <w:jc w:val="center"/>
              <w:rPr>
                <w:rFonts w:ascii="Arial" w:hAnsi="Arial" w:cs="Arial"/>
                <w:sz w:val="20"/>
                <w:szCs w:val="20"/>
              </w:rPr>
            </w:pPr>
            <w:r w:rsidRPr="00B64F95">
              <w:rPr>
                <w:rFonts w:ascii="Arial" w:hAnsi="Arial" w:cs="Arial"/>
                <w:sz w:val="20"/>
                <w:szCs w:val="20"/>
              </w:rPr>
              <w:t>Unlimited</w:t>
            </w:r>
          </w:p>
        </w:tc>
      </w:tr>
      <w:tr w:rsidR="00343B8C" w:rsidRPr="00B64F95" w14:paraId="71CA901A" w14:textId="77777777" w:rsidTr="005B41B3">
        <w:trPr>
          <w:trHeight w:val="397"/>
        </w:trPr>
        <w:tc>
          <w:tcPr>
            <w:tcW w:w="2537" w:type="dxa"/>
            <w:vAlign w:val="center"/>
          </w:tcPr>
          <w:p w14:paraId="7B8483D2" w14:textId="77777777" w:rsidR="00343B8C" w:rsidRPr="00B64F95" w:rsidRDefault="00343B8C" w:rsidP="00343B8C">
            <w:pPr>
              <w:pStyle w:val="ListParagraph"/>
              <w:ind w:left="34"/>
              <w:rPr>
                <w:rFonts w:ascii="Arial" w:hAnsi="Arial" w:cs="Arial"/>
                <w:sz w:val="20"/>
                <w:szCs w:val="20"/>
              </w:rPr>
            </w:pPr>
            <w:r w:rsidRPr="00B64F95">
              <w:rPr>
                <w:rFonts w:ascii="Arial" w:hAnsi="Arial" w:cs="Arial"/>
                <w:sz w:val="20"/>
                <w:szCs w:val="20"/>
              </w:rPr>
              <w:lastRenderedPageBreak/>
              <w:t>Building societies (unsecured) *</w:t>
            </w:r>
          </w:p>
        </w:tc>
        <w:tc>
          <w:tcPr>
            <w:tcW w:w="2168" w:type="dxa"/>
          </w:tcPr>
          <w:p w14:paraId="25C2169D" w14:textId="77777777" w:rsidR="00343B8C" w:rsidRPr="00B64F95" w:rsidRDefault="00343B8C" w:rsidP="00343B8C">
            <w:pPr>
              <w:pStyle w:val="ListParagraph"/>
              <w:ind w:left="40" w:hanging="40"/>
              <w:jc w:val="center"/>
              <w:rPr>
                <w:rFonts w:ascii="Arial" w:hAnsi="Arial" w:cs="Arial"/>
                <w:sz w:val="20"/>
                <w:szCs w:val="20"/>
              </w:rPr>
            </w:pPr>
            <w:r w:rsidRPr="00B64F95">
              <w:rPr>
                <w:rFonts w:ascii="Arial" w:hAnsi="Arial" w:cs="Arial"/>
                <w:sz w:val="20"/>
                <w:szCs w:val="20"/>
              </w:rPr>
              <w:t>13 months</w:t>
            </w:r>
          </w:p>
        </w:tc>
        <w:tc>
          <w:tcPr>
            <w:tcW w:w="2192" w:type="dxa"/>
          </w:tcPr>
          <w:p w14:paraId="21EA3A50" w14:textId="57E67ADB" w:rsidR="00343B8C" w:rsidRPr="00B64F95" w:rsidRDefault="00343B8C" w:rsidP="00343B8C">
            <w:pPr>
              <w:pStyle w:val="ListParagraph"/>
              <w:ind w:left="40" w:hanging="40"/>
              <w:jc w:val="center"/>
              <w:rPr>
                <w:rFonts w:ascii="Arial" w:hAnsi="Arial" w:cs="Arial"/>
                <w:sz w:val="20"/>
                <w:szCs w:val="20"/>
              </w:rPr>
            </w:pPr>
            <w:r w:rsidRPr="00B64F95">
              <w:rPr>
                <w:rFonts w:ascii="Arial" w:hAnsi="Arial" w:cs="Arial"/>
                <w:sz w:val="20"/>
                <w:szCs w:val="20"/>
              </w:rPr>
              <w:t>£</w:t>
            </w:r>
            <w:r w:rsidR="00F72AAF">
              <w:rPr>
                <w:rFonts w:ascii="Arial" w:hAnsi="Arial" w:cs="Arial"/>
                <w:sz w:val="20"/>
                <w:szCs w:val="20"/>
              </w:rPr>
              <w:t>9</w:t>
            </w:r>
            <w:r w:rsidRPr="00B64F95">
              <w:rPr>
                <w:rFonts w:ascii="Arial" w:hAnsi="Arial" w:cs="Arial"/>
                <w:sz w:val="20"/>
                <w:szCs w:val="20"/>
              </w:rPr>
              <w:t>m</w:t>
            </w:r>
          </w:p>
        </w:tc>
        <w:tc>
          <w:tcPr>
            <w:tcW w:w="2170" w:type="dxa"/>
          </w:tcPr>
          <w:p w14:paraId="31CBC829" w14:textId="04EB31C4" w:rsidR="00343B8C" w:rsidRPr="00B64F95" w:rsidRDefault="00343B8C" w:rsidP="00343B8C">
            <w:pPr>
              <w:pStyle w:val="ListParagraph"/>
              <w:ind w:left="40" w:hanging="40"/>
              <w:jc w:val="center"/>
              <w:rPr>
                <w:rFonts w:ascii="Arial" w:hAnsi="Arial" w:cs="Arial"/>
                <w:sz w:val="20"/>
                <w:szCs w:val="20"/>
              </w:rPr>
            </w:pPr>
            <w:r w:rsidRPr="00B64F95">
              <w:rPr>
                <w:rFonts w:ascii="Arial" w:hAnsi="Arial" w:cs="Arial"/>
                <w:sz w:val="20"/>
                <w:szCs w:val="20"/>
              </w:rPr>
              <w:t>£</w:t>
            </w:r>
            <w:r w:rsidR="00F72AAF">
              <w:rPr>
                <w:rFonts w:ascii="Arial" w:hAnsi="Arial" w:cs="Arial"/>
                <w:sz w:val="20"/>
                <w:szCs w:val="20"/>
              </w:rPr>
              <w:t>9</w:t>
            </w:r>
            <w:r w:rsidRPr="00B64F95">
              <w:rPr>
                <w:rFonts w:ascii="Arial" w:hAnsi="Arial" w:cs="Arial"/>
                <w:sz w:val="20"/>
                <w:szCs w:val="20"/>
              </w:rPr>
              <w:t>m</w:t>
            </w:r>
          </w:p>
        </w:tc>
      </w:tr>
      <w:tr w:rsidR="00343B8C" w:rsidRPr="00B64F95" w14:paraId="3301EB9B" w14:textId="77777777" w:rsidTr="005B41B3">
        <w:trPr>
          <w:trHeight w:val="397"/>
        </w:trPr>
        <w:tc>
          <w:tcPr>
            <w:tcW w:w="2537" w:type="dxa"/>
            <w:vAlign w:val="center"/>
          </w:tcPr>
          <w:p w14:paraId="03073307" w14:textId="77777777" w:rsidR="00343B8C" w:rsidRPr="00B64F95" w:rsidRDefault="00343B8C" w:rsidP="00343B8C">
            <w:pPr>
              <w:pStyle w:val="ListParagraph"/>
              <w:ind w:left="34"/>
              <w:rPr>
                <w:rFonts w:ascii="Arial" w:hAnsi="Arial" w:cs="Arial"/>
                <w:sz w:val="20"/>
                <w:szCs w:val="20"/>
              </w:rPr>
            </w:pPr>
            <w:r w:rsidRPr="00B64F95">
              <w:rPr>
                <w:rFonts w:ascii="Arial" w:hAnsi="Arial" w:cs="Arial"/>
                <w:sz w:val="20"/>
                <w:szCs w:val="20"/>
              </w:rPr>
              <w:t>Registered providers (unsecured) *</w:t>
            </w:r>
          </w:p>
        </w:tc>
        <w:tc>
          <w:tcPr>
            <w:tcW w:w="2168" w:type="dxa"/>
          </w:tcPr>
          <w:p w14:paraId="463D5781" w14:textId="7E31510C" w:rsidR="00343B8C" w:rsidRPr="00B64F95" w:rsidRDefault="005A67D7" w:rsidP="00343B8C">
            <w:pPr>
              <w:pStyle w:val="ListParagraph"/>
              <w:ind w:left="40" w:hanging="40"/>
              <w:jc w:val="center"/>
              <w:rPr>
                <w:rFonts w:ascii="Arial" w:hAnsi="Arial" w:cs="Arial"/>
                <w:sz w:val="20"/>
                <w:szCs w:val="20"/>
              </w:rPr>
            </w:pPr>
            <w:r>
              <w:rPr>
                <w:rFonts w:ascii="Arial" w:hAnsi="Arial" w:cs="Arial"/>
                <w:sz w:val="20"/>
                <w:szCs w:val="20"/>
              </w:rPr>
              <w:t>3</w:t>
            </w:r>
            <w:r w:rsidR="00343B8C" w:rsidRPr="00B64F95">
              <w:rPr>
                <w:rFonts w:ascii="Arial" w:hAnsi="Arial" w:cs="Arial"/>
                <w:sz w:val="20"/>
                <w:szCs w:val="20"/>
              </w:rPr>
              <w:t xml:space="preserve"> years</w:t>
            </w:r>
          </w:p>
        </w:tc>
        <w:tc>
          <w:tcPr>
            <w:tcW w:w="2192" w:type="dxa"/>
          </w:tcPr>
          <w:p w14:paraId="3A52C00A" w14:textId="731D2F3C" w:rsidR="00343B8C" w:rsidRPr="00B64F95" w:rsidRDefault="00343B8C" w:rsidP="00343B8C">
            <w:pPr>
              <w:pStyle w:val="ListParagraph"/>
              <w:ind w:left="40" w:hanging="40"/>
              <w:jc w:val="center"/>
              <w:rPr>
                <w:rFonts w:ascii="Arial" w:hAnsi="Arial" w:cs="Arial"/>
                <w:sz w:val="20"/>
                <w:szCs w:val="20"/>
              </w:rPr>
            </w:pPr>
            <w:r w:rsidRPr="00B64F95">
              <w:rPr>
                <w:rFonts w:ascii="Arial" w:hAnsi="Arial" w:cs="Arial"/>
                <w:sz w:val="20"/>
                <w:szCs w:val="20"/>
              </w:rPr>
              <w:t>£</w:t>
            </w:r>
            <w:r w:rsidR="00F72AAF">
              <w:rPr>
                <w:rFonts w:ascii="Arial" w:hAnsi="Arial" w:cs="Arial"/>
                <w:sz w:val="20"/>
                <w:szCs w:val="20"/>
              </w:rPr>
              <w:t>9</w:t>
            </w:r>
            <w:r w:rsidRPr="00B64F95">
              <w:rPr>
                <w:rFonts w:ascii="Arial" w:hAnsi="Arial" w:cs="Arial"/>
                <w:sz w:val="20"/>
                <w:szCs w:val="20"/>
              </w:rPr>
              <w:t>m</w:t>
            </w:r>
          </w:p>
        </w:tc>
        <w:tc>
          <w:tcPr>
            <w:tcW w:w="2170" w:type="dxa"/>
          </w:tcPr>
          <w:p w14:paraId="139E17C0" w14:textId="31C2FC8C" w:rsidR="00343B8C" w:rsidRPr="00B64F95" w:rsidRDefault="00343B8C" w:rsidP="00343B8C">
            <w:pPr>
              <w:pStyle w:val="ListParagraph"/>
              <w:ind w:left="40" w:hanging="40"/>
              <w:jc w:val="center"/>
              <w:rPr>
                <w:rFonts w:ascii="Arial" w:hAnsi="Arial" w:cs="Arial"/>
                <w:sz w:val="20"/>
                <w:szCs w:val="20"/>
              </w:rPr>
            </w:pPr>
            <w:r w:rsidRPr="00B64F95">
              <w:rPr>
                <w:rFonts w:ascii="Arial" w:hAnsi="Arial" w:cs="Arial"/>
                <w:sz w:val="20"/>
                <w:szCs w:val="20"/>
              </w:rPr>
              <w:t>£</w:t>
            </w:r>
            <w:r w:rsidR="00F72AAF">
              <w:rPr>
                <w:rFonts w:ascii="Arial" w:hAnsi="Arial" w:cs="Arial"/>
                <w:sz w:val="20"/>
                <w:szCs w:val="20"/>
              </w:rPr>
              <w:t>9</w:t>
            </w:r>
            <w:r w:rsidRPr="00B64F95">
              <w:rPr>
                <w:rFonts w:ascii="Arial" w:hAnsi="Arial" w:cs="Arial"/>
                <w:sz w:val="20"/>
                <w:szCs w:val="20"/>
              </w:rPr>
              <w:t>m</w:t>
            </w:r>
          </w:p>
        </w:tc>
      </w:tr>
      <w:tr w:rsidR="001B7C4D" w:rsidRPr="00B64F95" w14:paraId="123BFB67" w14:textId="77777777" w:rsidTr="005B41B3">
        <w:trPr>
          <w:trHeight w:val="397"/>
        </w:trPr>
        <w:tc>
          <w:tcPr>
            <w:tcW w:w="2537" w:type="dxa"/>
            <w:vAlign w:val="center"/>
          </w:tcPr>
          <w:p w14:paraId="6BB85E64" w14:textId="77777777" w:rsidR="001B7C4D" w:rsidRPr="00B64F95" w:rsidRDefault="001B7C4D" w:rsidP="001B7C4D">
            <w:pPr>
              <w:pStyle w:val="ListParagraph"/>
              <w:ind w:left="34"/>
              <w:rPr>
                <w:rFonts w:ascii="Arial" w:hAnsi="Arial" w:cs="Arial"/>
                <w:sz w:val="20"/>
                <w:szCs w:val="20"/>
              </w:rPr>
            </w:pPr>
            <w:r w:rsidRPr="00B64F95">
              <w:rPr>
                <w:rFonts w:ascii="Arial" w:hAnsi="Arial" w:cs="Arial"/>
                <w:sz w:val="20"/>
                <w:szCs w:val="20"/>
              </w:rPr>
              <w:t>Money market funds *</w:t>
            </w:r>
          </w:p>
        </w:tc>
        <w:tc>
          <w:tcPr>
            <w:tcW w:w="2168" w:type="dxa"/>
          </w:tcPr>
          <w:p w14:paraId="1B0A0E4D" w14:textId="77777777" w:rsidR="001B7C4D" w:rsidRPr="00B64F95" w:rsidRDefault="001B7C4D" w:rsidP="00241A6A">
            <w:pPr>
              <w:pStyle w:val="ListParagraph"/>
              <w:ind w:left="40" w:hanging="40"/>
              <w:jc w:val="center"/>
              <w:rPr>
                <w:rFonts w:ascii="Arial" w:hAnsi="Arial" w:cs="Arial"/>
                <w:sz w:val="20"/>
                <w:szCs w:val="20"/>
              </w:rPr>
            </w:pPr>
            <w:r w:rsidRPr="00B64F95">
              <w:rPr>
                <w:rFonts w:ascii="Arial" w:hAnsi="Arial" w:cs="Arial"/>
                <w:sz w:val="20"/>
                <w:szCs w:val="20"/>
              </w:rPr>
              <w:t>n/a</w:t>
            </w:r>
          </w:p>
        </w:tc>
        <w:tc>
          <w:tcPr>
            <w:tcW w:w="2192" w:type="dxa"/>
          </w:tcPr>
          <w:p w14:paraId="6BD37012" w14:textId="4603529E" w:rsidR="001B7C4D" w:rsidRPr="00B64F95" w:rsidRDefault="001B7C4D" w:rsidP="00241A6A">
            <w:pPr>
              <w:pStyle w:val="ListParagraph"/>
              <w:ind w:left="40" w:hanging="40"/>
              <w:jc w:val="center"/>
              <w:rPr>
                <w:rFonts w:ascii="Arial" w:hAnsi="Arial" w:cs="Arial"/>
                <w:sz w:val="20"/>
                <w:szCs w:val="20"/>
              </w:rPr>
            </w:pPr>
            <w:r w:rsidRPr="00B64F95">
              <w:rPr>
                <w:rFonts w:ascii="Arial" w:hAnsi="Arial" w:cs="Arial"/>
                <w:sz w:val="20"/>
                <w:szCs w:val="20"/>
              </w:rPr>
              <w:t>£</w:t>
            </w:r>
            <w:r w:rsidR="00F72AAF">
              <w:rPr>
                <w:rFonts w:ascii="Arial" w:hAnsi="Arial" w:cs="Arial"/>
                <w:sz w:val="20"/>
                <w:szCs w:val="20"/>
              </w:rPr>
              <w:t>9</w:t>
            </w:r>
            <w:r w:rsidRPr="00B64F95">
              <w:rPr>
                <w:rFonts w:ascii="Arial" w:hAnsi="Arial" w:cs="Arial"/>
                <w:sz w:val="20"/>
                <w:szCs w:val="20"/>
              </w:rPr>
              <w:t>m</w:t>
            </w:r>
          </w:p>
        </w:tc>
        <w:tc>
          <w:tcPr>
            <w:tcW w:w="2170" w:type="dxa"/>
          </w:tcPr>
          <w:p w14:paraId="297F430C" w14:textId="77777777" w:rsidR="001B7C4D" w:rsidRPr="00B64F95" w:rsidRDefault="001B7C4D" w:rsidP="00241A6A">
            <w:pPr>
              <w:pStyle w:val="ListParagraph"/>
              <w:ind w:left="40" w:hanging="40"/>
              <w:jc w:val="center"/>
              <w:rPr>
                <w:rFonts w:ascii="Arial" w:hAnsi="Arial" w:cs="Arial"/>
                <w:sz w:val="20"/>
                <w:szCs w:val="20"/>
              </w:rPr>
            </w:pPr>
            <w:r w:rsidRPr="00B64F95">
              <w:rPr>
                <w:rFonts w:ascii="Arial" w:hAnsi="Arial" w:cs="Arial"/>
                <w:sz w:val="20"/>
                <w:szCs w:val="20"/>
              </w:rPr>
              <w:t>Unlimited</w:t>
            </w:r>
          </w:p>
        </w:tc>
      </w:tr>
      <w:tr w:rsidR="00153BB9" w:rsidRPr="00B64F95" w14:paraId="0EEAA279" w14:textId="77777777" w:rsidTr="005B41B3">
        <w:trPr>
          <w:trHeight w:val="397"/>
        </w:trPr>
        <w:tc>
          <w:tcPr>
            <w:tcW w:w="2537" w:type="dxa"/>
            <w:vAlign w:val="center"/>
          </w:tcPr>
          <w:p w14:paraId="2228624E" w14:textId="77777777" w:rsidR="00153BB9" w:rsidRPr="00B64F95" w:rsidRDefault="00153BB9" w:rsidP="00153BB9">
            <w:pPr>
              <w:pStyle w:val="ListParagraph"/>
              <w:ind w:left="34"/>
              <w:rPr>
                <w:rFonts w:ascii="Arial" w:hAnsi="Arial" w:cs="Arial"/>
                <w:sz w:val="20"/>
                <w:szCs w:val="20"/>
              </w:rPr>
            </w:pPr>
            <w:r w:rsidRPr="00B64F95">
              <w:rPr>
                <w:rFonts w:ascii="Arial" w:hAnsi="Arial" w:cs="Arial"/>
                <w:sz w:val="20"/>
                <w:szCs w:val="20"/>
              </w:rPr>
              <w:t>Strategic pooled funds</w:t>
            </w:r>
          </w:p>
        </w:tc>
        <w:tc>
          <w:tcPr>
            <w:tcW w:w="2168" w:type="dxa"/>
          </w:tcPr>
          <w:p w14:paraId="0250138C" w14:textId="77777777" w:rsidR="00153BB9" w:rsidRPr="00B64F95" w:rsidRDefault="00153BB9" w:rsidP="00241A6A">
            <w:pPr>
              <w:pStyle w:val="ListParagraph"/>
              <w:ind w:left="40" w:hanging="40"/>
              <w:jc w:val="center"/>
              <w:rPr>
                <w:rFonts w:ascii="Arial" w:hAnsi="Arial" w:cs="Arial"/>
                <w:sz w:val="20"/>
                <w:szCs w:val="20"/>
              </w:rPr>
            </w:pPr>
            <w:r w:rsidRPr="00B64F95">
              <w:rPr>
                <w:rFonts w:ascii="Arial" w:hAnsi="Arial" w:cs="Arial"/>
                <w:sz w:val="20"/>
                <w:szCs w:val="20"/>
              </w:rPr>
              <w:t>n/a</w:t>
            </w:r>
          </w:p>
        </w:tc>
        <w:tc>
          <w:tcPr>
            <w:tcW w:w="2192" w:type="dxa"/>
          </w:tcPr>
          <w:p w14:paraId="550A80BB" w14:textId="7CFD892A" w:rsidR="00153BB9" w:rsidRPr="00B64F95" w:rsidRDefault="00153BB9" w:rsidP="00241A6A">
            <w:pPr>
              <w:pStyle w:val="ListParagraph"/>
              <w:ind w:left="40" w:hanging="40"/>
              <w:jc w:val="center"/>
              <w:rPr>
                <w:rFonts w:ascii="Arial" w:hAnsi="Arial" w:cs="Arial"/>
                <w:sz w:val="20"/>
                <w:szCs w:val="20"/>
              </w:rPr>
            </w:pPr>
            <w:r w:rsidRPr="00B64F95">
              <w:rPr>
                <w:rFonts w:ascii="Arial" w:hAnsi="Arial" w:cs="Arial"/>
                <w:sz w:val="20"/>
                <w:szCs w:val="20"/>
              </w:rPr>
              <w:t>£</w:t>
            </w:r>
            <w:r w:rsidR="00F72AAF">
              <w:rPr>
                <w:rFonts w:ascii="Arial" w:hAnsi="Arial" w:cs="Arial"/>
                <w:sz w:val="20"/>
                <w:szCs w:val="20"/>
              </w:rPr>
              <w:t>9</w:t>
            </w:r>
            <w:r w:rsidRPr="00B64F95">
              <w:rPr>
                <w:rFonts w:ascii="Arial" w:hAnsi="Arial" w:cs="Arial"/>
                <w:sz w:val="20"/>
                <w:szCs w:val="20"/>
              </w:rPr>
              <w:t>m</w:t>
            </w:r>
          </w:p>
        </w:tc>
        <w:tc>
          <w:tcPr>
            <w:tcW w:w="2170" w:type="dxa"/>
          </w:tcPr>
          <w:p w14:paraId="0EF9597C" w14:textId="6903F170" w:rsidR="00153BB9" w:rsidRPr="00B64F95" w:rsidRDefault="00153BB9" w:rsidP="00241A6A">
            <w:pPr>
              <w:pStyle w:val="ListParagraph"/>
              <w:ind w:left="40" w:hanging="40"/>
              <w:jc w:val="center"/>
              <w:rPr>
                <w:rFonts w:ascii="Arial" w:hAnsi="Arial" w:cs="Arial"/>
                <w:b/>
                <w:sz w:val="20"/>
                <w:szCs w:val="20"/>
              </w:rPr>
            </w:pPr>
            <w:r w:rsidRPr="00B64F95">
              <w:rPr>
                <w:rFonts w:ascii="Arial" w:hAnsi="Arial" w:cs="Arial"/>
                <w:sz w:val="20"/>
                <w:szCs w:val="20"/>
              </w:rPr>
              <w:t>£</w:t>
            </w:r>
            <w:r w:rsidR="00882F2A">
              <w:rPr>
                <w:rFonts w:ascii="Arial" w:hAnsi="Arial" w:cs="Arial"/>
                <w:sz w:val="20"/>
                <w:szCs w:val="20"/>
              </w:rPr>
              <w:t>36m</w:t>
            </w:r>
          </w:p>
        </w:tc>
      </w:tr>
      <w:tr w:rsidR="00343B8C" w:rsidRPr="00B64F95" w14:paraId="39AF71E3" w14:textId="77777777" w:rsidTr="005B41B3">
        <w:trPr>
          <w:trHeight w:val="397"/>
        </w:trPr>
        <w:tc>
          <w:tcPr>
            <w:tcW w:w="2537" w:type="dxa"/>
            <w:vAlign w:val="center"/>
          </w:tcPr>
          <w:p w14:paraId="5A67A6D1" w14:textId="77777777" w:rsidR="00343B8C" w:rsidRPr="00B64F95" w:rsidRDefault="00343B8C" w:rsidP="00343B8C">
            <w:pPr>
              <w:pStyle w:val="ListParagraph"/>
              <w:ind w:left="34"/>
              <w:rPr>
                <w:rFonts w:ascii="Arial" w:hAnsi="Arial" w:cs="Arial"/>
                <w:sz w:val="20"/>
                <w:szCs w:val="20"/>
              </w:rPr>
            </w:pPr>
            <w:r w:rsidRPr="00B64F95">
              <w:rPr>
                <w:rFonts w:ascii="Arial" w:hAnsi="Arial" w:cs="Arial"/>
                <w:sz w:val="20"/>
                <w:szCs w:val="20"/>
              </w:rPr>
              <w:t>Real estate investment trusts</w:t>
            </w:r>
          </w:p>
        </w:tc>
        <w:tc>
          <w:tcPr>
            <w:tcW w:w="2168" w:type="dxa"/>
          </w:tcPr>
          <w:p w14:paraId="557775DE" w14:textId="77777777" w:rsidR="00343B8C" w:rsidRPr="00B64F95" w:rsidRDefault="00343B8C" w:rsidP="00343B8C">
            <w:pPr>
              <w:pStyle w:val="ListParagraph"/>
              <w:ind w:left="40" w:hanging="40"/>
              <w:jc w:val="center"/>
              <w:rPr>
                <w:rFonts w:ascii="Arial" w:hAnsi="Arial" w:cs="Arial"/>
                <w:sz w:val="20"/>
                <w:szCs w:val="20"/>
              </w:rPr>
            </w:pPr>
            <w:r w:rsidRPr="00B64F95">
              <w:rPr>
                <w:rFonts w:ascii="Arial" w:hAnsi="Arial" w:cs="Arial"/>
                <w:sz w:val="20"/>
                <w:szCs w:val="20"/>
              </w:rPr>
              <w:t>n/a</w:t>
            </w:r>
          </w:p>
        </w:tc>
        <w:tc>
          <w:tcPr>
            <w:tcW w:w="2192" w:type="dxa"/>
          </w:tcPr>
          <w:p w14:paraId="62F1AC99" w14:textId="57EB1FDB" w:rsidR="00343B8C" w:rsidRPr="00B64F95" w:rsidRDefault="00343B8C" w:rsidP="00343B8C">
            <w:pPr>
              <w:pStyle w:val="ListParagraph"/>
              <w:ind w:left="40" w:hanging="40"/>
              <w:jc w:val="center"/>
              <w:rPr>
                <w:rFonts w:ascii="Arial" w:hAnsi="Arial" w:cs="Arial"/>
                <w:sz w:val="20"/>
                <w:szCs w:val="20"/>
              </w:rPr>
            </w:pPr>
            <w:r w:rsidRPr="00B64F95">
              <w:rPr>
                <w:rFonts w:ascii="Arial" w:hAnsi="Arial" w:cs="Arial"/>
                <w:sz w:val="20"/>
                <w:szCs w:val="20"/>
              </w:rPr>
              <w:t>£</w:t>
            </w:r>
            <w:r w:rsidR="00F72AAF">
              <w:rPr>
                <w:rFonts w:ascii="Arial" w:hAnsi="Arial" w:cs="Arial"/>
                <w:sz w:val="20"/>
                <w:szCs w:val="20"/>
              </w:rPr>
              <w:t>9</w:t>
            </w:r>
            <w:r w:rsidRPr="00B64F95">
              <w:rPr>
                <w:rFonts w:ascii="Arial" w:hAnsi="Arial" w:cs="Arial"/>
                <w:sz w:val="20"/>
                <w:szCs w:val="20"/>
              </w:rPr>
              <w:t>m</w:t>
            </w:r>
          </w:p>
        </w:tc>
        <w:tc>
          <w:tcPr>
            <w:tcW w:w="2170" w:type="dxa"/>
          </w:tcPr>
          <w:p w14:paraId="6C775973" w14:textId="27C5A08E" w:rsidR="00343B8C" w:rsidRPr="00B64F95" w:rsidRDefault="00343B8C" w:rsidP="00343B8C">
            <w:pPr>
              <w:pStyle w:val="ListParagraph"/>
              <w:ind w:left="40" w:hanging="40"/>
              <w:jc w:val="center"/>
              <w:rPr>
                <w:rFonts w:ascii="Arial" w:hAnsi="Arial" w:cs="Arial"/>
                <w:sz w:val="20"/>
                <w:szCs w:val="20"/>
              </w:rPr>
            </w:pPr>
            <w:r w:rsidRPr="00B64F95">
              <w:rPr>
                <w:rFonts w:ascii="Arial" w:hAnsi="Arial" w:cs="Arial"/>
                <w:sz w:val="20"/>
                <w:szCs w:val="20"/>
              </w:rPr>
              <w:t>£</w:t>
            </w:r>
            <w:r w:rsidR="00F72AAF">
              <w:rPr>
                <w:rFonts w:ascii="Arial" w:hAnsi="Arial" w:cs="Arial"/>
                <w:sz w:val="20"/>
                <w:szCs w:val="20"/>
              </w:rPr>
              <w:t>9</w:t>
            </w:r>
            <w:r w:rsidRPr="00B64F95">
              <w:rPr>
                <w:rFonts w:ascii="Arial" w:hAnsi="Arial" w:cs="Arial"/>
                <w:sz w:val="20"/>
                <w:szCs w:val="20"/>
              </w:rPr>
              <w:t>m</w:t>
            </w:r>
          </w:p>
        </w:tc>
      </w:tr>
      <w:tr w:rsidR="00343B8C" w:rsidRPr="00B64F95" w14:paraId="1B310B35" w14:textId="77777777" w:rsidTr="005B41B3">
        <w:trPr>
          <w:trHeight w:val="397"/>
        </w:trPr>
        <w:tc>
          <w:tcPr>
            <w:tcW w:w="2537" w:type="dxa"/>
            <w:vAlign w:val="center"/>
          </w:tcPr>
          <w:p w14:paraId="1AB0D487" w14:textId="77777777" w:rsidR="00343B8C" w:rsidRPr="00B64F95" w:rsidRDefault="00343B8C" w:rsidP="00343B8C">
            <w:pPr>
              <w:pStyle w:val="ListParagraph"/>
              <w:ind w:left="34"/>
              <w:rPr>
                <w:rFonts w:ascii="Arial" w:hAnsi="Arial" w:cs="Arial"/>
                <w:sz w:val="20"/>
                <w:szCs w:val="20"/>
              </w:rPr>
            </w:pPr>
            <w:r w:rsidRPr="00B64F95">
              <w:rPr>
                <w:rFonts w:ascii="Arial" w:hAnsi="Arial" w:cs="Arial"/>
                <w:sz w:val="20"/>
                <w:szCs w:val="20"/>
              </w:rPr>
              <w:t>Other investments *</w:t>
            </w:r>
          </w:p>
        </w:tc>
        <w:tc>
          <w:tcPr>
            <w:tcW w:w="2168" w:type="dxa"/>
          </w:tcPr>
          <w:p w14:paraId="0CD60854" w14:textId="10866183" w:rsidR="00343B8C" w:rsidRPr="00B64F95" w:rsidRDefault="005A67D7" w:rsidP="00343B8C">
            <w:pPr>
              <w:pStyle w:val="ListParagraph"/>
              <w:ind w:left="40" w:hanging="40"/>
              <w:jc w:val="center"/>
              <w:rPr>
                <w:rFonts w:ascii="Arial" w:hAnsi="Arial" w:cs="Arial"/>
                <w:sz w:val="20"/>
                <w:szCs w:val="20"/>
              </w:rPr>
            </w:pPr>
            <w:r>
              <w:rPr>
                <w:rFonts w:ascii="Arial" w:hAnsi="Arial" w:cs="Arial"/>
                <w:sz w:val="20"/>
                <w:szCs w:val="20"/>
              </w:rPr>
              <w:t>3</w:t>
            </w:r>
            <w:r w:rsidR="00343B8C" w:rsidRPr="00B64F95">
              <w:rPr>
                <w:rFonts w:ascii="Arial" w:hAnsi="Arial" w:cs="Arial"/>
                <w:sz w:val="20"/>
                <w:szCs w:val="20"/>
              </w:rPr>
              <w:t xml:space="preserve"> years</w:t>
            </w:r>
          </w:p>
        </w:tc>
        <w:tc>
          <w:tcPr>
            <w:tcW w:w="2192" w:type="dxa"/>
          </w:tcPr>
          <w:p w14:paraId="0A0A245C" w14:textId="01542811" w:rsidR="00343B8C" w:rsidRPr="00B64F95" w:rsidRDefault="00343B8C" w:rsidP="00343B8C">
            <w:pPr>
              <w:pStyle w:val="ListParagraph"/>
              <w:ind w:left="40" w:hanging="40"/>
              <w:jc w:val="center"/>
              <w:rPr>
                <w:rFonts w:ascii="Arial" w:hAnsi="Arial" w:cs="Arial"/>
                <w:sz w:val="20"/>
                <w:szCs w:val="20"/>
              </w:rPr>
            </w:pPr>
            <w:r w:rsidRPr="00B64F95">
              <w:rPr>
                <w:rFonts w:ascii="Arial" w:hAnsi="Arial" w:cs="Arial"/>
                <w:sz w:val="20"/>
                <w:szCs w:val="20"/>
              </w:rPr>
              <w:t>£</w:t>
            </w:r>
            <w:r w:rsidR="00F72AAF">
              <w:rPr>
                <w:rFonts w:ascii="Arial" w:hAnsi="Arial" w:cs="Arial"/>
                <w:sz w:val="20"/>
                <w:szCs w:val="20"/>
              </w:rPr>
              <w:t>9</w:t>
            </w:r>
            <w:r w:rsidRPr="00B64F95">
              <w:rPr>
                <w:rFonts w:ascii="Arial" w:hAnsi="Arial" w:cs="Arial"/>
                <w:sz w:val="20"/>
                <w:szCs w:val="20"/>
              </w:rPr>
              <w:t>m</w:t>
            </w:r>
          </w:p>
        </w:tc>
        <w:tc>
          <w:tcPr>
            <w:tcW w:w="2170" w:type="dxa"/>
          </w:tcPr>
          <w:p w14:paraId="4221867C" w14:textId="3674710D" w:rsidR="00343B8C" w:rsidRPr="00B64F95" w:rsidRDefault="00343B8C" w:rsidP="00343B8C">
            <w:pPr>
              <w:pStyle w:val="ListParagraph"/>
              <w:ind w:left="40" w:hanging="40"/>
              <w:jc w:val="center"/>
              <w:rPr>
                <w:rFonts w:ascii="Arial" w:hAnsi="Arial" w:cs="Arial"/>
                <w:sz w:val="20"/>
                <w:szCs w:val="20"/>
              </w:rPr>
            </w:pPr>
            <w:r w:rsidRPr="00B64F95">
              <w:rPr>
                <w:rFonts w:ascii="Arial" w:hAnsi="Arial" w:cs="Arial"/>
                <w:sz w:val="20"/>
                <w:szCs w:val="20"/>
              </w:rPr>
              <w:t>£</w:t>
            </w:r>
            <w:r w:rsidR="00F72AAF">
              <w:rPr>
                <w:rFonts w:ascii="Arial" w:hAnsi="Arial" w:cs="Arial"/>
                <w:sz w:val="20"/>
                <w:szCs w:val="20"/>
              </w:rPr>
              <w:t>9</w:t>
            </w:r>
            <w:r w:rsidRPr="00B64F95">
              <w:rPr>
                <w:rFonts w:ascii="Arial" w:hAnsi="Arial" w:cs="Arial"/>
                <w:sz w:val="20"/>
                <w:szCs w:val="20"/>
              </w:rPr>
              <w:t>m</w:t>
            </w:r>
          </w:p>
        </w:tc>
      </w:tr>
    </w:tbl>
    <w:p w14:paraId="4387A0A8" w14:textId="2AAB5247" w:rsidR="008C2DEA" w:rsidRPr="00B64F95" w:rsidRDefault="00023CC9" w:rsidP="00AD3FC8">
      <w:pPr>
        <w:pStyle w:val="ListParagraph"/>
        <w:ind w:left="0"/>
        <w:contextualSpacing w:val="0"/>
        <w:jc w:val="both"/>
        <w:rPr>
          <w:rFonts w:ascii="Arial" w:hAnsi="Arial" w:cs="Arial"/>
          <w:sz w:val="20"/>
          <w:szCs w:val="20"/>
        </w:rPr>
      </w:pPr>
      <w:r w:rsidRPr="00B64F95">
        <w:rPr>
          <w:rFonts w:ascii="Arial" w:hAnsi="Arial" w:cs="Arial"/>
          <w:sz w:val="20"/>
          <w:szCs w:val="20"/>
        </w:rPr>
        <w:t>This table must be read in conjunction with the notes below</w:t>
      </w:r>
      <w:r w:rsidR="00235D66" w:rsidRPr="00B64F95">
        <w:rPr>
          <w:rFonts w:ascii="Arial" w:hAnsi="Arial" w:cs="Arial"/>
          <w:sz w:val="20"/>
          <w:szCs w:val="20"/>
        </w:rPr>
        <w:t>. Please note changes in investment limits</w:t>
      </w:r>
      <w:r w:rsidR="00081CD7">
        <w:rPr>
          <w:rFonts w:ascii="Arial" w:hAnsi="Arial" w:cs="Arial"/>
          <w:sz w:val="20"/>
          <w:szCs w:val="20"/>
        </w:rPr>
        <w:t xml:space="preserve"> and duration</w:t>
      </w:r>
      <w:r w:rsidR="00235D66" w:rsidRPr="00B64F95">
        <w:rPr>
          <w:rFonts w:ascii="Arial" w:hAnsi="Arial" w:cs="Arial"/>
          <w:sz w:val="20"/>
          <w:szCs w:val="20"/>
        </w:rPr>
        <w:t xml:space="preserve"> (see Investment Limits section below)</w:t>
      </w:r>
    </w:p>
    <w:p w14:paraId="201D1DEB" w14:textId="77777777" w:rsidR="002D4226" w:rsidRPr="002D4226" w:rsidRDefault="002D4226" w:rsidP="002D4226">
      <w:pPr>
        <w:contextualSpacing/>
        <w:jc w:val="both"/>
        <w:rPr>
          <w:rFonts w:ascii="Arial" w:hAnsi="Arial" w:cs="Arial"/>
          <w:b/>
          <w:bCs/>
          <w:sz w:val="20"/>
          <w:szCs w:val="20"/>
        </w:rPr>
      </w:pPr>
      <w:r w:rsidRPr="002D4226">
        <w:rPr>
          <w:rFonts w:ascii="Trebuchet MS" w:eastAsia="Times New Roman" w:hAnsi="Trebuchet MS"/>
          <w:b/>
          <w:bCs/>
          <w:sz w:val="20"/>
          <w:szCs w:val="20"/>
        </w:rPr>
        <w:t xml:space="preserve">Time limits: </w:t>
      </w:r>
      <w:r w:rsidRPr="002D4226">
        <w:rPr>
          <w:rFonts w:ascii="Trebuchet MS" w:eastAsia="Times New Roman" w:hAnsi="Trebuchet MS"/>
          <w:sz w:val="20"/>
          <w:szCs w:val="20"/>
        </w:rPr>
        <w:t>These start on the earlier of date that the Authority is committed to make the investment and the date that cash is transferred to the counterparty.</w:t>
      </w:r>
    </w:p>
    <w:p w14:paraId="452B33E8" w14:textId="74160563" w:rsidR="005A55B6" w:rsidRPr="00B64F95" w:rsidRDefault="00487E20" w:rsidP="00AD3FC8">
      <w:pPr>
        <w:pStyle w:val="ListParagraph"/>
        <w:ind w:left="0"/>
        <w:contextualSpacing w:val="0"/>
        <w:jc w:val="both"/>
        <w:rPr>
          <w:rFonts w:ascii="Arial" w:hAnsi="Arial" w:cs="Arial"/>
          <w:sz w:val="20"/>
          <w:szCs w:val="20"/>
        </w:rPr>
      </w:pPr>
      <w:r w:rsidRPr="00B64F95">
        <w:rPr>
          <w:rFonts w:ascii="Arial" w:hAnsi="Arial" w:cs="Arial"/>
          <w:b/>
          <w:sz w:val="20"/>
          <w:szCs w:val="20"/>
        </w:rPr>
        <w:t xml:space="preserve">Minimum </w:t>
      </w:r>
      <w:r w:rsidR="005A55B6" w:rsidRPr="00B64F95">
        <w:rPr>
          <w:rFonts w:ascii="Arial" w:hAnsi="Arial" w:cs="Arial"/>
          <w:b/>
          <w:sz w:val="20"/>
          <w:szCs w:val="20"/>
        </w:rPr>
        <w:t xml:space="preserve">Credit </w:t>
      </w:r>
      <w:r w:rsidR="007D2690" w:rsidRPr="00B64F95">
        <w:rPr>
          <w:rFonts w:ascii="Arial" w:hAnsi="Arial" w:cs="Arial"/>
          <w:b/>
          <w:sz w:val="20"/>
          <w:szCs w:val="20"/>
        </w:rPr>
        <w:t>ra</w:t>
      </w:r>
      <w:r w:rsidR="005A55B6" w:rsidRPr="00B64F95">
        <w:rPr>
          <w:rFonts w:ascii="Arial" w:hAnsi="Arial" w:cs="Arial"/>
          <w:b/>
          <w:sz w:val="20"/>
          <w:szCs w:val="20"/>
        </w:rPr>
        <w:t>ting</w:t>
      </w:r>
      <w:r w:rsidR="00174A71" w:rsidRPr="00B64F95">
        <w:rPr>
          <w:rFonts w:ascii="Arial" w:hAnsi="Arial" w:cs="Arial"/>
          <w:b/>
          <w:sz w:val="20"/>
          <w:szCs w:val="20"/>
        </w:rPr>
        <w:t>:</w:t>
      </w:r>
      <w:r w:rsidR="00174A71" w:rsidRPr="00B64F95">
        <w:rPr>
          <w:rFonts w:ascii="Arial" w:hAnsi="Arial" w:cs="Arial"/>
          <w:sz w:val="20"/>
          <w:szCs w:val="20"/>
        </w:rPr>
        <w:t xml:space="preserve"> </w:t>
      </w:r>
      <w:r w:rsidRPr="00B64F95">
        <w:rPr>
          <w:rFonts w:ascii="Arial" w:hAnsi="Arial" w:cs="Arial"/>
          <w:sz w:val="20"/>
          <w:szCs w:val="20"/>
        </w:rPr>
        <w:t xml:space="preserve">Treasury investments in the sectors marked with an asterisk will only be made with entities whose lowest published long-term credit rating is no lower than </w:t>
      </w:r>
      <w:r w:rsidRPr="00B64F95">
        <w:rPr>
          <w:rFonts w:ascii="Arial" w:eastAsia="Times New Roman" w:hAnsi="Arial" w:cs="Arial"/>
          <w:sz w:val="20"/>
          <w:szCs w:val="20"/>
        </w:rPr>
        <w:t>[A-].</w:t>
      </w:r>
      <w:r w:rsidRPr="00B64F95">
        <w:rPr>
          <w:rFonts w:ascii="Trebuchet MS" w:eastAsia="Times New Roman" w:hAnsi="Trebuchet MS"/>
          <w:sz w:val="20"/>
          <w:szCs w:val="20"/>
        </w:rPr>
        <w:t xml:space="preserve"> </w:t>
      </w:r>
      <w:r w:rsidR="00174A71" w:rsidRPr="00B64F95">
        <w:rPr>
          <w:rFonts w:ascii="Arial" w:hAnsi="Arial" w:cs="Arial"/>
          <w:sz w:val="20"/>
          <w:szCs w:val="20"/>
        </w:rPr>
        <w:t>Where available, the credit rating relevant to the specific investment or class of investment is used, otherwise the counterparty credit rating is used.</w:t>
      </w:r>
      <w:r w:rsidR="008F7709" w:rsidRPr="00B64F95">
        <w:rPr>
          <w:rFonts w:ascii="Arial" w:hAnsi="Arial" w:cs="Arial"/>
          <w:sz w:val="20"/>
          <w:szCs w:val="20"/>
        </w:rPr>
        <w:t xml:space="preserve"> However, investment decisions are never made solely based on credit ratings, and all other relevant factors including external advice will be </w:t>
      </w:r>
      <w:r w:rsidR="000136F8" w:rsidRPr="00B64F95">
        <w:rPr>
          <w:rFonts w:ascii="Arial" w:hAnsi="Arial" w:cs="Arial"/>
          <w:sz w:val="20"/>
          <w:szCs w:val="20"/>
        </w:rPr>
        <w:t>considered</w:t>
      </w:r>
      <w:r w:rsidR="008F7709" w:rsidRPr="00B64F95">
        <w:rPr>
          <w:rFonts w:ascii="Arial" w:hAnsi="Arial" w:cs="Arial"/>
          <w:sz w:val="20"/>
          <w:szCs w:val="20"/>
        </w:rPr>
        <w:t>.</w:t>
      </w:r>
      <w:r w:rsidR="00AC6434" w:rsidRPr="00AC6434">
        <w:rPr>
          <w:rFonts w:ascii="Trebuchet MS" w:eastAsia="Times New Roman" w:hAnsi="Trebuchet MS"/>
          <w:sz w:val="20"/>
          <w:szCs w:val="20"/>
        </w:rPr>
        <w:t xml:space="preserve"> </w:t>
      </w:r>
      <w:r w:rsidR="00AC6434" w:rsidRPr="00AC6434">
        <w:rPr>
          <w:rFonts w:ascii="Arial" w:hAnsi="Arial" w:cs="Arial"/>
          <w:sz w:val="20"/>
          <w:szCs w:val="20"/>
        </w:rPr>
        <w:t>For entities without published credit ratings, investments may be made where external advice indicates the entity to be of similar credit quality</w:t>
      </w:r>
      <w:r w:rsidR="00AC6434">
        <w:rPr>
          <w:rFonts w:ascii="Arial" w:hAnsi="Arial" w:cs="Arial"/>
          <w:sz w:val="20"/>
          <w:szCs w:val="20"/>
        </w:rPr>
        <w:t>.</w:t>
      </w:r>
    </w:p>
    <w:p w14:paraId="2573342F" w14:textId="3DE46EA6" w:rsidR="000824E8" w:rsidRDefault="002D4226" w:rsidP="00AD3FC8">
      <w:pPr>
        <w:pStyle w:val="ListParagraph"/>
        <w:ind w:left="0"/>
        <w:contextualSpacing w:val="0"/>
        <w:jc w:val="both"/>
        <w:rPr>
          <w:rFonts w:ascii="Arial" w:hAnsi="Arial" w:cs="Arial"/>
          <w:sz w:val="20"/>
          <w:szCs w:val="20"/>
        </w:rPr>
      </w:pPr>
      <w:r>
        <w:rPr>
          <w:rFonts w:ascii="Arial" w:hAnsi="Arial" w:cs="Arial"/>
          <w:b/>
          <w:sz w:val="20"/>
          <w:szCs w:val="20"/>
        </w:rPr>
        <w:t xml:space="preserve">UK </w:t>
      </w:r>
      <w:r w:rsidR="00FA6C4B" w:rsidRPr="00B64F95">
        <w:rPr>
          <w:rFonts w:ascii="Arial" w:hAnsi="Arial" w:cs="Arial"/>
          <w:b/>
          <w:sz w:val="20"/>
          <w:szCs w:val="20"/>
        </w:rPr>
        <w:t>Government:</w:t>
      </w:r>
      <w:r w:rsidR="00C82115" w:rsidRPr="00B64F95">
        <w:rPr>
          <w:rFonts w:ascii="Arial" w:hAnsi="Arial" w:cs="Arial"/>
          <w:sz w:val="20"/>
          <w:szCs w:val="20"/>
        </w:rPr>
        <w:t xml:space="preserve"> </w:t>
      </w:r>
      <w:r w:rsidR="00EA42CA" w:rsidRPr="00EA42CA">
        <w:rPr>
          <w:rFonts w:ascii="Arial" w:hAnsi="Arial" w:cs="Arial"/>
          <w:sz w:val="20"/>
          <w:szCs w:val="20"/>
        </w:rPr>
        <w:t xml:space="preserve">Sterling-denominated investments with or explicitly guaranteed by the UK Government, including the Debt Management Account Deposit Facility, treasury </w:t>
      </w:r>
      <w:r w:rsidR="00727C21" w:rsidRPr="00EA42CA">
        <w:rPr>
          <w:rFonts w:ascii="Arial" w:hAnsi="Arial" w:cs="Arial"/>
          <w:sz w:val="20"/>
          <w:szCs w:val="20"/>
        </w:rPr>
        <w:t>bills,</w:t>
      </w:r>
      <w:r w:rsidR="00EA42CA" w:rsidRPr="00EA42CA">
        <w:rPr>
          <w:rFonts w:ascii="Arial" w:hAnsi="Arial" w:cs="Arial"/>
          <w:sz w:val="20"/>
          <w:szCs w:val="20"/>
        </w:rPr>
        <w:t xml:space="preserve"> and gilts. These are deemed to be zero credit risk due to the government’s ability to create additional currency and therefore may be made in unlimited amounts for up to 50 years</w:t>
      </w:r>
      <w:r w:rsidR="006518B2" w:rsidRPr="00B64F95">
        <w:rPr>
          <w:rFonts w:ascii="Arial" w:hAnsi="Arial" w:cs="Arial"/>
          <w:sz w:val="20"/>
          <w:szCs w:val="20"/>
        </w:rPr>
        <w:t>.</w:t>
      </w:r>
    </w:p>
    <w:p w14:paraId="42CB86FD" w14:textId="5D41B0D3" w:rsidR="00C51EA3" w:rsidRPr="00C51EA3" w:rsidRDefault="00C51EA3" w:rsidP="00C51EA3">
      <w:pPr>
        <w:contextualSpacing/>
        <w:jc w:val="both"/>
        <w:rPr>
          <w:rFonts w:ascii="Arial" w:hAnsi="Arial" w:cs="Arial"/>
          <w:sz w:val="20"/>
          <w:szCs w:val="20"/>
        </w:rPr>
      </w:pPr>
      <w:r w:rsidRPr="00C51EA3">
        <w:rPr>
          <w:rFonts w:ascii="Arial" w:hAnsi="Arial" w:cs="Arial"/>
          <w:b/>
          <w:sz w:val="20"/>
          <w:szCs w:val="20"/>
        </w:rPr>
        <w:t>Local authorities and other government entities:</w:t>
      </w:r>
      <w:r w:rsidRPr="00C51EA3">
        <w:rPr>
          <w:rFonts w:ascii="Arial" w:hAnsi="Arial" w:cs="Arial"/>
          <w:sz w:val="20"/>
          <w:szCs w:val="20"/>
        </w:rPr>
        <w:t xml:space="preserve"> Loans to, and bonds and bills issued or guaranteed by, other national governments, regional and local </w:t>
      </w:r>
      <w:r w:rsidR="00727C21" w:rsidRPr="00C51EA3">
        <w:rPr>
          <w:rFonts w:ascii="Arial" w:hAnsi="Arial" w:cs="Arial"/>
          <w:sz w:val="20"/>
          <w:szCs w:val="20"/>
        </w:rPr>
        <w:t>authorities,</w:t>
      </w:r>
      <w:r w:rsidRPr="00C51EA3">
        <w:rPr>
          <w:rFonts w:ascii="Arial" w:hAnsi="Arial" w:cs="Arial"/>
          <w:sz w:val="20"/>
          <w:szCs w:val="20"/>
        </w:rPr>
        <w:t xml:space="preserve"> and multilateral development banks. These investments are not subject to bail-in, and there is generally a lower risk of insolvency, although they are not zero risk. </w:t>
      </w:r>
    </w:p>
    <w:p w14:paraId="4FA5ADF0" w14:textId="77777777" w:rsidR="004113E9" w:rsidRPr="00B64F95" w:rsidRDefault="004113E9" w:rsidP="004113E9">
      <w:pPr>
        <w:pStyle w:val="ListParagraph"/>
        <w:ind w:left="0"/>
        <w:contextualSpacing w:val="0"/>
        <w:jc w:val="both"/>
        <w:rPr>
          <w:rFonts w:ascii="Arial" w:hAnsi="Arial" w:cs="Arial"/>
          <w:sz w:val="20"/>
          <w:szCs w:val="20"/>
        </w:rPr>
      </w:pPr>
      <w:r w:rsidRPr="00B64F95">
        <w:rPr>
          <w:rFonts w:ascii="Arial" w:hAnsi="Arial" w:cs="Arial"/>
          <w:b/>
          <w:sz w:val="20"/>
          <w:szCs w:val="20"/>
        </w:rPr>
        <w:t>Secured investments:</w:t>
      </w:r>
      <w:r w:rsidRPr="00B64F95">
        <w:rPr>
          <w:rFonts w:ascii="Arial" w:hAnsi="Arial" w:cs="Arial"/>
          <w:sz w:val="20"/>
          <w:szCs w:val="20"/>
        </w:rPr>
        <w:t xml:space="preserve"> Investments secured on the borrower’s assets, which limits the potential losses in the event of insolvency. The amount and quality of the security will be a key factor in the investment decision. Covered bonds and reverse repurchase agreements with banks and building societies are exempt from bail-in. Where there is no investment specific credit rating, but the collateral upon which the investment is secured has a credit rating, the higher of the collateral credit rating and the counterparty credit rating will be used. The combined secured and unsecured investments with any one counterparty will not exceed the cash limit for secured investments.</w:t>
      </w:r>
    </w:p>
    <w:p w14:paraId="220EB93D" w14:textId="77777777" w:rsidR="004113E9" w:rsidRPr="00B64F95" w:rsidRDefault="004113E9" w:rsidP="004113E9">
      <w:pPr>
        <w:pStyle w:val="ListParagraph"/>
        <w:ind w:left="0"/>
        <w:contextualSpacing w:val="0"/>
        <w:jc w:val="both"/>
        <w:rPr>
          <w:rFonts w:ascii="Trebuchet MS" w:hAnsi="Trebuchet MS"/>
          <w:sz w:val="20"/>
          <w:szCs w:val="20"/>
        </w:rPr>
      </w:pPr>
      <w:r w:rsidRPr="00B64F95">
        <w:rPr>
          <w:rFonts w:ascii="Arial" w:hAnsi="Arial" w:cs="Arial"/>
          <w:b/>
          <w:sz w:val="20"/>
          <w:szCs w:val="20"/>
        </w:rPr>
        <w:t>Banks and building societies - unsecured:</w:t>
      </w:r>
      <w:r w:rsidRPr="00B64F95">
        <w:rPr>
          <w:rFonts w:ascii="Arial" w:hAnsi="Arial" w:cs="Arial"/>
          <w:sz w:val="20"/>
          <w:szCs w:val="20"/>
        </w:rPr>
        <w:t xml:space="preserve"> Accounts, deposits, certificates of deposit and senior unsecured bonds with banks and building societies, other than multilateral development banks. These investments are subject to the risk of credit loss via a bail-in should the regulator determine that the bank is failing or likely to fail. See below for arrangements relating to operational bank accounts.</w:t>
      </w:r>
    </w:p>
    <w:p w14:paraId="29E525F7" w14:textId="0F384360" w:rsidR="004113E9" w:rsidRPr="00B64F95" w:rsidRDefault="004113E9" w:rsidP="004113E9">
      <w:pPr>
        <w:pStyle w:val="ListParagraph"/>
        <w:ind w:left="0"/>
        <w:contextualSpacing w:val="0"/>
        <w:jc w:val="both"/>
        <w:rPr>
          <w:rFonts w:ascii="Arial" w:hAnsi="Arial" w:cs="Arial"/>
          <w:b/>
          <w:sz w:val="20"/>
          <w:szCs w:val="20"/>
        </w:rPr>
      </w:pPr>
      <w:r w:rsidRPr="00B64F95">
        <w:rPr>
          <w:rFonts w:ascii="Arial" w:hAnsi="Arial" w:cs="Arial"/>
          <w:b/>
          <w:sz w:val="20"/>
          <w:szCs w:val="20"/>
        </w:rPr>
        <w:t xml:space="preserve">Registered providers - unsecured: </w:t>
      </w:r>
      <w:r w:rsidRPr="00B64F95">
        <w:rPr>
          <w:rFonts w:ascii="Arial" w:hAnsi="Arial" w:cs="Arial"/>
          <w:sz w:val="20"/>
          <w:szCs w:val="20"/>
        </w:rPr>
        <w:t xml:space="preserve">Loans and bonds issued by, guaranteed </w:t>
      </w:r>
      <w:r w:rsidR="004A18FE" w:rsidRPr="00B64F95">
        <w:rPr>
          <w:rFonts w:ascii="Arial" w:hAnsi="Arial" w:cs="Arial"/>
          <w:sz w:val="20"/>
          <w:szCs w:val="20"/>
        </w:rPr>
        <w:t>by,</w:t>
      </w:r>
      <w:r w:rsidRPr="00B64F95">
        <w:rPr>
          <w:rFonts w:ascii="Arial" w:hAnsi="Arial" w:cs="Arial"/>
          <w:sz w:val="20"/>
          <w:szCs w:val="20"/>
        </w:rPr>
        <w:t xml:space="preserve"> or secured on the assets of registered providers of social housing and registered landlords, formerly known as housing associations</w:t>
      </w:r>
      <w:r w:rsidR="00EF0CCF" w:rsidRPr="00B64F95">
        <w:rPr>
          <w:rFonts w:ascii="Arial" w:hAnsi="Arial" w:cs="Arial"/>
          <w:sz w:val="20"/>
          <w:szCs w:val="20"/>
        </w:rPr>
        <w:t xml:space="preserve">. </w:t>
      </w:r>
      <w:r w:rsidRPr="00B64F95">
        <w:rPr>
          <w:rFonts w:ascii="Arial" w:hAnsi="Arial" w:cs="Arial"/>
          <w:sz w:val="20"/>
          <w:szCs w:val="20"/>
        </w:rPr>
        <w:t xml:space="preserve">These bodies are regulated by the Regulator of Social Housing (in England), the Scottish Housing Regulator, the Welsh </w:t>
      </w:r>
      <w:r w:rsidR="004A18FE" w:rsidRPr="00B64F95">
        <w:rPr>
          <w:rFonts w:ascii="Arial" w:hAnsi="Arial" w:cs="Arial"/>
          <w:sz w:val="20"/>
          <w:szCs w:val="20"/>
        </w:rPr>
        <w:t>Government,</w:t>
      </w:r>
      <w:r w:rsidRPr="00B64F95">
        <w:rPr>
          <w:rFonts w:ascii="Arial" w:hAnsi="Arial" w:cs="Arial"/>
          <w:sz w:val="20"/>
          <w:szCs w:val="20"/>
        </w:rPr>
        <w:t xml:space="preserve"> and the Department of Communities (in Northern Ireland). As providers of public </w:t>
      </w:r>
      <w:r w:rsidR="004A18FE" w:rsidRPr="00B64F95">
        <w:rPr>
          <w:rFonts w:ascii="Arial" w:hAnsi="Arial" w:cs="Arial"/>
          <w:sz w:val="20"/>
          <w:szCs w:val="20"/>
        </w:rPr>
        <w:t>services,</w:t>
      </w:r>
      <w:r w:rsidRPr="00B64F95">
        <w:rPr>
          <w:rFonts w:ascii="Arial" w:hAnsi="Arial" w:cs="Arial"/>
          <w:sz w:val="20"/>
          <w:szCs w:val="20"/>
        </w:rPr>
        <w:t xml:space="preserve"> they retain the likelihood of receiving government support if needed</w:t>
      </w:r>
      <w:r w:rsidR="00EF0CCF" w:rsidRPr="00B64F95">
        <w:rPr>
          <w:rFonts w:ascii="Arial" w:hAnsi="Arial" w:cs="Arial"/>
          <w:sz w:val="20"/>
          <w:szCs w:val="20"/>
        </w:rPr>
        <w:t>.</w:t>
      </w:r>
      <w:r w:rsidR="00EF0CCF" w:rsidRPr="00B64F95">
        <w:rPr>
          <w:rFonts w:ascii="Arial" w:hAnsi="Arial" w:cs="Arial"/>
          <w:b/>
          <w:sz w:val="20"/>
          <w:szCs w:val="20"/>
        </w:rPr>
        <w:t xml:space="preserve"> </w:t>
      </w:r>
    </w:p>
    <w:p w14:paraId="56EE2F2C" w14:textId="77777777" w:rsidR="004113E9" w:rsidRPr="00B64F95" w:rsidRDefault="00330E18" w:rsidP="004113E9">
      <w:pPr>
        <w:pStyle w:val="ListParagraph"/>
        <w:ind w:left="0"/>
        <w:contextualSpacing w:val="0"/>
        <w:jc w:val="both"/>
        <w:rPr>
          <w:rFonts w:ascii="Arial" w:hAnsi="Arial" w:cs="Arial"/>
          <w:sz w:val="20"/>
          <w:szCs w:val="20"/>
        </w:rPr>
      </w:pPr>
      <w:r w:rsidRPr="00B64F95">
        <w:rPr>
          <w:rFonts w:ascii="Arial" w:hAnsi="Arial" w:cs="Arial"/>
          <w:b/>
          <w:sz w:val="20"/>
          <w:szCs w:val="20"/>
        </w:rPr>
        <w:lastRenderedPageBreak/>
        <w:t>Money market funds:</w:t>
      </w:r>
      <w:r w:rsidRPr="00B64F95">
        <w:rPr>
          <w:rFonts w:ascii="Arial" w:hAnsi="Arial" w:cs="Arial"/>
          <w:sz w:val="20"/>
          <w:szCs w:val="20"/>
        </w:rPr>
        <w:t xml:space="preserve"> Pooled funds that offer same-day or short notice liquidity and very low or no price volatility by investing in short-term money markets. They have the advantage over bank accounts of providing wide diversification of investment risks, coupled with the services of a professional fund manager in return for a small fee. Although no sector limit applies to money market funds, the PCC will take care to diversify its liquid investments over a variety of providers to ensure access to cash at all times.</w:t>
      </w:r>
    </w:p>
    <w:p w14:paraId="0A949EE7" w14:textId="73EFBAD2" w:rsidR="00330E18" w:rsidRPr="00B64F95" w:rsidRDefault="00330E18" w:rsidP="00330E18">
      <w:pPr>
        <w:pStyle w:val="ListParagraph"/>
        <w:ind w:left="0"/>
        <w:contextualSpacing w:val="0"/>
        <w:jc w:val="both"/>
        <w:rPr>
          <w:rFonts w:ascii="Arial" w:hAnsi="Arial" w:cs="Arial"/>
          <w:sz w:val="20"/>
          <w:szCs w:val="20"/>
        </w:rPr>
      </w:pPr>
      <w:r w:rsidRPr="00B64F95">
        <w:rPr>
          <w:rFonts w:ascii="Arial" w:hAnsi="Arial" w:cs="Arial"/>
          <w:b/>
          <w:bCs/>
          <w:sz w:val="20"/>
          <w:szCs w:val="20"/>
        </w:rPr>
        <w:t>Strategic pooled funds:</w:t>
      </w:r>
      <w:r w:rsidRPr="00B64F95">
        <w:rPr>
          <w:rFonts w:ascii="Arial" w:hAnsi="Arial" w:cs="Arial"/>
          <w:sz w:val="20"/>
          <w:szCs w:val="20"/>
        </w:rPr>
        <w:t xml:space="preserve"> Bond, equity and property funds that offer enhanced returns over the longer term but are more volatile in the short term</w:t>
      </w:r>
      <w:r w:rsidR="00EF0CCF" w:rsidRPr="00B64F95">
        <w:rPr>
          <w:rFonts w:ascii="Arial" w:hAnsi="Arial" w:cs="Arial"/>
          <w:sz w:val="20"/>
          <w:szCs w:val="20"/>
        </w:rPr>
        <w:t xml:space="preserve">. </w:t>
      </w:r>
      <w:r w:rsidRPr="00B64F95">
        <w:rPr>
          <w:rFonts w:ascii="Arial" w:hAnsi="Arial" w:cs="Arial"/>
          <w:sz w:val="20"/>
          <w:szCs w:val="20"/>
        </w:rPr>
        <w:t>These allow the PCC to diversify into asset classes other than cash without the need to own and manage the underlying investments. Because these funds have no defined maturity date, but are available for withdrawal after a notice period, their performance and continued suitability in meeting the PCC’s investment objectives will be monitored regularly.</w:t>
      </w:r>
    </w:p>
    <w:p w14:paraId="02A0B753" w14:textId="3D341580" w:rsidR="00330E18" w:rsidRPr="00B64F95" w:rsidRDefault="00330E18" w:rsidP="00330E18">
      <w:pPr>
        <w:pStyle w:val="ListParagraph"/>
        <w:ind w:left="0"/>
        <w:contextualSpacing w:val="0"/>
        <w:jc w:val="both"/>
        <w:rPr>
          <w:rFonts w:ascii="Arial" w:hAnsi="Arial" w:cs="Arial"/>
          <w:sz w:val="20"/>
          <w:szCs w:val="20"/>
        </w:rPr>
      </w:pPr>
      <w:r w:rsidRPr="00B64F95">
        <w:rPr>
          <w:rFonts w:ascii="Arial" w:hAnsi="Arial" w:cs="Arial"/>
          <w:b/>
          <w:sz w:val="20"/>
          <w:szCs w:val="20"/>
        </w:rPr>
        <w:t>Real estate investment trusts:</w:t>
      </w:r>
      <w:r w:rsidRPr="00B64F95">
        <w:rPr>
          <w:rFonts w:ascii="Arial" w:hAnsi="Arial" w:cs="Arial"/>
          <w:sz w:val="20"/>
          <w:szCs w:val="20"/>
        </w:rPr>
        <w:t xml:space="preserve"> Shares in companies that invest mainly in real estate and pay the majority of their rental income to investors in a similar manner to pooled property funds. As with property funds, REITs offer enhanced returns over the longer </w:t>
      </w:r>
      <w:r w:rsidR="00FF494C" w:rsidRPr="00B64F95">
        <w:rPr>
          <w:rFonts w:ascii="Arial" w:hAnsi="Arial" w:cs="Arial"/>
          <w:sz w:val="20"/>
          <w:szCs w:val="20"/>
        </w:rPr>
        <w:t>term but</w:t>
      </w:r>
      <w:r w:rsidRPr="00B64F95">
        <w:rPr>
          <w:rFonts w:ascii="Arial" w:hAnsi="Arial" w:cs="Arial"/>
          <w:sz w:val="20"/>
          <w:szCs w:val="20"/>
        </w:rPr>
        <w:t xml:space="preserve"> are more volatile especially as the share price reflects changing demand for the shares as well as changes in the value of the underlying properties.</w:t>
      </w:r>
    </w:p>
    <w:p w14:paraId="6AA58F7E" w14:textId="77777777" w:rsidR="00330E18" w:rsidRPr="00B64F95" w:rsidRDefault="00330E18" w:rsidP="00330E18">
      <w:pPr>
        <w:pStyle w:val="ListParagraph"/>
        <w:ind w:left="0"/>
        <w:contextualSpacing w:val="0"/>
        <w:jc w:val="both"/>
        <w:rPr>
          <w:rFonts w:ascii="Arial" w:hAnsi="Arial" w:cs="Arial"/>
          <w:sz w:val="20"/>
          <w:szCs w:val="20"/>
        </w:rPr>
      </w:pPr>
      <w:r w:rsidRPr="00B64F95">
        <w:rPr>
          <w:rFonts w:ascii="Arial" w:hAnsi="Arial" w:cs="Arial"/>
          <w:b/>
          <w:sz w:val="20"/>
          <w:szCs w:val="20"/>
        </w:rPr>
        <w:t>Other investments:</w:t>
      </w:r>
      <w:r w:rsidRPr="00B64F95">
        <w:rPr>
          <w:rFonts w:ascii="Arial" w:hAnsi="Arial" w:cs="Arial"/>
          <w:sz w:val="20"/>
          <w:szCs w:val="20"/>
        </w:rPr>
        <w:t xml:space="preserve"> This category covers treasury investments not listed above, for example unsecured corporate bonds and company loans. Non-bank companies cannot be bailed-in but can become insolvent placing the PCC’s investment at risk. </w:t>
      </w:r>
    </w:p>
    <w:p w14:paraId="6C7EB249" w14:textId="77777777" w:rsidR="00330E18" w:rsidRPr="00B64F95" w:rsidRDefault="00330E18" w:rsidP="00330E18">
      <w:pPr>
        <w:jc w:val="both"/>
        <w:rPr>
          <w:rFonts w:ascii="Arial" w:hAnsi="Arial" w:cs="Arial"/>
          <w:bCs/>
          <w:sz w:val="20"/>
          <w:szCs w:val="20"/>
        </w:rPr>
      </w:pPr>
      <w:r w:rsidRPr="00B64F95">
        <w:rPr>
          <w:rFonts w:ascii="Arial" w:hAnsi="Arial" w:cs="Arial"/>
          <w:b/>
          <w:bCs/>
          <w:sz w:val="20"/>
          <w:szCs w:val="20"/>
        </w:rPr>
        <w:t>Operational bank accounts:</w:t>
      </w:r>
      <w:r w:rsidRPr="00B64F95">
        <w:rPr>
          <w:rFonts w:ascii="Arial" w:hAnsi="Arial" w:cs="Arial"/>
          <w:bCs/>
          <w:sz w:val="20"/>
          <w:szCs w:val="20"/>
        </w:rPr>
        <w:t xml:space="preserve"> The PCC may incur operational exposures, for example though current accounts, collection accounts and merchant acquiring services, to any UK bank with credit ratings no lower than BBB- and with assets greater than £25 billion. These are not classed as investments but are still subject to the risk of a bank bail-in, and balances will therefore be kept below </w:t>
      </w:r>
      <w:r w:rsidRPr="00B64F95">
        <w:rPr>
          <w:rFonts w:ascii="Arial" w:hAnsi="Arial" w:cs="Arial"/>
          <w:sz w:val="20"/>
          <w:szCs w:val="20"/>
        </w:rPr>
        <w:t>£100,000</w:t>
      </w:r>
      <w:r w:rsidRPr="00B64F95">
        <w:rPr>
          <w:rFonts w:ascii="Arial" w:hAnsi="Arial" w:cs="Arial"/>
          <w:bCs/>
          <w:sz w:val="20"/>
          <w:szCs w:val="20"/>
        </w:rPr>
        <w:t xml:space="preserve"> per bank. The Bank of England has stated that in the event of failure, banks with assets greater than £25 billion are more likely to be bailed-in than made insolvent, increasing the chance of the PCC maintaining operational continuity. </w:t>
      </w:r>
    </w:p>
    <w:p w14:paraId="538A7F5F" w14:textId="5B29F1F8" w:rsidR="00FE46B2" w:rsidRPr="00B64F95" w:rsidRDefault="00FE46B2" w:rsidP="007009C4">
      <w:pPr>
        <w:jc w:val="both"/>
        <w:rPr>
          <w:rFonts w:ascii="Arial" w:hAnsi="Arial" w:cs="Arial"/>
          <w:sz w:val="20"/>
          <w:szCs w:val="20"/>
        </w:rPr>
      </w:pPr>
      <w:r w:rsidRPr="00B64F95">
        <w:rPr>
          <w:rFonts w:ascii="Arial" w:hAnsi="Arial" w:cs="Arial"/>
          <w:b/>
          <w:sz w:val="20"/>
          <w:szCs w:val="20"/>
        </w:rPr>
        <w:t xml:space="preserve">Risk </w:t>
      </w:r>
      <w:r w:rsidR="001A7599" w:rsidRPr="00B64F95">
        <w:rPr>
          <w:rFonts w:ascii="Arial" w:hAnsi="Arial" w:cs="Arial"/>
          <w:b/>
          <w:sz w:val="20"/>
          <w:szCs w:val="20"/>
        </w:rPr>
        <w:t>a</w:t>
      </w:r>
      <w:r w:rsidRPr="00B64F95">
        <w:rPr>
          <w:rFonts w:ascii="Arial" w:hAnsi="Arial" w:cs="Arial"/>
          <w:b/>
          <w:sz w:val="20"/>
          <w:szCs w:val="20"/>
        </w:rPr>
        <w:t xml:space="preserve">ssessment and </w:t>
      </w:r>
      <w:r w:rsidR="001A7599" w:rsidRPr="00B64F95">
        <w:rPr>
          <w:rFonts w:ascii="Arial" w:hAnsi="Arial" w:cs="Arial"/>
          <w:b/>
          <w:sz w:val="20"/>
          <w:szCs w:val="20"/>
        </w:rPr>
        <w:t>c</w:t>
      </w:r>
      <w:r w:rsidRPr="00B64F95">
        <w:rPr>
          <w:rFonts w:ascii="Arial" w:hAnsi="Arial" w:cs="Arial"/>
          <w:b/>
          <w:sz w:val="20"/>
          <w:szCs w:val="20"/>
        </w:rPr>
        <w:t xml:space="preserve">redit </w:t>
      </w:r>
      <w:r w:rsidR="001A7599" w:rsidRPr="00B64F95">
        <w:rPr>
          <w:rFonts w:ascii="Arial" w:hAnsi="Arial" w:cs="Arial"/>
          <w:b/>
          <w:sz w:val="20"/>
          <w:szCs w:val="20"/>
        </w:rPr>
        <w:t>r</w:t>
      </w:r>
      <w:r w:rsidRPr="00B64F95">
        <w:rPr>
          <w:rFonts w:ascii="Arial" w:hAnsi="Arial" w:cs="Arial"/>
          <w:b/>
          <w:sz w:val="20"/>
          <w:szCs w:val="20"/>
        </w:rPr>
        <w:t>atings</w:t>
      </w:r>
      <w:r w:rsidRPr="00B64F95">
        <w:rPr>
          <w:rFonts w:ascii="Arial" w:hAnsi="Arial" w:cs="Arial"/>
          <w:sz w:val="20"/>
          <w:szCs w:val="20"/>
        </w:rPr>
        <w:t xml:space="preserve">: Credit ratings are obtained and monitored by the </w:t>
      </w:r>
      <w:r w:rsidR="000F4734" w:rsidRPr="00B64F95">
        <w:rPr>
          <w:rFonts w:ascii="Arial" w:hAnsi="Arial" w:cs="Arial"/>
          <w:sz w:val="20"/>
          <w:szCs w:val="20"/>
        </w:rPr>
        <w:t>PCC</w:t>
      </w:r>
      <w:r w:rsidRPr="00B64F95">
        <w:rPr>
          <w:rFonts w:ascii="Arial" w:hAnsi="Arial" w:cs="Arial"/>
          <w:sz w:val="20"/>
          <w:szCs w:val="20"/>
        </w:rPr>
        <w:t>’s treasury advisers, who will notify changes in ratings as they occur</w:t>
      </w:r>
      <w:r w:rsidR="00EF0CCF" w:rsidRPr="00B64F95">
        <w:rPr>
          <w:rFonts w:ascii="Arial" w:hAnsi="Arial" w:cs="Arial"/>
          <w:sz w:val="20"/>
          <w:szCs w:val="20"/>
        </w:rPr>
        <w:t xml:space="preserve">. </w:t>
      </w:r>
      <w:r w:rsidRPr="00B64F95">
        <w:rPr>
          <w:rFonts w:ascii="Arial" w:hAnsi="Arial" w:cs="Arial"/>
          <w:sz w:val="20"/>
          <w:szCs w:val="20"/>
        </w:rPr>
        <w:t>Where an entity has its credit rating downgraded so that it fails to meet the approved investment criteria then:</w:t>
      </w:r>
    </w:p>
    <w:p w14:paraId="03454C3D" w14:textId="77777777" w:rsidR="00FE46B2" w:rsidRPr="00B64F95" w:rsidRDefault="00FE46B2" w:rsidP="004751E9">
      <w:pPr>
        <w:pStyle w:val="ListParagraph"/>
        <w:numPr>
          <w:ilvl w:val="0"/>
          <w:numId w:val="3"/>
        </w:numPr>
        <w:spacing w:after="0"/>
        <w:ind w:left="1077"/>
        <w:contextualSpacing w:val="0"/>
        <w:jc w:val="both"/>
        <w:rPr>
          <w:rFonts w:ascii="Arial" w:hAnsi="Arial" w:cs="Arial"/>
          <w:sz w:val="20"/>
          <w:szCs w:val="20"/>
        </w:rPr>
      </w:pPr>
      <w:r w:rsidRPr="00B64F95">
        <w:rPr>
          <w:rFonts w:ascii="Arial" w:hAnsi="Arial" w:cs="Arial"/>
          <w:sz w:val="20"/>
          <w:szCs w:val="20"/>
        </w:rPr>
        <w:t>no new investments will be made,</w:t>
      </w:r>
    </w:p>
    <w:p w14:paraId="148A62C8" w14:textId="77777777" w:rsidR="00FE46B2" w:rsidRPr="00B64F95" w:rsidRDefault="00FE46B2" w:rsidP="004751E9">
      <w:pPr>
        <w:pStyle w:val="ListParagraph"/>
        <w:numPr>
          <w:ilvl w:val="0"/>
          <w:numId w:val="3"/>
        </w:numPr>
        <w:spacing w:after="0"/>
        <w:ind w:left="1077"/>
        <w:contextualSpacing w:val="0"/>
        <w:jc w:val="both"/>
        <w:rPr>
          <w:rFonts w:ascii="Arial" w:hAnsi="Arial" w:cs="Arial"/>
          <w:sz w:val="20"/>
          <w:szCs w:val="20"/>
        </w:rPr>
      </w:pPr>
      <w:r w:rsidRPr="00B64F95">
        <w:rPr>
          <w:rFonts w:ascii="Arial" w:hAnsi="Arial" w:cs="Arial"/>
          <w:sz w:val="20"/>
          <w:szCs w:val="20"/>
        </w:rPr>
        <w:t>any existing investments that can be recalled or sold at no cost will be, and</w:t>
      </w:r>
    </w:p>
    <w:p w14:paraId="1BFC42FD" w14:textId="77777777" w:rsidR="00FE46B2" w:rsidRPr="00B64F95" w:rsidRDefault="00FE46B2" w:rsidP="00B04814">
      <w:pPr>
        <w:pStyle w:val="ListParagraph"/>
        <w:numPr>
          <w:ilvl w:val="0"/>
          <w:numId w:val="3"/>
        </w:numPr>
        <w:spacing w:after="0"/>
        <w:ind w:left="1077"/>
        <w:contextualSpacing w:val="0"/>
        <w:jc w:val="both"/>
        <w:rPr>
          <w:rFonts w:ascii="Arial" w:hAnsi="Arial" w:cs="Arial"/>
          <w:sz w:val="20"/>
          <w:szCs w:val="20"/>
        </w:rPr>
      </w:pPr>
      <w:r w:rsidRPr="00B64F95">
        <w:rPr>
          <w:rFonts w:ascii="Arial" w:hAnsi="Arial" w:cs="Arial"/>
          <w:sz w:val="20"/>
          <w:szCs w:val="20"/>
        </w:rPr>
        <w:t>full consideration will be given to the recall or sale of all other existing investments with the affected counterparty.</w:t>
      </w:r>
    </w:p>
    <w:p w14:paraId="4DFA8738" w14:textId="77777777" w:rsidR="004858DC" w:rsidRDefault="004858DC" w:rsidP="004858DC">
      <w:pPr>
        <w:contextualSpacing/>
        <w:jc w:val="both"/>
        <w:rPr>
          <w:rFonts w:ascii="Trebuchet MS" w:hAnsi="Trebuchet MS"/>
          <w:sz w:val="20"/>
          <w:szCs w:val="20"/>
        </w:rPr>
      </w:pPr>
    </w:p>
    <w:p w14:paraId="65A3B20E" w14:textId="045A50EA" w:rsidR="004858DC" w:rsidRPr="004858DC" w:rsidRDefault="004858DC" w:rsidP="004858DC">
      <w:pPr>
        <w:contextualSpacing/>
        <w:jc w:val="both"/>
        <w:rPr>
          <w:rFonts w:ascii="Arial" w:hAnsi="Arial" w:cs="Arial"/>
          <w:sz w:val="20"/>
          <w:szCs w:val="20"/>
        </w:rPr>
      </w:pPr>
      <w:r w:rsidRPr="004858DC">
        <w:rPr>
          <w:rFonts w:ascii="Arial" w:hAnsi="Arial" w:cs="Arial"/>
          <w:sz w:val="20"/>
          <w:szCs w:val="20"/>
        </w:rPr>
        <w:t>Where a credit rating agency announces that a credit rating is on review for possible downgrade (also known as “negative watch”) so that it may fall below the approved rating criteria, then only investments that can be withdrawn</w:t>
      </w:r>
      <w:r w:rsidR="00110CE7" w:rsidRPr="00110CE7">
        <w:rPr>
          <w:rFonts w:ascii="Arial" w:hAnsi="Arial" w:cs="Arial"/>
          <w:sz w:val="20"/>
          <w:szCs w:val="20"/>
        </w:rPr>
        <w:t xml:space="preserve"> on the next working day </w:t>
      </w:r>
      <w:r w:rsidRPr="004858DC">
        <w:rPr>
          <w:rFonts w:ascii="Arial" w:hAnsi="Arial" w:cs="Arial"/>
          <w:sz w:val="20"/>
          <w:szCs w:val="20"/>
        </w:rPr>
        <w:t>will be made with that organisation until the outcome of the review is announced.  This policy will not apply to negative outlooks, which indicate a long-term direction of travel rather than an imminent change of rating.</w:t>
      </w:r>
    </w:p>
    <w:p w14:paraId="77F1D075" w14:textId="7A3E400D" w:rsidR="00B46844" w:rsidRPr="00B64F95" w:rsidRDefault="00B46844" w:rsidP="00B46844">
      <w:pPr>
        <w:pStyle w:val="ListParagraph"/>
        <w:ind w:left="0"/>
        <w:contextualSpacing w:val="0"/>
        <w:jc w:val="both"/>
        <w:rPr>
          <w:rFonts w:ascii="Arial" w:hAnsi="Arial" w:cs="Arial"/>
          <w:sz w:val="20"/>
          <w:szCs w:val="20"/>
        </w:rPr>
      </w:pPr>
      <w:r w:rsidRPr="00B64F95">
        <w:rPr>
          <w:rFonts w:ascii="Arial" w:hAnsi="Arial" w:cs="Arial"/>
          <w:b/>
          <w:sz w:val="20"/>
          <w:szCs w:val="20"/>
        </w:rPr>
        <w:t xml:space="preserve">Other </w:t>
      </w:r>
      <w:r w:rsidR="001A7599" w:rsidRPr="00B64F95">
        <w:rPr>
          <w:rFonts w:ascii="Arial" w:hAnsi="Arial" w:cs="Arial"/>
          <w:b/>
          <w:sz w:val="20"/>
          <w:szCs w:val="20"/>
        </w:rPr>
        <w:t>i</w:t>
      </w:r>
      <w:r w:rsidRPr="00B64F95">
        <w:rPr>
          <w:rFonts w:ascii="Arial" w:hAnsi="Arial" w:cs="Arial"/>
          <w:b/>
          <w:sz w:val="20"/>
          <w:szCs w:val="20"/>
        </w:rPr>
        <w:t xml:space="preserve">nformation on the </w:t>
      </w:r>
      <w:r w:rsidR="001A7599" w:rsidRPr="00B64F95">
        <w:rPr>
          <w:rFonts w:ascii="Arial" w:hAnsi="Arial" w:cs="Arial"/>
          <w:b/>
          <w:sz w:val="20"/>
          <w:szCs w:val="20"/>
        </w:rPr>
        <w:t>security of i</w:t>
      </w:r>
      <w:r w:rsidRPr="00B64F95">
        <w:rPr>
          <w:rFonts w:ascii="Arial" w:hAnsi="Arial" w:cs="Arial"/>
          <w:b/>
          <w:sz w:val="20"/>
          <w:szCs w:val="20"/>
        </w:rPr>
        <w:t>nvestments</w:t>
      </w:r>
      <w:r w:rsidRPr="00B64F95">
        <w:rPr>
          <w:rFonts w:ascii="Arial" w:hAnsi="Arial" w:cs="Arial"/>
          <w:sz w:val="20"/>
          <w:szCs w:val="20"/>
        </w:rPr>
        <w:t xml:space="preserve">: The </w:t>
      </w:r>
      <w:r w:rsidR="000F4734" w:rsidRPr="00B64F95">
        <w:rPr>
          <w:rFonts w:ascii="Arial" w:hAnsi="Arial" w:cs="Arial"/>
          <w:sz w:val="20"/>
          <w:szCs w:val="20"/>
        </w:rPr>
        <w:t>PCC</w:t>
      </w:r>
      <w:r w:rsidRPr="00B64F95">
        <w:rPr>
          <w:rFonts w:ascii="Arial" w:hAnsi="Arial" w:cs="Arial"/>
          <w:sz w:val="20"/>
          <w:szCs w:val="20"/>
        </w:rPr>
        <w:t xml:space="preserve"> understands that credit ratings are good, but not perfect, predictors of investment default</w:t>
      </w:r>
      <w:r w:rsidR="00EF0CCF" w:rsidRPr="00B64F95">
        <w:rPr>
          <w:rFonts w:ascii="Arial" w:hAnsi="Arial" w:cs="Arial"/>
          <w:sz w:val="20"/>
          <w:szCs w:val="20"/>
        </w:rPr>
        <w:t xml:space="preserve">. </w:t>
      </w:r>
      <w:r w:rsidRPr="00B64F95">
        <w:rPr>
          <w:rFonts w:ascii="Arial" w:hAnsi="Arial" w:cs="Arial"/>
          <w:sz w:val="20"/>
          <w:szCs w:val="20"/>
        </w:rPr>
        <w:t xml:space="preserve">Full regard will therefore be given to other available information on the credit quality of the </w:t>
      </w:r>
      <w:r w:rsidR="00B04526" w:rsidRPr="00B64F95">
        <w:rPr>
          <w:rFonts w:ascii="Arial" w:hAnsi="Arial" w:cs="Arial"/>
          <w:sz w:val="20"/>
          <w:szCs w:val="20"/>
        </w:rPr>
        <w:t>organisations</w:t>
      </w:r>
      <w:r w:rsidRPr="00B64F95">
        <w:rPr>
          <w:rFonts w:ascii="Arial" w:hAnsi="Arial" w:cs="Arial"/>
          <w:sz w:val="20"/>
          <w:szCs w:val="20"/>
        </w:rPr>
        <w:t xml:space="preserve"> in which it invests, including credit default swap prices, financial statements</w:t>
      </w:r>
      <w:r w:rsidR="005A29A3" w:rsidRPr="00B64F95">
        <w:rPr>
          <w:rFonts w:ascii="Arial" w:hAnsi="Arial" w:cs="Arial"/>
          <w:sz w:val="20"/>
          <w:szCs w:val="20"/>
        </w:rPr>
        <w:t xml:space="preserve">, information on potential government support and </w:t>
      </w:r>
      <w:r w:rsidRPr="00B64F95">
        <w:rPr>
          <w:rFonts w:ascii="Arial" w:hAnsi="Arial" w:cs="Arial"/>
          <w:sz w:val="20"/>
          <w:szCs w:val="20"/>
        </w:rPr>
        <w:t>reports in the quality financial press</w:t>
      </w:r>
      <w:r w:rsidR="00663268" w:rsidRPr="00B64F95">
        <w:rPr>
          <w:rFonts w:ascii="Arial" w:hAnsi="Arial" w:cs="Arial"/>
          <w:sz w:val="20"/>
          <w:szCs w:val="20"/>
        </w:rPr>
        <w:t xml:space="preserve"> and analysis and advice from the PCC’s treasury management adviser</w:t>
      </w:r>
      <w:r w:rsidR="00EF0CCF" w:rsidRPr="00B64F95">
        <w:rPr>
          <w:rFonts w:ascii="Arial" w:hAnsi="Arial" w:cs="Arial"/>
          <w:sz w:val="20"/>
          <w:szCs w:val="20"/>
        </w:rPr>
        <w:t xml:space="preserve">. </w:t>
      </w:r>
      <w:r w:rsidRPr="00B64F95">
        <w:rPr>
          <w:rFonts w:ascii="Arial" w:hAnsi="Arial" w:cs="Arial"/>
          <w:sz w:val="20"/>
          <w:szCs w:val="20"/>
        </w:rPr>
        <w:t xml:space="preserve">No investments will be made with an organisation if there are substantive doubts about its credit quality, even though it may </w:t>
      </w:r>
      <w:r w:rsidR="00663268" w:rsidRPr="00B64F95">
        <w:rPr>
          <w:rFonts w:ascii="Arial" w:hAnsi="Arial" w:cs="Arial"/>
          <w:sz w:val="20"/>
          <w:szCs w:val="20"/>
        </w:rPr>
        <w:t xml:space="preserve">otherwise </w:t>
      </w:r>
      <w:r w:rsidRPr="00B64F95">
        <w:rPr>
          <w:rFonts w:ascii="Arial" w:hAnsi="Arial" w:cs="Arial"/>
          <w:sz w:val="20"/>
          <w:szCs w:val="20"/>
        </w:rPr>
        <w:t xml:space="preserve">meet the </w:t>
      </w:r>
      <w:r w:rsidR="00663268" w:rsidRPr="00B64F95">
        <w:rPr>
          <w:rFonts w:ascii="Arial" w:hAnsi="Arial" w:cs="Arial"/>
          <w:sz w:val="20"/>
          <w:szCs w:val="20"/>
        </w:rPr>
        <w:t>above</w:t>
      </w:r>
      <w:r w:rsidRPr="00B64F95">
        <w:rPr>
          <w:rFonts w:ascii="Arial" w:hAnsi="Arial" w:cs="Arial"/>
          <w:sz w:val="20"/>
          <w:szCs w:val="20"/>
        </w:rPr>
        <w:t xml:space="preserve"> criteria.</w:t>
      </w:r>
    </w:p>
    <w:p w14:paraId="12D6FE2F" w14:textId="2A5E9E07" w:rsidR="00B46844" w:rsidRPr="00B64F95" w:rsidRDefault="00B46844" w:rsidP="00B46844">
      <w:pPr>
        <w:pStyle w:val="ListParagraph"/>
        <w:ind w:left="0"/>
        <w:contextualSpacing w:val="0"/>
        <w:jc w:val="both"/>
        <w:rPr>
          <w:rFonts w:ascii="Arial" w:hAnsi="Arial" w:cs="Arial"/>
          <w:sz w:val="20"/>
          <w:szCs w:val="20"/>
        </w:rPr>
      </w:pPr>
      <w:r w:rsidRPr="00B64F95">
        <w:rPr>
          <w:rFonts w:ascii="Arial" w:hAnsi="Arial" w:cs="Arial"/>
          <w:sz w:val="20"/>
          <w:szCs w:val="20"/>
        </w:rPr>
        <w:t>When deteriorating financial market conditions affect the creditworthiness of all organisations, as happened in 2008</w:t>
      </w:r>
      <w:r w:rsidR="00770DFE">
        <w:rPr>
          <w:rFonts w:ascii="Arial" w:hAnsi="Arial" w:cs="Arial"/>
          <w:sz w:val="20"/>
          <w:szCs w:val="20"/>
        </w:rPr>
        <w:t>,</w:t>
      </w:r>
      <w:r w:rsidRPr="00B64F95">
        <w:rPr>
          <w:rFonts w:ascii="Arial" w:hAnsi="Arial" w:cs="Arial"/>
          <w:sz w:val="20"/>
          <w:szCs w:val="20"/>
        </w:rPr>
        <w:t xml:space="preserve"> 20</w:t>
      </w:r>
      <w:r w:rsidR="00330E18" w:rsidRPr="00B64F95">
        <w:rPr>
          <w:rFonts w:ascii="Arial" w:hAnsi="Arial" w:cs="Arial"/>
          <w:sz w:val="20"/>
          <w:szCs w:val="20"/>
        </w:rPr>
        <w:t>20</w:t>
      </w:r>
      <w:r w:rsidR="00247001">
        <w:rPr>
          <w:rFonts w:ascii="Arial" w:hAnsi="Arial" w:cs="Arial"/>
          <w:sz w:val="20"/>
          <w:szCs w:val="20"/>
        </w:rPr>
        <w:t xml:space="preserve"> and 2022</w:t>
      </w:r>
      <w:r w:rsidRPr="00B64F95">
        <w:rPr>
          <w:rFonts w:ascii="Arial" w:hAnsi="Arial" w:cs="Arial"/>
          <w:sz w:val="20"/>
          <w:szCs w:val="20"/>
        </w:rPr>
        <w:t>, this is not generally reflected in credit ratings, but can be seen in other market measures</w:t>
      </w:r>
      <w:r w:rsidR="00EF0CCF" w:rsidRPr="00B64F95">
        <w:rPr>
          <w:rFonts w:ascii="Arial" w:hAnsi="Arial" w:cs="Arial"/>
          <w:sz w:val="20"/>
          <w:szCs w:val="20"/>
        </w:rPr>
        <w:t xml:space="preserve">. </w:t>
      </w:r>
      <w:r w:rsidRPr="00B64F95">
        <w:rPr>
          <w:rFonts w:ascii="Arial" w:hAnsi="Arial" w:cs="Arial"/>
          <w:sz w:val="20"/>
          <w:szCs w:val="20"/>
        </w:rPr>
        <w:t xml:space="preserve">In these circumstances, the </w:t>
      </w:r>
      <w:r w:rsidR="000F4734" w:rsidRPr="00B64F95">
        <w:rPr>
          <w:rFonts w:ascii="Arial" w:hAnsi="Arial" w:cs="Arial"/>
          <w:sz w:val="20"/>
          <w:szCs w:val="20"/>
        </w:rPr>
        <w:t>PCC</w:t>
      </w:r>
      <w:r w:rsidRPr="00B64F95">
        <w:rPr>
          <w:rFonts w:ascii="Arial" w:hAnsi="Arial" w:cs="Arial"/>
          <w:sz w:val="20"/>
          <w:szCs w:val="20"/>
        </w:rPr>
        <w:t xml:space="preserve"> will restrict its investments to those organisations of higher </w:t>
      </w:r>
      <w:r w:rsidRPr="00B64F95">
        <w:rPr>
          <w:rFonts w:ascii="Arial" w:hAnsi="Arial" w:cs="Arial"/>
          <w:sz w:val="20"/>
          <w:szCs w:val="20"/>
        </w:rPr>
        <w:lastRenderedPageBreak/>
        <w:t>credit quality and reduce the maximum duration of its investments to maintain the required level of security</w:t>
      </w:r>
      <w:r w:rsidR="00EF0CCF" w:rsidRPr="00B64F95">
        <w:rPr>
          <w:rFonts w:ascii="Arial" w:hAnsi="Arial" w:cs="Arial"/>
          <w:sz w:val="20"/>
          <w:szCs w:val="20"/>
        </w:rPr>
        <w:t xml:space="preserve">. </w:t>
      </w:r>
      <w:r w:rsidRPr="00B64F95">
        <w:rPr>
          <w:rFonts w:ascii="Arial" w:hAnsi="Arial" w:cs="Arial"/>
          <w:sz w:val="20"/>
          <w:szCs w:val="20"/>
        </w:rPr>
        <w:t>The extent of these restrictions will be in line with prevailing financial market conditions. If these restrictions mean that insufficie</w:t>
      </w:r>
      <w:r w:rsidR="005A29A3" w:rsidRPr="00B64F95">
        <w:rPr>
          <w:rFonts w:ascii="Arial" w:hAnsi="Arial" w:cs="Arial"/>
          <w:sz w:val="20"/>
          <w:szCs w:val="20"/>
        </w:rPr>
        <w:t>nt commercial organisations of high credit quality</w:t>
      </w:r>
      <w:r w:rsidRPr="00B64F95">
        <w:rPr>
          <w:rFonts w:ascii="Arial" w:hAnsi="Arial" w:cs="Arial"/>
          <w:sz w:val="20"/>
          <w:szCs w:val="20"/>
        </w:rPr>
        <w:t xml:space="preserve"> are available to invest the </w:t>
      </w:r>
      <w:r w:rsidR="000F4734" w:rsidRPr="00B64F95">
        <w:rPr>
          <w:rFonts w:ascii="Arial" w:hAnsi="Arial" w:cs="Arial"/>
          <w:sz w:val="20"/>
          <w:szCs w:val="20"/>
        </w:rPr>
        <w:t>PCC</w:t>
      </w:r>
      <w:r w:rsidRPr="00B64F95">
        <w:rPr>
          <w:rFonts w:ascii="Arial" w:hAnsi="Arial" w:cs="Arial"/>
          <w:sz w:val="20"/>
          <w:szCs w:val="20"/>
        </w:rPr>
        <w:t>’s cash balances, then the surplus will be deposited with the UK Government, via the Debt Management Office</w:t>
      </w:r>
      <w:r w:rsidR="001B6F1F" w:rsidRPr="00B64F95">
        <w:rPr>
          <w:rFonts w:ascii="Arial" w:hAnsi="Arial" w:cs="Arial"/>
          <w:sz w:val="20"/>
          <w:szCs w:val="20"/>
        </w:rPr>
        <w:t xml:space="preserve"> (DMO)</w:t>
      </w:r>
      <w:r w:rsidRPr="00B64F95">
        <w:rPr>
          <w:rFonts w:ascii="Arial" w:hAnsi="Arial" w:cs="Arial"/>
          <w:sz w:val="20"/>
          <w:szCs w:val="20"/>
        </w:rPr>
        <w:t xml:space="preserve"> </w:t>
      </w:r>
      <w:r w:rsidR="00FC6923" w:rsidRPr="00B64F95">
        <w:rPr>
          <w:rFonts w:ascii="Arial" w:hAnsi="Arial" w:cs="Arial"/>
          <w:sz w:val="20"/>
          <w:szCs w:val="20"/>
        </w:rPr>
        <w:t xml:space="preserve">or invested in government treasury bills </w:t>
      </w:r>
      <w:r w:rsidRPr="00B64F95">
        <w:rPr>
          <w:rFonts w:ascii="Arial" w:hAnsi="Arial" w:cs="Arial"/>
          <w:sz w:val="20"/>
          <w:szCs w:val="20"/>
        </w:rPr>
        <w:t>for example, or with other local authorities</w:t>
      </w:r>
      <w:r w:rsidR="00EF0CCF" w:rsidRPr="00B64F95">
        <w:rPr>
          <w:rFonts w:ascii="Arial" w:hAnsi="Arial" w:cs="Arial"/>
          <w:sz w:val="20"/>
          <w:szCs w:val="20"/>
        </w:rPr>
        <w:t xml:space="preserve">. </w:t>
      </w:r>
      <w:r w:rsidRPr="00B64F95">
        <w:rPr>
          <w:rFonts w:ascii="Arial" w:hAnsi="Arial" w:cs="Arial"/>
          <w:sz w:val="20"/>
          <w:szCs w:val="20"/>
        </w:rPr>
        <w:t xml:space="preserve">This will cause a reduction in the level of investment income </w:t>
      </w:r>
      <w:r w:rsidR="00C0539B" w:rsidRPr="00B64F95">
        <w:rPr>
          <w:rFonts w:ascii="Arial" w:hAnsi="Arial" w:cs="Arial"/>
          <w:sz w:val="20"/>
          <w:szCs w:val="20"/>
        </w:rPr>
        <w:t>earned but</w:t>
      </w:r>
      <w:r w:rsidRPr="00B64F95">
        <w:rPr>
          <w:rFonts w:ascii="Arial" w:hAnsi="Arial" w:cs="Arial"/>
          <w:sz w:val="20"/>
          <w:szCs w:val="20"/>
        </w:rPr>
        <w:t xml:space="preserve"> will protect the principal sum invested.</w:t>
      </w:r>
    </w:p>
    <w:p w14:paraId="143D24F7" w14:textId="30BFEBA9" w:rsidR="002B2D96" w:rsidRDefault="002B2D96" w:rsidP="002B2D96">
      <w:pPr>
        <w:pStyle w:val="ListParagraph"/>
        <w:ind w:left="0"/>
        <w:jc w:val="both"/>
        <w:rPr>
          <w:rFonts w:ascii="Trebuchet MS" w:hAnsi="Trebuchet MS"/>
          <w:sz w:val="20"/>
          <w:szCs w:val="20"/>
        </w:rPr>
      </w:pPr>
      <w:r w:rsidRPr="00B64F95">
        <w:rPr>
          <w:rFonts w:ascii="Arial" w:hAnsi="Arial" w:cs="Arial"/>
          <w:b/>
          <w:bCs/>
          <w:sz w:val="20"/>
          <w:szCs w:val="20"/>
        </w:rPr>
        <w:t>Reputational aspects:</w:t>
      </w:r>
      <w:r w:rsidRPr="00B64F95">
        <w:rPr>
          <w:rFonts w:ascii="Arial" w:hAnsi="Arial" w:cs="Arial"/>
          <w:sz w:val="20"/>
          <w:szCs w:val="20"/>
        </w:rPr>
        <w:t xml:space="preserve"> The PCC is aware that investment with certain counterparties, while considered secure from a purely financial perspective, may leave it open to criticism, valid or otherwise, that may affect its public reputation, and this risk will therefore be </w:t>
      </w:r>
      <w:r w:rsidR="004A18FE" w:rsidRPr="00B64F95">
        <w:rPr>
          <w:rFonts w:ascii="Arial" w:hAnsi="Arial" w:cs="Arial"/>
          <w:sz w:val="20"/>
          <w:szCs w:val="20"/>
        </w:rPr>
        <w:t>considered</w:t>
      </w:r>
      <w:r w:rsidRPr="00B64F95">
        <w:rPr>
          <w:rFonts w:ascii="Arial" w:hAnsi="Arial" w:cs="Arial"/>
          <w:sz w:val="20"/>
          <w:szCs w:val="20"/>
        </w:rPr>
        <w:t xml:space="preserve"> when making investment decisions</w:t>
      </w:r>
      <w:r w:rsidRPr="00B64F95">
        <w:rPr>
          <w:rFonts w:ascii="Trebuchet MS" w:hAnsi="Trebuchet MS"/>
          <w:sz w:val="20"/>
          <w:szCs w:val="20"/>
        </w:rPr>
        <w:t>.</w:t>
      </w:r>
    </w:p>
    <w:p w14:paraId="68A40690" w14:textId="38C63C04" w:rsidR="00AF73B4" w:rsidRDefault="001A7599" w:rsidP="00AF73B4">
      <w:pPr>
        <w:jc w:val="both"/>
        <w:rPr>
          <w:rFonts w:ascii="Arial" w:hAnsi="Arial" w:cs="Arial"/>
          <w:sz w:val="20"/>
          <w:szCs w:val="20"/>
        </w:rPr>
      </w:pPr>
      <w:r w:rsidRPr="00B64F95">
        <w:rPr>
          <w:rFonts w:ascii="Arial" w:hAnsi="Arial" w:cs="Arial"/>
          <w:b/>
          <w:sz w:val="20"/>
          <w:szCs w:val="20"/>
        </w:rPr>
        <w:t>Investment li</w:t>
      </w:r>
      <w:r w:rsidR="00B46844" w:rsidRPr="00B64F95">
        <w:rPr>
          <w:rFonts w:ascii="Arial" w:hAnsi="Arial" w:cs="Arial"/>
          <w:b/>
          <w:sz w:val="20"/>
          <w:szCs w:val="20"/>
        </w:rPr>
        <w:t>mits</w:t>
      </w:r>
      <w:r w:rsidR="00B46844" w:rsidRPr="00B64F95">
        <w:rPr>
          <w:rFonts w:ascii="Arial" w:hAnsi="Arial" w:cs="Arial"/>
          <w:sz w:val="20"/>
          <w:szCs w:val="20"/>
        </w:rPr>
        <w:t xml:space="preserve">: The </w:t>
      </w:r>
      <w:r w:rsidR="00883974" w:rsidRPr="00B64F95">
        <w:rPr>
          <w:rFonts w:ascii="Arial" w:hAnsi="Arial" w:cs="Arial"/>
          <w:sz w:val="20"/>
          <w:szCs w:val="20"/>
        </w:rPr>
        <w:t>PCC</w:t>
      </w:r>
      <w:r w:rsidR="00B46844" w:rsidRPr="00B64F95">
        <w:rPr>
          <w:rFonts w:ascii="Arial" w:hAnsi="Arial" w:cs="Arial"/>
          <w:sz w:val="20"/>
          <w:szCs w:val="20"/>
        </w:rPr>
        <w:t xml:space="preserve">’s revenue reserves available to cover investment losses are forecast to be </w:t>
      </w:r>
      <w:r w:rsidR="00243E06" w:rsidRPr="00B64F95">
        <w:rPr>
          <w:rFonts w:ascii="Arial" w:hAnsi="Arial" w:cs="Arial"/>
          <w:sz w:val="20"/>
          <w:szCs w:val="20"/>
        </w:rPr>
        <w:t>£</w:t>
      </w:r>
      <w:r w:rsidR="00AC75A4">
        <w:rPr>
          <w:rFonts w:ascii="Arial" w:hAnsi="Arial" w:cs="Arial"/>
          <w:sz w:val="20"/>
          <w:szCs w:val="20"/>
        </w:rPr>
        <w:t>44.8</w:t>
      </w:r>
      <w:r w:rsidR="00243E06" w:rsidRPr="00B64F95">
        <w:rPr>
          <w:rFonts w:ascii="Arial" w:hAnsi="Arial" w:cs="Arial"/>
          <w:sz w:val="20"/>
          <w:szCs w:val="20"/>
        </w:rPr>
        <w:t xml:space="preserve"> </w:t>
      </w:r>
      <w:r w:rsidR="00B46844" w:rsidRPr="00B64F95">
        <w:rPr>
          <w:rFonts w:ascii="Arial" w:hAnsi="Arial" w:cs="Arial"/>
          <w:sz w:val="20"/>
          <w:szCs w:val="20"/>
        </w:rPr>
        <w:t xml:space="preserve">million on 1st </w:t>
      </w:r>
      <w:r w:rsidR="00AF73B4" w:rsidRPr="00B64F95">
        <w:rPr>
          <w:rFonts w:ascii="Arial" w:hAnsi="Arial" w:cs="Arial"/>
          <w:sz w:val="20"/>
          <w:szCs w:val="20"/>
        </w:rPr>
        <w:t xml:space="preserve">April </w:t>
      </w:r>
      <w:r w:rsidR="00B46844" w:rsidRPr="00B64F95">
        <w:rPr>
          <w:rFonts w:ascii="Arial" w:hAnsi="Arial" w:cs="Arial"/>
          <w:sz w:val="20"/>
          <w:szCs w:val="20"/>
        </w:rPr>
        <w:t>20</w:t>
      </w:r>
      <w:r w:rsidR="00EC59A6" w:rsidRPr="00B64F95">
        <w:rPr>
          <w:rFonts w:ascii="Arial" w:hAnsi="Arial" w:cs="Arial"/>
          <w:sz w:val="20"/>
          <w:szCs w:val="20"/>
        </w:rPr>
        <w:t>2</w:t>
      </w:r>
      <w:r w:rsidR="00AC75A4">
        <w:rPr>
          <w:rFonts w:ascii="Arial" w:hAnsi="Arial" w:cs="Arial"/>
          <w:sz w:val="20"/>
          <w:szCs w:val="20"/>
        </w:rPr>
        <w:t>6</w:t>
      </w:r>
      <w:r w:rsidR="00EF0CCF" w:rsidRPr="00B64F95">
        <w:rPr>
          <w:rFonts w:ascii="Arial" w:hAnsi="Arial" w:cs="Arial"/>
          <w:sz w:val="20"/>
          <w:szCs w:val="20"/>
        </w:rPr>
        <w:t xml:space="preserve">. </w:t>
      </w:r>
      <w:r w:rsidR="00B46844" w:rsidRPr="00B64F95">
        <w:rPr>
          <w:rFonts w:ascii="Arial" w:hAnsi="Arial" w:cs="Arial"/>
          <w:sz w:val="20"/>
          <w:szCs w:val="20"/>
        </w:rPr>
        <w:t xml:space="preserve">In order that no more than </w:t>
      </w:r>
      <w:r w:rsidR="00696835" w:rsidRPr="00B64F95">
        <w:rPr>
          <w:rFonts w:ascii="Arial" w:hAnsi="Arial" w:cs="Arial"/>
          <w:sz w:val="20"/>
          <w:szCs w:val="20"/>
        </w:rPr>
        <w:t>20</w:t>
      </w:r>
      <w:r w:rsidR="00243E06" w:rsidRPr="00B64F95">
        <w:rPr>
          <w:rFonts w:ascii="Arial" w:hAnsi="Arial" w:cs="Arial"/>
          <w:sz w:val="20"/>
          <w:szCs w:val="20"/>
        </w:rPr>
        <w:t>%</w:t>
      </w:r>
      <w:r w:rsidR="006C6631" w:rsidRPr="00B64F95">
        <w:rPr>
          <w:rFonts w:ascii="Arial" w:hAnsi="Arial" w:cs="Arial"/>
          <w:sz w:val="20"/>
          <w:szCs w:val="20"/>
        </w:rPr>
        <w:t xml:space="preserve"> </w:t>
      </w:r>
      <w:r w:rsidR="00B46844" w:rsidRPr="00B64F95">
        <w:rPr>
          <w:rFonts w:ascii="Arial" w:hAnsi="Arial" w:cs="Arial"/>
          <w:sz w:val="20"/>
          <w:szCs w:val="20"/>
        </w:rPr>
        <w:t xml:space="preserve">of available reserves will be put at risk in the case of a single default, the maximum that will be lent to any one organisation (other than the UK Government) will be </w:t>
      </w:r>
      <w:r w:rsidR="00243E06" w:rsidRPr="00B64F95">
        <w:rPr>
          <w:rFonts w:ascii="Arial" w:hAnsi="Arial" w:cs="Arial"/>
          <w:sz w:val="20"/>
          <w:szCs w:val="20"/>
        </w:rPr>
        <w:t>£</w:t>
      </w:r>
      <w:r w:rsidR="00081CD7">
        <w:rPr>
          <w:rFonts w:ascii="Arial" w:hAnsi="Arial" w:cs="Arial"/>
          <w:sz w:val="20"/>
          <w:szCs w:val="20"/>
        </w:rPr>
        <w:t>9</w:t>
      </w:r>
      <w:r w:rsidR="00243E06" w:rsidRPr="00B64F95">
        <w:rPr>
          <w:rFonts w:ascii="Arial" w:hAnsi="Arial" w:cs="Arial"/>
          <w:sz w:val="20"/>
          <w:szCs w:val="20"/>
        </w:rPr>
        <w:t xml:space="preserve"> </w:t>
      </w:r>
      <w:r w:rsidR="00B46844" w:rsidRPr="00B64F95">
        <w:rPr>
          <w:rFonts w:ascii="Arial" w:hAnsi="Arial" w:cs="Arial"/>
          <w:sz w:val="20"/>
          <w:szCs w:val="20"/>
        </w:rPr>
        <w:t>million</w:t>
      </w:r>
      <w:r w:rsidR="00EF0CCF" w:rsidRPr="00B64F95">
        <w:rPr>
          <w:rFonts w:ascii="Arial" w:hAnsi="Arial" w:cs="Arial"/>
          <w:sz w:val="20"/>
          <w:szCs w:val="20"/>
        </w:rPr>
        <w:t xml:space="preserve">. </w:t>
      </w:r>
      <w:r w:rsidR="00D76E99" w:rsidRPr="003B3C00">
        <w:rPr>
          <w:rFonts w:ascii="Arial" w:hAnsi="Arial" w:cs="Arial"/>
          <w:sz w:val="20"/>
          <w:szCs w:val="20"/>
        </w:rPr>
        <w:t xml:space="preserve">The percentage of reserves ‘at risk’ is </w:t>
      </w:r>
      <w:r w:rsidR="00696835" w:rsidRPr="003B3C00">
        <w:rPr>
          <w:rFonts w:ascii="Arial" w:hAnsi="Arial" w:cs="Arial"/>
          <w:sz w:val="20"/>
          <w:szCs w:val="20"/>
        </w:rPr>
        <w:t xml:space="preserve">the same as </w:t>
      </w:r>
      <w:r w:rsidR="00D76E99" w:rsidRPr="003B3C00">
        <w:rPr>
          <w:rFonts w:ascii="Arial" w:hAnsi="Arial" w:cs="Arial"/>
          <w:sz w:val="20"/>
          <w:szCs w:val="20"/>
        </w:rPr>
        <w:t>tha</w:t>
      </w:r>
      <w:r w:rsidR="00696835" w:rsidRPr="003B3C00">
        <w:rPr>
          <w:rFonts w:ascii="Arial" w:hAnsi="Arial" w:cs="Arial"/>
          <w:sz w:val="20"/>
          <w:szCs w:val="20"/>
        </w:rPr>
        <w:t>t</w:t>
      </w:r>
      <w:r w:rsidR="00D76E99" w:rsidRPr="003B3C00">
        <w:rPr>
          <w:rFonts w:ascii="Arial" w:hAnsi="Arial" w:cs="Arial"/>
          <w:sz w:val="20"/>
          <w:szCs w:val="20"/>
        </w:rPr>
        <w:t xml:space="preserve"> in 20</w:t>
      </w:r>
      <w:r w:rsidR="00AF73B4" w:rsidRPr="003B3C00">
        <w:rPr>
          <w:rFonts w:ascii="Arial" w:hAnsi="Arial" w:cs="Arial"/>
          <w:sz w:val="20"/>
          <w:szCs w:val="20"/>
        </w:rPr>
        <w:t>2</w:t>
      </w:r>
      <w:r w:rsidR="00BC5654">
        <w:rPr>
          <w:rFonts w:ascii="Arial" w:hAnsi="Arial" w:cs="Arial"/>
          <w:sz w:val="20"/>
          <w:szCs w:val="20"/>
        </w:rPr>
        <w:t>5</w:t>
      </w:r>
      <w:r w:rsidR="00F5659F" w:rsidRPr="003B3C00">
        <w:rPr>
          <w:rFonts w:ascii="Arial" w:hAnsi="Arial" w:cs="Arial"/>
          <w:sz w:val="20"/>
          <w:szCs w:val="20"/>
        </w:rPr>
        <w:t>/2</w:t>
      </w:r>
      <w:r w:rsidR="00BC5654">
        <w:rPr>
          <w:rFonts w:ascii="Arial" w:hAnsi="Arial" w:cs="Arial"/>
          <w:sz w:val="20"/>
          <w:szCs w:val="20"/>
        </w:rPr>
        <w:t>6</w:t>
      </w:r>
      <w:r w:rsidR="00D76E99" w:rsidRPr="003B3C00">
        <w:rPr>
          <w:rFonts w:ascii="Arial" w:hAnsi="Arial" w:cs="Arial"/>
          <w:sz w:val="20"/>
          <w:szCs w:val="20"/>
        </w:rPr>
        <w:t xml:space="preserve"> (</w:t>
      </w:r>
      <w:r w:rsidR="00696835" w:rsidRPr="003B3C00">
        <w:rPr>
          <w:rFonts w:ascii="Arial" w:hAnsi="Arial" w:cs="Arial"/>
          <w:sz w:val="20"/>
          <w:szCs w:val="20"/>
        </w:rPr>
        <w:t>20</w:t>
      </w:r>
      <w:r w:rsidR="00D76E99" w:rsidRPr="003B3C00">
        <w:rPr>
          <w:rFonts w:ascii="Arial" w:hAnsi="Arial" w:cs="Arial"/>
          <w:sz w:val="20"/>
          <w:szCs w:val="20"/>
        </w:rPr>
        <w:t xml:space="preserve">%) </w:t>
      </w:r>
      <w:r w:rsidR="00696835" w:rsidRPr="003B3C00">
        <w:rPr>
          <w:rFonts w:ascii="Arial" w:hAnsi="Arial" w:cs="Arial"/>
          <w:sz w:val="20"/>
          <w:szCs w:val="20"/>
        </w:rPr>
        <w:t xml:space="preserve">but </w:t>
      </w:r>
      <w:r w:rsidR="00D76E99" w:rsidRPr="003B3C00">
        <w:rPr>
          <w:rFonts w:ascii="Arial" w:hAnsi="Arial" w:cs="Arial"/>
          <w:sz w:val="20"/>
          <w:szCs w:val="20"/>
        </w:rPr>
        <w:t xml:space="preserve">due to the </w:t>
      </w:r>
      <w:r w:rsidR="00C25CB8">
        <w:rPr>
          <w:rFonts w:ascii="Arial" w:hAnsi="Arial" w:cs="Arial"/>
          <w:sz w:val="20"/>
          <w:szCs w:val="20"/>
        </w:rPr>
        <w:t>increase</w:t>
      </w:r>
      <w:r w:rsidR="00D76E99" w:rsidRPr="003B3C00">
        <w:rPr>
          <w:rFonts w:ascii="Arial" w:hAnsi="Arial" w:cs="Arial"/>
          <w:sz w:val="20"/>
          <w:szCs w:val="20"/>
        </w:rPr>
        <w:t xml:space="preserve"> in the overall level of reserves</w:t>
      </w:r>
      <w:r w:rsidR="00696835" w:rsidRPr="003B3C00">
        <w:rPr>
          <w:rFonts w:ascii="Arial" w:hAnsi="Arial" w:cs="Arial"/>
          <w:sz w:val="20"/>
          <w:szCs w:val="20"/>
        </w:rPr>
        <w:t xml:space="preserve"> the actual amount is </w:t>
      </w:r>
      <w:r w:rsidR="00B57E5E" w:rsidRPr="003B3C00">
        <w:rPr>
          <w:rFonts w:ascii="Arial" w:hAnsi="Arial" w:cs="Arial"/>
          <w:sz w:val="20"/>
          <w:szCs w:val="20"/>
        </w:rPr>
        <w:t>higher</w:t>
      </w:r>
      <w:r w:rsidR="00696835" w:rsidRPr="00B64F95">
        <w:rPr>
          <w:rFonts w:ascii="Arial" w:hAnsi="Arial" w:cs="Arial"/>
          <w:sz w:val="20"/>
          <w:szCs w:val="20"/>
        </w:rPr>
        <w:t>.</w:t>
      </w:r>
      <w:r w:rsidR="00D76E99" w:rsidRPr="00B64F95">
        <w:rPr>
          <w:rFonts w:ascii="Arial" w:hAnsi="Arial" w:cs="Arial"/>
          <w:sz w:val="20"/>
          <w:szCs w:val="20"/>
        </w:rPr>
        <w:t xml:space="preserve"> This </w:t>
      </w:r>
      <w:r w:rsidR="000244EA" w:rsidRPr="00B64F95">
        <w:rPr>
          <w:rFonts w:ascii="Arial" w:hAnsi="Arial" w:cs="Arial"/>
          <w:sz w:val="20"/>
          <w:szCs w:val="20"/>
        </w:rPr>
        <w:t>is a</w:t>
      </w:r>
      <w:r w:rsidR="00D76E99" w:rsidRPr="00B64F95">
        <w:rPr>
          <w:rFonts w:ascii="Arial" w:hAnsi="Arial" w:cs="Arial"/>
          <w:sz w:val="20"/>
          <w:szCs w:val="20"/>
        </w:rPr>
        <w:t xml:space="preserve"> manageable </w:t>
      </w:r>
      <w:r w:rsidR="00C0539B" w:rsidRPr="00B64F95">
        <w:rPr>
          <w:rFonts w:ascii="Arial" w:hAnsi="Arial" w:cs="Arial"/>
          <w:sz w:val="20"/>
          <w:szCs w:val="20"/>
        </w:rPr>
        <w:t>risk;</w:t>
      </w:r>
      <w:r w:rsidR="00D76E99" w:rsidRPr="00B64F95">
        <w:rPr>
          <w:rFonts w:ascii="Arial" w:hAnsi="Arial" w:cs="Arial"/>
          <w:sz w:val="20"/>
          <w:szCs w:val="20"/>
        </w:rPr>
        <w:t xml:space="preserve"> however, it will remain under review should </w:t>
      </w:r>
      <w:r w:rsidR="00B04814" w:rsidRPr="00B64F95">
        <w:rPr>
          <w:rFonts w:ascii="Arial" w:hAnsi="Arial" w:cs="Arial"/>
          <w:sz w:val="20"/>
          <w:szCs w:val="20"/>
        </w:rPr>
        <w:t>reserve</w:t>
      </w:r>
      <w:r w:rsidR="00D76E99" w:rsidRPr="00B64F95">
        <w:rPr>
          <w:rFonts w:ascii="Arial" w:hAnsi="Arial" w:cs="Arial"/>
          <w:sz w:val="20"/>
          <w:szCs w:val="20"/>
        </w:rPr>
        <w:t xml:space="preserve"> levels </w:t>
      </w:r>
      <w:r w:rsidR="006C6631" w:rsidRPr="00B64F95">
        <w:rPr>
          <w:rFonts w:ascii="Arial" w:hAnsi="Arial" w:cs="Arial"/>
          <w:sz w:val="20"/>
          <w:szCs w:val="20"/>
        </w:rPr>
        <w:t>change</w:t>
      </w:r>
      <w:r w:rsidR="00B04814" w:rsidRPr="00B64F95">
        <w:rPr>
          <w:rFonts w:ascii="Arial" w:hAnsi="Arial" w:cs="Arial"/>
          <w:sz w:val="20"/>
          <w:szCs w:val="20"/>
        </w:rPr>
        <w:t xml:space="preserve">. </w:t>
      </w:r>
      <w:r w:rsidR="00AF73B4" w:rsidRPr="00B64F95">
        <w:rPr>
          <w:rFonts w:ascii="Arial" w:hAnsi="Arial" w:cs="Arial"/>
          <w:sz w:val="20"/>
          <w:szCs w:val="20"/>
        </w:rPr>
        <w:t xml:space="preserve">A group of entities under the same ownership will be treated as a single organisation for limit purposes. </w:t>
      </w:r>
    </w:p>
    <w:p w14:paraId="77672AFF" w14:textId="7D4A04CF" w:rsidR="008C5FED" w:rsidRPr="00B64F95" w:rsidRDefault="008C5FED" w:rsidP="00AF73B4">
      <w:pPr>
        <w:jc w:val="both"/>
        <w:rPr>
          <w:rFonts w:ascii="Arial" w:hAnsi="Arial" w:cs="Arial"/>
          <w:sz w:val="20"/>
          <w:szCs w:val="20"/>
        </w:rPr>
      </w:pPr>
      <w:r>
        <w:rPr>
          <w:rFonts w:ascii="Arial" w:hAnsi="Arial" w:cs="Arial"/>
          <w:sz w:val="20"/>
          <w:szCs w:val="20"/>
        </w:rPr>
        <w:t xml:space="preserve">The duration for investments </w:t>
      </w:r>
      <w:r w:rsidR="00727C21">
        <w:rPr>
          <w:rFonts w:ascii="Arial" w:hAnsi="Arial" w:cs="Arial"/>
          <w:sz w:val="20"/>
          <w:szCs w:val="20"/>
        </w:rPr>
        <w:t>has</w:t>
      </w:r>
      <w:r>
        <w:rPr>
          <w:rFonts w:ascii="Arial" w:hAnsi="Arial" w:cs="Arial"/>
          <w:sz w:val="20"/>
          <w:szCs w:val="20"/>
        </w:rPr>
        <w:t xml:space="preserve"> been reduced to three years this is to avoid the </w:t>
      </w:r>
      <w:r w:rsidR="00FE0AB2">
        <w:rPr>
          <w:rFonts w:ascii="Arial" w:hAnsi="Arial" w:cs="Arial"/>
          <w:sz w:val="20"/>
          <w:szCs w:val="20"/>
        </w:rPr>
        <w:t>impression that the PCC may be borrowing to invest primarily for fi</w:t>
      </w:r>
      <w:r w:rsidR="00532A21">
        <w:rPr>
          <w:rFonts w:ascii="Arial" w:hAnsi="Arial" w:cs="Arial"/>
          <w:sz w:val="20"/>
          <w:szCs w:val="20"/>
        </w:rPr>
        <w:t>nancial</w:t>
      </w:r>
      <w:r w:rsidR="00FE0AB2">
        <w:rPr>
          <w:rFonts w:ascii="Arial" w:hAnsi="Arial" w:cs="Arial"/>
          <w:sz w:val="20"/>
          <w:szCs w:val="20"/>
        </w:rPr>
        <w:t xml:space="preserve"> return. This would be in contravention </w:t>
      </w:r>
      <w:r w:rsidR="00532A21">
        <w:rPr>
          <w:rFonts w:ascii="Arial" w:hAnsi="Arial" w:cs="Arial"/>
          <w:sz w:val="20"/>
          <w:szCs w:val="20"/>
        </w:rPr>
        <w:t>of</w:t>
      </w:r>
      <w:r w:rsidR="00FE0AB2">
        <w:rPr>
          <w:rFonts w:ascii="Arial" w:hAnsi="Arial" w:cs="Arial"/>
          <w:sz w:val="20"/>
          <w:szCs w:val="20"/>
        </w:rPr>
        <w:t xml:space="preserve"> the TM code. As stated in the borrowing strategy the PCC will only borrow where necessary.</w:t>
      </w:r>
    </w:p>
    <w:p w14:paraId="4EE2CD0C" w14:textId="28FD9AF8" w:rsidR="007B6A25" w:rsidRPr="00B64F95" w:rsidRDefault="00AF73B4" w:rsidP="00B46844">
      <w:pPr>
        <w:jc w:val="both"/>
        <w:rPr>
          <w:rFonts w:ascii="Arial" w:hAnsi="Arial" w:cs="Arial"/>
          <w:sz w:val="20"/>
          <w:szCs w:val="20"/>
        </w:rPr>
      </w:pPr>
      <w:r w:rsidRPr="00B64F95">
        <w:rPr>
          <w:rFonts w:ascii="Arial" w:hAnsi="Arial" w:cs="Arial"/>
          <w:sz w:val="20"/>
          <w:szCs w:val="20"/>
        </w:rPr>
        <w:t xml:space="preserve">Limits are also placed on fund managers, investments in brokers’ nominee accounts and foreign countries as below. Investments in pooled funds and multilateral development banks do not count against the limit for any single foreign </w:t>
      </w:r>
      <w:r w:rsidR="00B04526" w:rsidRPr="00B64F95">
        <w:rPr>
          <w:rFonts w:ascii="Arial" w:hAnsi="Arial" w:cs="Arial"/>
          <w:sz w:val="20"/>
          <w:szCs w:val="20"/>
        </w:rPr>
        <w:t>country since</w:t>
      </w:r>
      <w:r w:rsidRPr="00B64F95">
        <w:rPr>
          <w:rFonts w:ascii="Arial" w:hAnsi="Arial" w:cs="Arial"/>
          <w:sz w:val="20"/>
          <w:szCs w:val="20"/>
        </w:rPr>
        <w:t xml:space="preserve"> the risk is diversified over many countries.</w:t>
      </w:r>
    </w:p>
    <w:p w14:paraId="6DE11335" w14:textId="77777777" w:rsidR="00AF73B4" w:rsidRPr="00B64F95" w:rsidRDefault="00AF73B4" w:rsidP="00AF73B4">
      <w:pPr>
        <w:jc w:val="both"/>
        <w:rPr>
          <w:rFonts w:ascii="Trebuchet MS" w:hAnsi="Trebuchet MS"/>
          <w:i/>
          <w:iCs/>
          <w:sz w:val="20"/>
          <w:szCs w:val="20"/>
        </w:rPr>
      </w:pPr>
      <w:r w:rsidRPr="00B64F95">
        <w:rPr>
          <w:rFonts w:ascii="Trebuchet MS" w:hAnsi="Trebuchet MS"/>
          <w:i/>
          <w:iCs/>
          <w:sz w:val="20"/>
          <w:szCs w:val="20"/>
        </w:rPr>
        <w:t>Table 4: Additional investment limits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693"/>
      </w:tblGrid>
      <w:tr w:rsidR="00AF73B4" w:rsidRPr="00B64F95" w14:paraId="674F4EF8" w14:textId="77777777" w:rsidTr="00661A56">
        <w:trPr>
          <w:trHeight w:val="340"/>
        </w:trPr>
        <w:tc>
          <w:tcPr>
            <w:tcW w:w="5670" w:type="dxa"/>
            <w:vAlign w:val="center"/>
          </w:tcPr>
          <w:p w14:paraId="6EAACDE4" w14:textId="77777777" w:rsidR="00AF73B4" w:rsidRPr="00B64F95" w:rsidRDefault="00AF73B4" w:rsidP="00661A56">
            <w:pPr>
              <w:pStyle w:val="ListParagraph"/>
              <w:spacing w:after="0"/>
              <w:ind w:left="0"/>
              <w:contextualSpacing w:val="0"/>
              <w:rPr>
                <w:rFonts w:ascii="Trebuchet MS" w:eastAsia="Times New Roman" w:hAnsi="Trebuchet MS"/>
                <w:b/>
                <w:sz w:val="20"/>
                <w:szCs w:val="20"/>
              </w:rPr>
            </w:pPr>
          </w:p>
        </w:tc>
        <w:tc>
          <w:tcPr>
            <w:tcW w:w="2693" w:type="dxa"/>
            <w:vAlign w:val="center"/>
          </w:tcPr>
          <w:p w14:paraId="29A98490" w14:textId="77777777" w:rsidR="00AF73B4" w:rsidRPr="00B64F95" w:rsidRDefault="00AF73B4" w:rsidP="00661A56">
            <w:pPr>
              <w:pStyle w:val="ListParagraph"/>
              <w:spacing w:after="0"/>
              <w:ind w:left="0"/>
              <w:contextualSpacing w:val="0"/>
              <w:jc w:val="center"/>
              <w:rPr>
                <w:rFonts w:ascii="Trebuchet MS" w:eastAsia="Times New Roman" w:hAnsi="Trebuchet MS"/>
                <w:b/>
                <w:sz w:val="20"/>
                <w:szCs w:val="20"/>
              </w:rPr>
            </w:pPr>
            <w:r w:rsidRPr="00B64F95">
              <w:rPr>
                <w:rFonts w:ascii="Trebuchet MS" w:eastAsia="Times New Roman" w:hAnsi="Trebuchet MS"/>
                <w:b/>
                <w:sz w:val="20"/>
                <w:szCs w:val="20"/>
              </w:rPr>
              <w:t>Cash limit</w:t>
            </w:r>
          </w:p>
        </w:tc>
      </w:tr>
      <w:tr w:rsidR="00AF73B4" w:rsidRPr="00B64F95" w14:paraId="4D3D6A74" w14:textId="77777777" w:rsidTr="00661A56">
        <w:trPr>
          <w:trHeight w:val="340"/>
        </w:trPr>
        <w:tc>
          <w:tcPr>
            <w:tcW w:w="5670" w:type="dxa"/>
            <w:vAlign w:val="center"/>
          </w:tcPr>
          <w:p w14:paraId="689564F2" w14:textId="77777777" w:rsidR="00AF73B4" w:rsidRPr="00B64F95" w:rsidRDefault="00AF73B4" w:rsidP="00661A56">
            <w:pPr>
              <w:pStyle w:val="ListParagraph"/>
              <w:spacing w:after="0"/>
              <w:ind w:left="0"/>
              <w:contextualSpacing w:val="0"/>
              <w:rPr>
                <w:rFonts w:ascii="Trebuchet MS" w:eastAsia="Times New Roman" w:hAnsi="Trebuchet MS"/>
                <w:sz w:val="20"/>
                <w:szCs w:val="20"/>
              </w:rPr>
            </w:pPr>
            <w:r w:rsidRPr="00B64F95">
              <w:rPr>
                <w:rFonts w:ascii="Trebuchet MS" w:eastAsia="Times New Roman" w:hAnsi="Trebuchet MS"/>
                <w:sz w:val="20"/>
                <w:szCs w:val="20"/>
              </w:rPr>
              <w:t>Any group of pooled funds under the same management</w:t>
            </w:r>
          </w:p>
        </w:tc>
        <w:tc>
          <w:tcPr>
            <w:tcW w:w="2693" w:type="dxa"/>
            <w:vAlign w:val="center"/>
          </w:tcPr>
          <w:p w14:paraId="464E847C" w14:textId="2182E6C7" w:rsidR="00AF73B4" w:rsidRPr="00B64F95" w:rsidRDefault="00AF73B4" w:rsidP="00661A56">
            <w:pPr>
              <w:pStyle w:val="ListParagraph"/>
              <w:spacing w:after="0"/>
              <w:ind w:left="0"/>
              <w:contextualSpacing w:val="0"/>
              <w:jc w:val="center"/>
              <w:rPr>
                <w:rFonts w:ascii="Trebuchet MS" w:eastAsia="Times New Roman" w:hAnsi="Trebuchet MS"/>
                <w:sz w:val="20"/>
                <w:szCs w:val="20"/>
              </w:rPr>
            </w:pPr>
            <w:r w:rsidRPr="00B64F95">
              <w:rPr>
                <w:rFonts w:ascii="Trebuchet MS" w:hAnsi="Trebuchet MS"/>
                <w:sz w:val="20"/>
                <w:szCs w:val="20"/>
              </w:rPr>
              <w:t>£</w:t>
            </w:r>
            <w:r w:rsidR="00623BEA">
              <w:rPr>
                <w:rFonts w:ascii="Trebuchet MS" w:hAnsi="Trebuchet MS"/>
                <w:sz w:val="20"/>
                <w:szCs w:val="20"/>
              </w:rPr>
              <w:t>36m</w:t>
            </w:r>
            <w:r w:rsidRPr="00B64F95">
              <w:rPr>
                <w:rFonts w:ascii="Trebuchet MS" w:eastAsia="Times New Roman" w:hAnsi="Trebuchet MS"/>
                <w:sz w:val="20"/>
                <w:szCs w:val="20"/>
              </w:rPr>
              <w:t xml:space="preserve"> per manager</w:t>
            </w:r>
          </w:p>
        </w:tc>
      </w:tr>
      <w:tr w:rsidR="00AF73B4" w:rsidRPr="00B64F95" w14:paraId="3FD62683" w14:textId="77777777" w:rsidTr="00661A56">
        <w:trPr>
          <w:trHeight w:val="340"/>
        </w:trPr>
        <w:tc>
          <w:tcPr>
            <w:tcW w:w="5670" w:type="dxa"/>
            <w:vAlign w:val="center"/>
          </w:tcPr>
          <w:p w14:paraId="4829C313" w14:textId="77777777" w:rsidR="00AF73B4" w:rsidRPr="00B64F95" w:rsidRDefault="00AF73B4" w:rsidP="00661A56">
            <w:pPr>
              <w:pStyle w:val="ListParagraph"/>
              <w:spacing w:after="0"/>
              <w:ind w:left="0"/>
              <w:contextualSpacing w:val="0"/>
              <w:rPr>
                <w:rFonts w:ascii="Trebuchet MS" w:eastAsia="Times New Roman" w:hAnsi="Trebuchet MS"/>
                <w:sz w:val="20"/>
                <w:szCs w:val="20"/>
              </w:rPr>
            </w:pPr>
            <w:r w:rsidRPr="00B64F95">
              <w:rPr>
                <w:rFonts w:ascii="Trebuchet MS" w:eastAsia="Times New Roman" w:hAnsi="Trebuchet MS"/>
                <w:sz w:val="20"/>
                <w:szCs w:val="20"/>
              </w:rPr>
              <w:t>Negotiable instruments held in a broker’s nominee account</w:t>
            </w:r>
          </w:p>
        </w:tc>
        <w:tc>
          <w:tcPr>
            <w:tcW w:w="2693" w:type="dxa"/>
            <w:vAlign w:val="center"/>
          </w:tcPr>
          <w:p w14:paraId="052D8F11" w14:textId="3A649B93" w:rsidR="00AF73B4" w:rsidRPr="00B64F95" w:rsidRDefault="00AF73B4" w:rsidP="00661A56">
            <w:pPr>
              <w:pStyle w:val="ListParagraph"/>
              <w:spacing w:after="0"/>
              <w:ind w:left="0"/>
              <w:contextualSpacing w:val="0"/>
              <w:jc w:val="center"/>
              <w:rPr>
                <w:rFonts w:ascii="Trebuchet MS" w:eastAsia="Times New Roman" w:hAnsi="Trebuchet MS"/>
                <w:sz w:val="20"/>
                <w:szCs w:val="20"/>
              </w:rPr>
            </w:pPr>
            <w:r w:rsidRPr="00B64F95">
              <w:rPr>
                <w:rFonts w:ascii="Trebuchet MS" w:hAnsi="Trebuchet MS"/>
                <w:sz w:val="20"/>
                <w:szCs w:val="20"/>
              </w:rPr>
              <w:t>£</w:t>
            </w:r>
            <w:r w:rsidR="00623BEA">
              <w:rPr>
                <w:rFonts w:ascii="Trebuchet MS" w:hAnsi="Trebuchet MS"/>
                <w:sz w:val="20"/>
                <w:szCs w:val="20"/>
              </w:rPr>
              <w:t>36</w:t>
            </w:r>
            <w:r w:rsidRPr="00B64F95">
              <w:rPr>
                <w:rFonts w:ascii="Trebuchet MS" w:hAnsi="Trebuchet MS"/>
                <w:sz w:val="20"/>
                <w:szCs w:val="20"/>
              </w:rPr>
              <w:t>m</w:t>
            </w:r>
            <w:r w:rsidRPr="00B64F95">
              <w:rPr>
                <w:rFonts w:ascii="Trebuchet MS" w:eastAsia="Times New Roman" w:hAnsi="Trebuchet MS"/>
                <w:sz w:val="20"/>
                <w:szCs w:val="20"/>
              </w:rPr>
              <w:t xml:space="preserve"> per broker</w:t>
            </w:r>
          </w:p>
        </w:tc>
      </w:tr>
      <w:tr w:rsidR="00AF73B4" w:rsidRPr="00B64F95" w14:paraId="6A48F003" w14:textId="77777777" w:rsidTr="00661A56">
        <w:trPr>
          <w:trHeight w:val="340"/>
        </w:trPr>
        <w:tc>
          <w:tcPr>
            <w:tcW w:w="5670" w:type="dxa"/>
            <w:vAlign w:val="center"/>
          </w:tcPr>
          <w:p w14:paraId="1590574B" w14:textId="77777777" w:rsidR="00AF73B4" w:rsidRPr="00B64F95" w:rsidRDefault="00AF73B4" w:rsidP="00661A56">
            <w:pPr>
              <w:pStyle w:val="ListParagraph"/>
              <w:spacing w:after="0"/>
              <w:ind w:left="0"/>
              <w:contextualSpacing w:val="0"/>
              <w:rPr>
                <w:rFonts w:ascii="Trebuchet MS" w:eastAsia="Times New Roman" w:hAnsi="Trebuchet MS"/>
                <w:sz w:val="20"/>
                <w:szCs w:val="20"/>
              </w:rPr>
            </w:pPr>
            <w:r w:rsidRPr="00B64F95">
              <w:rPr>
                <w:rFonts w:ascii="Trebuchet MS" w:eastAsia="Times New Roman" w:hAnsi="Trebuchet MS"/>
                <w:sz w:val="20"/>
                <w:szCs w:val="20"/>
              </w:rPr>
              <w:t>Foreign countries</w:t>
            </w:r>
          </w:p>
        </w:tc>
        <w:tc>
          <w:tcPr>
            <w:tcW w:w="2693" w:type="dxa"/>
            <w:vAlign w:val="center"/>
          </w:tcPr>
          <w:p w14:paraId="5D719AB5" w14:textId="76F6AEF3" w:rsidR="00AF73B4" w:rsidRPr="00B64F95" w:rsidRDefault="00AF73B4" w:rsidP="00661A56">
            <w:pPr>
              <w:pStyle w:val="ListParagraph"/>
              <w:spacing w:after="0"/>
              <w:ind w:left="0"/>
              <w:contextualSpacing w:val="0"/>
              <w:jc w:val="center"/>
              <w:rPr>
                <w:rFonts w:ascii="Trebuchet MS" w:eastAsia="Times New Roman" w:hAnsi="Trebuchet MS"/>
                <w:sz w:val="20"/>
                <w:szCs w:val="20"/>
              </w:rPr>
            </w:pPr>
            <w:r w:rsidRPr="00B64F95">
              <w:rPr>
                <w:rFonts w:ascii="Trebuchet MS" w:hAnsi="Trebuchet MS"/>
                <w:sz w:val="20"/>
                <w:szCs w:val="20"/>
              </w:rPr>
              <w:t>£3</w:t>
            </w:r>
            <w:r w:rsidR="00623BEA">
              <w:rPr>
                <w:rFonts w:ascii="Trebuchet MS" w:hAnsi="Trebuchet MS"/>
                <w:sz w:val="20"/>
                <w:szCs w:val="20"/>
              </w:rPr>
              <w:t>6m</w:t>
            </w:r>
            <w:r w:rsidRPr="00B64F95">
              <w:rPr>
                <w:rFonts w:ascii="Trebuchet MS" w:eastAsia="Times New Roman" w:hAnsi="Trebuchet MS"/>
                <w:sz w:val="20"/>
                <w:szCs w:val="20"/>
              </w:rPr>
              <w:t xml:space="preserve"> per country</w:t>
            </w:r>
          </w:p>
        </w:tc>
      </w:tr>
    </w:tbl>
    <w:p w14:paraId="0B2C9044" w14:textId="77777777" w:rsidR="00B04814" w:rsidRPr="00B64F95" w:rsidRDefault="00B04814" w:rsidP="00B46844">
      <w:pPr>
        <w:jc w:val="both"/>
        <w:rPr>
          <w:rFonts w:ascii="Arial" w:hAnsi="Arial" w:cs="Arial"/>
          <w:sz w:val="20"/>
          <w:szCs w:val="20"/>
          <w:u w:val="single"/>
        </w:rPr>
      </w:pPr>
    </w:p>
    <w:p w14:paraId="47A726C4" w14:textId="58372FE7" w:rsidR="00820497" w:rsidRPr="00B64F95" w:rsidRDefault="00820497" w:rsidP="00820497">
      <w:pPr>
        <w:pStyle w:val="ListParagraph"/>
        <w:ind w:left="0"/>
        <w:contextualSpacing w:val="0"/>
        <w:jc w:val="both"/>
        <w:rPr>
          <w:rFonts w:ascii="Arial" w:hAnsi="Arial" w:cs="Arial"/>
          <w:sz w:val="20"/>
          <w:szCs w:val="20"/>
        </w:rPr>
      </w:pPr>
      <w:r w:rsidRPr="00B64F95">
        <w:rPr>
          <w:rFonts w:ascii="Arial" w:hAnsi="Arial" w:cs="Arial"/>
          <w:b/>
          <w:sz w:val="20"/>
          <w:szCs w:val="20"/>
        </w:rPr>
        <w:t xml:space="preserve">Liquidity </w:t>
      </w:r>
      <w:r w:rsidR="001A7599" w:rsidRPr="00B64F95">
        <w:rPr>
          <w:rFonts w:ascii="Arial" w:hAnsi="Arial" w:cs="Arial"/>
          <w:b/>
          <w:sz w:val="20"/>
          <w:szCs w:val="20"/>
        </w:rPr>
        <w:t>m</w:t>
      </w:r>
      <w:r w:rsidRPr="00B64F95">
        <w:rPr>
          <w:rFonts w:ascii="Arial" w:hAnsi="Arial" w:cs="Arial"/>
          <w:b/>
          <w:sz w:val="20"/>
          <w:szCs w:val="20"/>
        </w:rPr>
        <w:t>anagement</w:t>
      </w:r>
      <w:r w:rsidRPr="00B64F95">
        <w:rPr>
          <w:rFonts w:ascii="Arial" w:hAnsi="Arial" w:cs="Arial"/>
          <w:sz w:val="20"/>
          <w:szCs w:val="20"/>
        </w:rPr>
        <w:t xml:space="preserve">: The </w:t>
      </w:r>
      <w:r w:rsidR="00F84233" w:rsidRPr="00B64F95">
        <w:rPr>
          <w:rFonts w:ascii="Arial" w:hAnsi="Arial" w:cs="Arial"/>
          <w:sz w:val="20"/>
          <w:szCs w:val="20"/>
        </w:rPr>
        <w:t>PCC</w:t>
      </w:r>
      <w:r w:rsidRPr="00B64F95">
        <w:rPr>
          <w:rFonts w:ascii="Arial" w:hAnsi="Arial" w:cs="Arial"/>
          <w:sz w:val="20"/>
          <w:szCs w:val="20"/>
        </w:rPr>
        <w:t xml:space="preserve"> uses cash flow forecasting</w:t>
      </w:r>
      <w:r w:rsidRPr="00B64F95">
        <w:rPr>
          <w:rFonts w:ascii="Arial" w:hAnsi="Arial" w:cs="Arial"/>
          <w:color w:val="AF173B"/>
          <w:sz w:val="20"/>
          <w:szCs w:val="20"/>
        </w:rPr>
        <w:t xml:space="preserve"> </w:t>
      </w:r>
      <w:r w:rsidRPr="00B64F95">
        <w:rPr>
          <w:rFonts w:ascii="Arial" w:hAnsi="Arial" w:cs="Arial"/>
          <w:sz w:val="20"/>
          <w:szCs w:val="20"/>
        </w:rPr>
        <w:t>to determine the maximum period for which funds may prudently be committed</w:t>
      </w:r>
      <w:r w:rsidR="00EF0CCF" w:rsidRPr="00B64F95">
        <w:rPr>
          <w:rFonts w:ascii="Arial" w:hAnsi="Arial" w:cs="Arial"/>
          <w:sz w:val="20"/>
          <w:szCs w:val="20"/>
        </w:rPr>
        <w:t xml:space="preserve">. </w:t>
      </w:r>
      <w:r w:rsidRPr="00B64F95">
        <w:rPr>
          <w:rFonts w:ascii="Arial" w:hAnsi="Arial" w:cs="Arial"/>
          <w:sz w:val="20"/>
          <w:szCs w:val="20"/>
        </w:rPr>
        <w:t xml:space="preserve">The forecast is compiled on a </w:t>
      </w:r>
      <w:r w:rsidR="001D4C40" w:rsidRPr="00B64F95">
        <w:rPr>
          <w:rFonts w:ascii="Arial" w:hAnsi="Arial" w:cs="Arial"/>
          <w:sz w:val="20"/>
          <w:szCs w:val="20"/>
        </w:rPr>
        <w:t>prudent</w:t>
      </w:r>
      <w:r w:rsidRPr="00B64F95">
        <w:rPr>
          <w:rFonts w:ascii="Arial" w:hAnsi="Arial" w:cs="Arial"/>
          <w:sz w:val="20"/>
          <w:szCs w:val="20"/>
        </w:rPr>
        <w:t xml:space="preserve"> basis to minimise the risk of the </w:t>
      </w:r>
      <w:r w:rsidR="00F84233" w:rsidRPr="00B64F95">
        <w:rPr>
          <w:rFonts w:ascii="Arial" w:hAnsi="Arial" w:cs="Arial"/>
          <w:sz w:val="20"/>
          <w:szCs w:val="20"/>
        </w:rPr>
        <w:t>PCC</w:t>
      </w:r>
      <w:r w:rsidRPr="00B64F95">
        <w:rPr>
          <w:rFonts w:ascii="Arial" w:hAnsi="Arial" w:cs="Arial"/>
          <w:sz w:val="20"/>
          <w:szCs w:val="20"/>
        </w:rPr>
        <w:t xml:space="preserve"> being forced to borrow on unfavourable terms to meet its financial commitments. Limits on long-term investments are set by reference to the </w:t>
      </w:r>
      <w:r w:rsidR="00F84233" w:rsidRPr="00B64F95">
        <w:rPr>
          <w:rFonts w:ascii="Arial" w:hAnsi="Arial" w:cs="Arial"/>
          <w:sz w:val="20"/>
          <w:szCs w:val="20"/>
        </w:rPr>
        <w:t>PCC</w:t>
      </w:r>
      <w:r w:rsidRPr="00B64F95">
        <w:rPr>
          <w:rFonts w:ascii="Arial" w:hAnsi="Arial" w:cs="Arial"/>
          <w:sz w:val="20"/>
          <w:szCs w:val="20"/>
        </w:rPr>
        <w:t xml:space="preserve">’s </w:t>
      </w:r>
      <w:r w:rsidR="00C0539B" w:rsidRPr="00B64F95">
        <w:rPr>
          <w:rFonts w:ascii="Arial" w:hAnsi="Arial" w:cs="Arial"/>
          <w:sz w:val="20"/>
          <w:szCs w:val="20"/>
        </w:rPr>
        <w:t>medium-term</w:t>
      </w:r>
      <w:r w:rsidRPr="00B64F95">
        <w:rPr>
          <w:rFonts w:ascii="Arial" w:hAnsi="Arial" w:cs="Arial"/>
          <w:sz w:val="20"/>
          <w:szCs w:val="20"/>
        </w:rPr>
        <w:t xml:space="preserve"> financial plan and cash flow forecast.</w:t>
      </w:r>
      <w:r w:rsidR="006C6631" w:rsidRPr="00B64F95">
        <w:rPr>
          <w:rFonts w:ascii="Arial" w:hAnsi="Arial" w:cs="Arial"/>
          <w:sz w:val="20"/>
          <w:szCs w:val="20"/>
        </w:rPr>
        <w:t xml:space="preserve"> </w:t>
      </w:r>
    </w:p>
    <w:p w14:paraId="72871188" w14:textId="1082B3D9" w:rsidR="0034442C" w:rsidRPr="00B64F95" w:rsidRDefault="0034442C" w:rsidP="00820497">
      <w:pPr>
        <w:pStyle w:val="ListParagraph"/>
        <w:ind w:left="0"/>
        <w:contextualSpacing w:val="0"/>
        <w:jc w:val="both"/>
        <w:rPr>
          <w:rFonts w:ascii="Arial" w:hAnsi="Arial" w:cs="Arial"/>
          <w:b/>
          <w:sz w:val="20"/>
          <w:szCs w:val="20"/>
          <w:u w:val="single"/>
        </w:rPr>
      </w:pPr>
      <w:r w:rsidRPr="00B64F95">
        <w:rPr>
          <w:rFonts w:ascii="Arial" w:hAnsi="Arial" w:cs="Arial"/>
          <w:b/>
          <w:sz w:val="20"/>
          <w:szCs w:val="20"/>
          <w:u w:val="single"/>
        </w:rPr>
        <w:t>Management and Execution</w:t>
      </w:r>
    </w:p>
    <w:p w14:paraId="4075701D" w14:textId="72268FF2" w:rsidR="005C2D71" w:rsidRPr="00B64F95" w:rsidRDefault="0034442C" w:rsidP="000859DE">
      <w:pPr>
        <w:jc w:val="both"/>
        <w:rPr>
          <w:rFonts w:ascii="Arial" w:eastAsia="Times New Roman" w:hAnsi="Arial" w:cs="Arial"/>
          <w:sz w:val="20"/>
          <w:szCs w:val="20"/>
          <w:lang w:eastAsia="en-GB"/>
        </w:rPr>
      </w:pPr>
      <w:r w:rsidRPr="00B64F95">
        <w:rPr>
          <w:rFonts w:ascii="Arial" w:eastAsia="Times New Roman" w:hAnsi="Arial" w:cs="Arial"/>
          <w:sz w:val="20"/>
          <w:szCs w:val="20"/>
          <w:lang w:eastAsia="en-GB"/>
        </w:rPr>
        <w:t>This T</w:t>
      </w:r>
      <w:r w:rsidR="00AC4074" w:rsidRPr="00B64F95">
        <w:rPr>
          <w:rFonts w:ascii="Arial" w:eastAsia="Times New Roman" w:hAnsi="Arial" w:cs="Arial"/>
          <w:sz w:val="20"/>
          <w:szCs w:val="20"/>
          <w:lang w:eastAsia="en-GB"/>
        </w:rPr>
        <w:t>MSS</w:t>
      </w:r>
      <w:r w:rsidRPr="00B64F95">
        <w:rPr>
          <w:rFonts w:ascii="Arial" w:eastAsia="Times New Roman" w:hAnsi="Arial" w:cs="Arial"/>
          <w:sz w:val="20"/>
          <w:szCs w:val="20"/>
          <w:lang w:eastAsia="en-GB"/>
        </w:rPr>
        <w:t xml:space="preserve"> will be managed by the </w:t>
      </w:r>
      <w:r w:rsidR="00C9663B" w:rsidRPr="00B64F95">
        <w:rPr>
          <w:rFonts w:ascii="Arial" w:eastAsia="Times New Roman" w:hAnsi="Arial" w:cs="Arial"/>
          <w:sz w:val="20"/>
          <w:szCs w:val="20"/>
          <w:lang w:eastAsia="en-GB"/>
        </w:rPr>
        <w:t xml:space="preserve">PCC’s </w:t>
      </w:r>
      <w:r w:rsidRPr="00B64F95">
        <w:rPr>
          <w:rFonts w:ascii="Arial" w:eastAsia="Times New Roman" w:hAnsi="Arial" w:cs="Arial"/>
          <w:sz w:val="20"/>
          <w:szCs w:val="20"/>
          <w:lang w:eastAsia="en-GB"/>
        </w:rPr>
        <w:t>C</w:t>
      </w:r>
      <w:r w:rsidR="00A200B2" w:rsidRPr="00B64F95">
        <w:rPr>
          <w:rFonts w:ascii="Arial" w:eastAsia="Times New Roman" w:hAnsi="Arial" w:cs="Arial"/>
          <w:sz w:val="20"/>
          <w:szCs w:val="20"/>
          <w:lang w:eastAsia="en-GB"/>
        </w:rPr>
        <w:t xml:space="preserve">hief </w:t>
      </w:r>
      <w:r w:rsidRPr="00B64F95">
        <w:rPr>
          <w:rFonts w:ascii="Arial" w:eastAsia="Times New Roman" w:hAnsi="Arial" w:cs="Arial"/>
          <w:sz w:val="20"/>
          <w:szCs w:val="20"/>
          <w:lang w:eastAsia="en-GB"/>
        </w:rPr>
        <w:t>F</w:t>
      </w:r>
      <w:r w:rsidR="00A200B2" w:rsidRPr="00B64F95">
        <w:rPr>
          <w:rFonts w:ascii="Arial" w:eastAsia="Times New Roman" w:hAnsi="Arial" w:cs="Arial"/>
          <w:sz w:val="20"/>
          <w:szCs w:val="20"/>
          <w:lang w:eastAsia="en-GB"/>
        </w:rPr>
        <w:t xml:space="preserve">inance </w:t>
      </w:r>
      <w:r w:rsidRPr="00B64F95">
        <w:rPr>
          <w:rFonts w:ascii="Arial" w:eastAsia="Times New Roman" w:hAnsi="Arial" w:cs="Arial"/>
          <w:sz w:val="20"/>
          <w:szCs w:val="20"/>
          <w:lang w:eastAsia="en-GB"/>
        </w:rPr>
        <w:t>O</w:t>
      </w:r>
      <w:r w:rsidR="00A200B2" w:rsidRPr="00B64F95">
        <w:rPr>
          <w:rFonts w:ascii="Arial" w:eastAsia="Times New Roman" w:hAnsi="Arial" w:cs="Arial"/>
          <w:sz w:val="20"/>
          <w:szCs w:val="20"/>
          <w:lang w:eastAsia="en-GB"/>
        </w:rPr>
        <w:t>fficer</w:t>
      </w:r>
      <w:r w:rsidR="00AC4074" w:rsidRPr="00B64F95">
        <w:rPr>
          <w:rFonts w:ascii="Arial" w:eastAsia="Times New Roman" w:hAnsi="Arial" w:cs="Arial"/>
          <w:sz w:val="20"/>
          <w:szCs w:val="20"/>
          <w:lang w:eastAsia="en-GB"/>
        </w:rPr>
        <w:t xml:space="preserve"> (PCC CFO)</w:t>
      </w:r>
      <w:r w:rsidR="00AA66D7" w:rsidRPr="00B64F95">
        <w:rPr>
          <w:rFonts w:ascii="Arial" w:eastAsia="Times New Roman" w:hAnsi="Arial" w:cs="Arial"/>
          <w:sz w:val="20"/>
          <w:szCs w:val="20"/>
          <w:lang w:eastAsia="en-GB"/>
        </w:rPr>
        <w:t xml:space="preserve">. The </w:t>
      </w:r>
      <w:r w:rsidR="00C9663B" w:rsidRPr="00B64F95">
        <w:rPr>
          <w:rFonts w:ascii="Arial" w:eastAsia="Times New Roman" w:hAnsi="Arial" w:cs="Arial"/>
          <w:sz w:val="20"/>
          <w:szCs w:val="20"/>
          <w:lang w:eastAsia="en-GB"/>
        </w:rPr>
        <w:t xml:space="preserve">PCC </w:t>
      </w:r>
      <w:r w:rsidR="00AA66D7" w:rsidRPr="00B64F95">
        <w:rPr>
          <w:rFonts w:ascii="Arial" w:eastAsia="Times New Roman" w:hAnsi="Arial" w:cs="Arial"/>
          <w:sz w:val="20"/>
          <w:szCs w:val="20"/>
          <w:lang w:eastAsia="en-GB"/>
        </w:rPr>
        <w:t>CFO</w:t>
      </w:r>
      <w:r w:rsidRPr="00B64F95">
        <w:rPr>
          <w:rFonts w:ascii="Arial" w:eastAsia="Times New Roman" w:hAnsi="Arial" w:cs="Arial"/>
          <w:sz w:val="20"/>
          <w:szCs w:val="20"/>
          <w:lang w:eastAsia="en-GB"/>
        </w:rPr>
        <w:t xml:space="preserve"> has engaged the treasury management team of Kent County Council</w:t>
      </w:r>
      <w:r w:rsidR="00AA66D7" w:rsidRPr="00B64F95">
        <w:rPr>
          <w:rFonts w:ascii="Arial" w:eastAsia="Times New Roman" w:hAnsi="Arial" w:cs="Arial"/>
          <w:sz w:val="20"/>
          <w:szCs w:val="20"/>
          <w:lang w:eastAsia="en-GB"/>
        </w:rPr>
        <w:t xml:space="preserve"> (KCC)</w:t>
      </w:r>
      <w:r w:rsidRPr="00B64F95">
        <w:rPr>
          <w:rFonts w:ascii="Arial" w:eastAsia="Times New Roman" w:hAnsi="Arial" w:cs="Arial"/>
          <w:sz w:val="20"/>
          <w:szCs w:val="20"/>
          <w:lang w:eastAsia="en-GB"/>
        </w:rPr>
        <w:t xml:space="preserve"> </w:t>
      </w:r>
      <w:r w:rsidR="00A7018D" w:rsidRPr="00B64F95">
        <w:rPr>
          <w:rFonts w:ascii="Arial" w:eastAsia="Times New Roman" w:hAnsi="Arial" w:cs="Arial"/>
          <w:sz w:val="20"/>
          <w:szCs w:val="20"/>
          <w:lang w:eastAsia="en-GB"/>
        </w:rPr>
        <w:t xml:space="preserve">on a day-to-day basis </w:t>
      </w:r>
      <w:r w:rsidRPr="00B64F95">
        <w:rPr>
          <w:rFonts w:ascii="Arial" w:eastAsia="Times New Roman" w:hAnsi="Arial" w:cs="Arial"/>
          <w:sz w:val="20"/>
          <w:szCs w:val="20"/>
          <w:lang w:eastAsia="en-GB"/>
        </w:rPr>
        <w:t>to execute the actual dealing</w:t>
      </w:r>
      <w:r w:rsidR="00AA66D7" w:rsidRPr="00B64F95">
        <w:rPr>
          <w:rFonts w:ascii="Arial" w:eastAsia="Times New Roman" w:hAnsi="Arial" w:cs="Arial"/>
          <w:sz w:val="20"/>
          <w:szCs w:val="20"/>
          <w:lang w:eastAsia="en-GB"/>
        </w:rPr>
        <w:t xml:space="preserve"> for both investing and borrowing,</w:t>
      </w:r>
      <w:r w:rsidRPr="00B64F95">
        <w:rPr>
          <w:rFonts w:ascii="Arial" w:eastAsia="Times New Roman" w:hAnsi="Arial" w:cs="Arial"/>
          <w:sz w:val="20"/>
          <w:szCs w:val="20"/>
          <w:lang w:eastAsia="en-GB"/>
        </w:rPr>
        <w:t xml:space="preserve"> in line with the </w:t>
      </w:r>
      <w:r w:rsidR="00B04814" w:rsidRPr="00B64F95">
        <w:rPr>
          <w:rFonts w:ascii="Arial" w:eastAsia="Times New Roman" w:hAnsi="Arial" w:cs="Arial"/>
          <w:sz w:val="20"/>
          <w:szCs w:val="20"/>
          <w:lang w:eastAsia="en-GB"/>
        </w:rPr>
        <w:t xml:space="preserve">strategy. </w:t>
      </w:r>
      <w:r w:rsidRPr="00B64F95">
        <w:rPr>
          <w:rFonts w:ascii="Arial" w:eastAsia="Times New Roman" w:hAnsi="Arial" w:cs="Arial"/>
          <w:sz w:val="20"/>
          <w:szCs w:val="20"/>
          <w:lang w:eastAsia="en-GB"/>
        </w:rPr>
        <w:t xml:space="preserve">This engagement is subject </w:t>
      </w:r>
      <w:r w:rsidR="001D11C9" w:rsidRPr="00B64F95">
        <w:rPr>
          <w:rFonts w:ascii="Arial" w:eastAsia="Times New Roman" w:hAnsi="Arial" w:cs="Arial"/>
          <w:sz w:val="20"/>
          <w:szCs w:val="20"/>
          <w:lang w:eastAsia="en-GB"/>
        </w:rPr>
        <w:t>to</w:t>
      </w:r>
      <w:r w:rsidRPr="00B64F95">
        <w:rPr>
          <w:rFonts w:ascii="Arial" w:eastAsia="Times New Roman" w:hAnsi="Arial" w:cs="Arial"/>
          <w:sz w:val="20"/>
          <w:szCs w:val="20"/>
          <w:lang w:eastAsia="en-GB"/>
        </w:rPr>
        <w:t xml:space="preserve"> a Service Level Agreement </w:t>
      </w:r>
      <w:r w:rsidR="00C9663B" w:rsidRPr="00B64F95">
        <w:rPr>
          <w:rFonts w:ascii="Arial" w:eastAsia="Times New Roman" w:hAnsi="Arial" w:cs="Arial"/>
          <w:sz w:val="20"/>
          <w:szCs w:val="20"/>
          <w:lang w:eastAsia="en-GB"/>
        </w:rPr>
        <w:t xml:space="preserve">(SLA) </w:t>
      </w:r>
      <w:r w:rsidRPr="00B64F95">
        <w:rPr>
          <w:rFonts w:ascii="Arial" w:eastAsia="Times New Roman" w:hAnsi="Arial" w:cs="Arial"/>
          <w:sz w:val="20"/>
          <w:szCs w:val="20"/>
          <w:lang w:eastAsia="en-GB"/>
        </w:rPr>
        <w:t>which is reviewed on an annual basis.</w:t>
      </w:r>
      <w:r w:rsidR="00AA66D7" w:rsidRPr="00B64F95">
        <w:rPr>
          <w:rFonts w:ascii="Arial" w:eastAsia="Times New Roman" w:hAnsi="Arial" w:cs="Arial"/>
          <w:sz w:val="20"/>
          <w:szCs w:val="20"/>
          <w:lang w:eastAsia="en-GB"/>
        </w:rPr>
        <w:t xml:space="preserve"> KCC provide reports on a weekly, </w:t>
      </w:r>
      <w:r w:rsidR="004A18FE" w:rsidRPr="00B64F95">
        <w:rPr>
          <w:rFonts w:ascii="Arial" w:eastAsia="Times New Roman" w:hAnsi="Arial" w:cs="Arial"/>
          <w:sz w:val="20"/>
          <w:szCs w:val="20"/>
          <w:lang w:eastAsia="en-GB"/>
        </w:rPr>
        <w:t>monthly,</w:t>
      </w:r>
      <w:r w:rsidR="00AA66D7" w:rsidRPr="00B64F95">
        <w:rPr>
          <w:rFonts w:ascii="Arial" w:eastAsia="Times New Roman" w:hAnsi="Arial" w:cs="Arial"/>
          <w:sz w:val="20"/>
          <w:szCs w:val="20"/>
          <w:lang w:eastAsia="en-GB"/>
        </w:rPr>
        <w:t xml:space="preserve"> and quarterly basis</w:t>
      </w:r>
      <w:r w:rsidR="00A200B2" w:rsidRPr="00B64F95">
        <w:rPr>
          <w:rFonts w:ascii="Arial" w:eastAsia="Times New Roman" w:hAnsi="Arial" w:cs="Arial"/>
          <w:sz w:val="20"/>
          <w:szCs w:val="20"/>
          <w:lang w:eastAsia="en-GB"/>
        </w:rPr>
        <w:t xml:space="preserve"> alongside other treasury management information</w:t>
      </w:r>
      <w:r w:rsidR="00AA66D7" w:rsidRPr="00B64F95">
        <w:rPr>
          <w:rFonts w:ascii="Arial" w:eastAsia="Times New Roman" w:hAnsi="Arial" w:cs="Arial"/>
          <w:sz w:val="20"/>
          <w:szCs w:val="20"/>
          <w:lang w:eastAsia="en-GB"/>
        </w:rPr>
        <w:t>.</w:t>
      </w:r>
      <w:r w:rsidRPr="00B64F95">
        <w:rPr>
          <w:rFonts w:ascii="Arial" w:eastAsia="Times New Roman" w:hAnsi="Arial" w:cs="Arial"/>
          <w:sz w:val="20"/>
          <w:szCs w:val="20"/>
          <w:lang w:eastAsia="en-GB"/>
        </w:rPr>
        <w:t xml:space="preserve"> </w:t>
      </w:r>
    </w:p>
    <w:p w14:paraId="302392F2" w14:textId="45E0E7CB" w:rsidR="0034442C" w:rsidRPr="00B64F95" w:rsidRDefault="0034442C" w:rsidP="000859DE">
      <w:pPr>
        <w:jc w:val="both"/>
        <w:rPr>
          <w:rFonts w:ascii="Arial" w:eastAsia="Times New Roman" w:hAnsi="Arial" w:cs="Arial"/>
          <w:sz w:val="20"/>
          <w:szCs w:val="20"/>
          <w:lang w:eastAsia="en-GB"/>
        </w:rPr>
      </w:pPr>
      <w:r w:rsidRPr="00B64F95">
        <w:rPr>
          <w:rFonts w:ascii="Arial" w:eastAsia="Times New Roman" w:hAnsi="Arial" w:cs="Arial"/>
          <w:sz w:val="20"/>
          <w:szCs w:val="20"/>
          <w:lang w:eastAsia="en-GB"/>
        </w:rPr>
        <w:t xml:space="preserve">Execution will also be informed by daily/weekly updates from </w:t>
      </w:r>
      <w:r w:rsidR="00604714">
        <w:rPr>
          <w:rFonts w:ascii="Arial" w:eastAsia="Times New Roman" w:hAnsi="Arial" w:cs="Arial"/>
          <w:sz w:val="20"/>
          <w:szCs w:val="20"/>
          <w:lang w:eastAsia="en-GB"/>
        </w:rPr>
        <w:t>the Treasury Management Advisors</w:t>
      </w:r>
      <w:r w:rsidRPr="00B64F95">
        <w:rPr>
          <w:rFonts w:ascii="Arial" w:eastAsia="Times New Roman" w:hAnsi="Arial" w:cs="Arial"/>
          <w:sz w:val="20"/>
          <w:szCs w:val="20"/>
          <w:lang w:eastAsia="en-GB"/>
        </w:rPr>
        <w:t xml:space="preserve"> on counter-party risk changes and profiles. In addition, the </w:t>
      </w:r>
      <w:r w:rsidR="00C9663B" w:rsidRPr="00B64F95">
        <w:rPr>
          <w:rFonts w:ascii="Arial" w:eastAsia="Times New Roman" w:hAnsi="Arial" w:cs="Arial"/>
          <w:sz w:val="20"/>
          <w:szCs w:val="20"/>
          <w:lang w:eastAsia="en-GB"/>
        </w:rPr>
        <w:t xml:space="preserve">PCC </w:t>
      </w:r>
      <w:r w:rsidRPr="00B64F95">
        <w:rPr>
          <w:rFonts w:ascii="Arial" w:eastAsia="Times New Roman" w:hAnsi="Arial" w:cs="Arial"/>
          <w:sz w:val="20"/>
          <w:szCs w:val="20"/>
          <w:lang w:eastAsia="en-GB"/>
        </w:rPr>
        <w:t xml:space="preserve">CFO will monitor the wider trade press in respect of treasury management risks and trends. The </w:t>
      </w:r>
      <w:r w:rsidR="00C9663B" w:rsidRPr="00B64F95">
        <w:rPr>
          <w:rFonts w:ascii="Arial" w:eastAsia="Times New Roman" w:hAnsi="Arial" w:cs="Arial"/>
          <w:sz w:val="20"/>
          <w:szCs w:val="20"/>
          <w:lang w:eastAsia="en-GB"/>
        </w:rPr>
        <w:t xml:space="preserve">PCC </w:t>
      </w:r>
      <w:r w:rsidRPr="00B64F95">
        <w:rPr>
          <w:rFonts w:ascii="Arial" w:eastAsia="Times New Roman" w:hAnsi="Arial" w:cs="Arial"/>
          <w:sz w:val="20"/>
          <w:szCs w:val="20"/>
          <w:lang w:eastAsia="en-GB"/>
        </w:rPr>
        <w:t xml:space="preserve">CFO will decide on duration periods within the term limits set above depending on current circumstances, and will notify the KCC dealing team </w:t>
      </w:r>
      <w:r w:rsidRPr="00B64F95">
        <w:rPr>
          <w:rFonts w:ascii="Arial" w:eastAsia="Times New Roman" w:hAnsi="Arial" w:cs="Arial"/>
          <w:sz w:val="20"/>
          <w:szCs w:val="20"/>
          <w:lang w:eastAsia="en-GB"/>
        </w:rPr>
        <w:lastRenderedPageBreak/>
        <w:t xml:space="preserve">accordingly, with the current instruction being that duration limits should not exceed the lower of the advice offered by </w:t>
      </w:r>
      <w:r w:rsidR="005E5E33">
        <w:rPr>
          <w:rFonts w:ascii="Arial" w:eastAsia="Times New Roman" w:hAnsi="Arial" w:cs="Arial"/>
          <w:sz w:val="20"/>
          <w:szCs w:val="20"/>
          <w:lang w:eastAsia="en-GB"/>
        </w:rPr>
        <w:t>those advisors</w:t>
      </w:r>
      <w:r w:rsidRPr="00B64F95">
        <w:rPr>
          <w:rFonts w:ascii="Arial" w:eastAsia="Times New Roman" w:hAnsi="Arial" w:cs="Arial"/>
          <w:sz w:val="20"/>
          <w:szCs w:val="20"/>
          <w:lang w:eastAsia="en-GB"/>
        </w:rPr>
        <w:t xml:space="preserve"> and the maximum limits set out above.</w:t>
      </w:r>
    </w:p>
    <w:p w14:paraId="4088C57F" w14:textId="4CDA29F7" w:rsidR="0034442C" w:rsidRPr="00B64F95" w:rsidRDefault="0034442C" w:rsidP="000859DE">
      <w:pPr>
        <w:tabs>
          <w:tab w:val="left" w:pos="426"/>
        </w:tabs>
        <w:jc w:val="both"/>
        <w:rPr>
          <w:rFonts w:ascii="Arial" w:eastAsia="Times New Roman" w:hAnsi="Arial" w:cs="Arial"/>
          <w:sz w:val="20"/>
          <w:szCs w:val="20"/>
          <w:lang w:eastAsia="en-GB"/>
        </w:rPr>
      </w:pPr>
      <w:r w:rsidRPr="00B64F95">
        <w:rPr>
          <w:rFonts w:ascii="Arial" w:eastAsia="Times New Roman" w:hAnsi="Arial" w:cs="Arial"/>
          <w:sz w:val="20"/>
          <w:szCs w:val="20"/>
          <w:lang w:eastAsia="en-GB"/>
        </w:rPr>
        <w:t xml:space="preserve">No new investments will be placed with institutions suspended or placed on negative ratings. The </w:t>
      </w:r>
      <w:r w:rsidR="00C9663B" w:rsidRPr="00B64F95">
        <w:rPr>
          <w:rFonts w:ascii="Arial" w:eastAsia="Times New Roman" w:hAnsi="Arial" w:cs="Arial"/>
          <w:sz w:val="20"/>
          <w:szCs w:val="20"/>
          <w:lang w:eastAsia="en-GB"/>
        </w:rPr>
        <w:t xml:space="preserve">PCC </w:t>
      </w:r>
      <w:r w:rsidRPr="00B64F95">
        <w:rPr>
          <w:rFonts w:ascii="Arial" w:eastAsia="Times New Roman" w:hAnsi="Arial" w:cs="Arial"/>
          <w:sz w:val="20"/>
          <w:szCs w:val="20"/>
          <w:lang w:eastAsia="en-GB"/>
        </w:rPr>
        <w:t xml:space="preserve">CFO will meet with </w:t>
      </w:r>
      <w:r w:rsidR="005E5E33">
        <w:rPr>
          <w:rFonts w:ascii="Arial" w:eastAsia="Times New Roman" w:hAnsi="Arial" w:cs="Arial"/>
          <w:sz w:val="20"/>
          <w:szCs w:val="20"/>
          <w:lang w:eastAsia="en-GB"/>
        </w:rPr>
        <w:t>the Treasury Management Advisors</w:t>
      </w:r>
      <w:r w:rsidRPr="00B64F95">
        <w:rPr>
          <w:rFonts w:ascii="Arial" w:eastAsia="Times New Roman" w:hAnsi="Arial" w:cs="Arial"/>
          <w:sz w:val="20"/>
          <w:szCs w:val="20"/>
          <w:lang w:eastAsia="en-GB"/>
        </w:rPr>
        <w:t xml:space="preserve"> to review their advice and views at least </w:t>
      </w:r>
      <w:r w:rsidR="00C015DC" w:rsidRPr="00B64F95">
        <w:rPr>
          <w:rFonts w:ascii="Arial" w:eastAsia="Times New Roman" w:hAnsi="Arial" w:cs="Arial"/>
          <w:sz w:val="20"/>
          <w:szCs w:val="20"/>
          <w:lang w:eastAsia="en-GB"/>
        </w:rPr>
        <w:t>twice a year</w:t>
      </w:r>
      <w:r w:rsidRPr="00B64F95">
        <w:rPr>
          <w:rFonts w:ascii="Arial" w:eastAsia="Times New Roman" w:hAnsi="Arial" w:cs="Arial"/>
          <w:sz w:val="20"/>
          <w:szCs w:val="20"/>
          <w:lang w:eastAsia="en-GB"/>
        </w:rPr>
        <w:t>.</w:t>
      </w:r>
    </w:p>
    <w:p w14:paraId="500F3D5B" w14:textId="310D28D0" w:rsidR="0034442C" w:rsidRPr="00B64F95" w:rsidRDefault="0034442C" w:rsidP="000859DE">
      <w:pPr>
        <w:tabs>
          <w:tab w:val="left" w:pos="900"/>
        </w:tabs>
        <w:jc w:val="both"/>
        <w:rPr>
          <w:rFonts w:ascii="Arial" w:eastAsia="Times New Roman" w:hAnsi="Arial" w:cs="Arial"/>
          <w:sz w:val="20"/>
          <w:szCs w:val="20"/>
          <w:lang w:eastAsia="en-GB"/>
        </w:rPr>
      </w:pPr>
      <w:r w:rsidRPr="00B64F95">
        <w:rPr>
          <w:rFonts w:ascii="Arial" w:eastAsia="Times New Roman" w:hAnsi="Arial" w:cs="Arial"/>
          <w:sz w:val="20"/>
          <w:szCs w:val="20"/>
          <w:lang w:eastAsia="en-GB"/>
        </w:rPr>
        <w:t xml:space="preserve">The </w:t>
      </w:r>
      <w:r w:rsidR="00C9663B" w:rsidRPr="00B64F95">
        <w:rPr>
          <w:rFonts w:ascii="Arial" w:eastAsia="Times New Roman" w:hAnsi="Arial" w:cs="Arial"/>
          <w:sz w:val="20"/>
          <w:szCs w:val="20"/>
          <w:lang w:eastAsia="en-GB"/>
        </w:rPr>
        <w:t xml:space="preserve">PCC </w:t>
      </w:r>
      <w:r w:rsidRPr="00B64F95">
        <w:rPr>
          <w:rFonts w:ascii="Arial" w:eastAsia="Times New Roman" w:hAnsi="Arial" w:cs="Arial"/>
          <w:sz w:val="20"/>
          <w:szCs w:val="20"/>
          <w:lang w:eastAsia="en-GB"/>
        </w:rPr>
        <w:t xml:space="preserve">CFO will recommend any changes in the above strategy to the </w:t>
      </w:r>
      <w:r w:rsidR="00AA66D7" w:rsidRPr="00B64F95">
        <w:rPr>
          <w:rFonts w:ascii="Arial" w:eastAsia="Times New Roman" w:hAnsi="Arial" w:cs="Arial"/>
          <w:sz w:val="20"/>
          <w:szCs w:val="20"/>
          <w:lang w:eastAsia="en-GB"/>
        </w:rPr>
        <w:t>PCC</w:t>
      </w:r>
      <w:r w:rsidRPr="00B64F95">
        <w:rPr>
          <w:rFonts w:ascii="Arial" w:eastAsia="Times New Roman" w:hAnsi="Arial" w:cs="Arial"/>
          <w:sz w:val="20"/>
          <w:szCs w:val="20"/>
          <w:lang w:eastAsia="en-GB"/>
        </w:rPr>
        <w:t xml:space="preserve"> as circumstances change but in moments of urgency the </w:t>
      </w:r>
      <w:r w:rsidR="00C9663B" w:rsidRPr="00B64F95">
        <w:rPr>
          <w:rFonts w:ascii="Arial" w:eastAsia="Times New Roman" w:hAnsi="Arial" w:cs="Arial"/>
          <w:sz w:val="20"/>
          <w:szCs w:val="20"/>
          <w:lang w:eastAsia="en-GB"/>
        </w:rPr>
        <w:t xml:space="preserve">PCC </w:t>
      </w:r>
      <w:r w:rsidRPr="00B64F95">
        <w:rPr>
          <w:rFonts w:ascii="Arial" w:eastAsia="Times New Roman" w:hAnsi="Arial" w:cs="Arial"/>
          <w:sz w:val="20"/>
          <w:szCs w:val="20"/>
          <w:lang w:eastAsia="en-GB"/>
        </w:rPr>
        <w:t xml:space="preserve">CFO will have the authority to </w:t>
      </w:r>
      <w:r w:rsidRPr="00B64F95">
        <w:rPr>
          <w:rFonts w:ascii="Arial" w:eastAsia="Times New Roman" w:hAnsi="Arial" w:cs="Arial"/>
          <w:sz w:val="20"/>
          <w:szCs w:val="20"/>
          <w:u w:val="single"/>
          <w:lang w:eastAsia="en-GB"/>
        </w:rPr>
        <w:t>reduce</w:t>
      </w:r>
      <w:r w:rsidRPr="00B64F95">
        <w:rPr>
          <w:rFonts w:ascii="Arial" w:eastAsia="Times New Roman" w:hAnsi="Arial" w:cs="Arial"/>
          <w:sz w:val="20"/>
          <w:szCs w:val="20"/>
          <w:lang w:eastAsia="en-GB"/>
        </w:rPr>
        <w:t xml:space="preserve"> portfolio risk by reducing term periods, deposit limits or allowable categories in the face of changing market conditions and his professional view that such changed conditions makes the strategy too </w:t>
      </w:r>
      <w:r w:rsidR="000C61FC" w:rsidRPr="00B64F95">
        <w:rPr>
          <w:rFonts w:ascii="Arial" w:eastAsia="Times New Roman" w:hAnsi="Arial" w:cs="Arial"/>
          <w:sz w:val="20"/>
          <w:szCs w:val="20"/>
          <w:lang w:eastAsia="en-GB"/>
        </w:rPr>
        <w:t>high risk</w:t>
      </w:r>
      <w:r w:rsidRPr="00B64F95">
        <w:rPr>
          <w:rFonts w:ascii="Arial" w:eastAsia="Times New Roman" w:hAnsi="Arial" w:cs="Arial"/>
          <w:sz w:val="20"/>
          <w:szCs w:val="20"/>
          <w:lang w:eastAsia="en-GB"/>
        </w:rPr>
        <w:t xml:space="preserve">. Where possible and practical such changes will be agreed and documented with the </w:t>
      </w:r>
      <w:r w:rsidR="00AA66D7" w:rsidRPr="00B64F95">
        <w:rPr>
          <w:rFonts w:ascii="Arial" w:eastAsia="Times New Roman" w:hAnsi="Arial" w:cs="Arial"/>
          <w:sz w:val="20"/>
          <w:szCs w:val="20"/>
          <w:lang w:eastAsia="en-GB"/>
        </w:rPr>
        <w:t>PCC</w:t>
      </w:r>
      <w:r w:rsidRPr="00B64F95">
        <w:rPr>
          <w:rFonts w:ascii="Arial" w:eastAsia="Times New Roman" w:hAnsi="Arial" w:cs="Arial"/>
          <w:sz w:val="20"/>
          <w:szCs w:val="20"/>
          <w:lang w:eastAsia="en-GB"/>
        </w:rPr>
        <w:t xml:space="preserve"> in advance but if not possible due to leave or absence a report will be made by the </w:t>
      </w:r>
      <w:r w:rsidR="00C9663B" w:rsidRPr="00B64F95">
        <w:rPr>
          <w:rFonts w:ascii="Arial" w:eastAsia="Times New Roman" w:hAnsi="Arial" w:cs="Arial"/>
          <w:sz w:val="20"/>
          <w:szCs w:val="20"/>
          <w:lang w:eastAsia="en-GB"/>
        </w:rPr>
        <w:t xml:space="preserve">PCC </w:t>
      </w:r>
      <w:r w:rsidRPr="00B64F95">
        <w:rPr>
          <w:rFonts w:ascii="Arial" w:eastAsia="Times New Roman" w:hAnsi="Arial" w:cs="Arial"/>
          <w:sz w:val="20"/>
          <w:szCs w:val="20"/>
          <w:lang w:eastAsia="en-GB"/>
        </w:rPr>
        <w:t>CFO within 5 working days of any changes being implemented.</w:t>
      </w:r>
    </w:p>
    <w:p w14:paraId="73B1A658" w14:textId="77777777" w:rsidR="0034442C" w:rsidRPr="00B64F95" w:rsidRDefault="0034442C" w:rsidP="0034442C">
      <w:pPr>
        <w:spacing w:after="0" w:line="240" w:lineRule="auto"/>
        <w:rPr>
          <w:rFonts w:ascii="Arial" w:eastAsia="Times New Roman" w:hAnsi="Arial" w:cs="Arial"/>
          <w:sz w:val="20"/>
          <w:szCs w:val="20"/>
          <w:lang w:eastAsia="en-GB"/>
        </w:rPr>
      </w:pPr>
    </w:p>
    <w:p w14:paraId="01477974" w14:textId="4F211D3D" w:rsidR="00D909E8" w:rsidRPr="00B64F95" w:rsidRDefault="0034442C" w:rsidP="000859DE">
      <w:pPr>
        <w:tabs>
          <w:tab w:val="left" w:pos="900"/>
        </w:tabs>
        <w:jc w:val="both"/>
        <w:rPr>
          <w:rFonts w:ascii="Arial" w:eastAsia="Times New Roman" w:hAnsi="Arial" w:cs="Arial"/>
          <w:sz w:val="20"/>
          <w:szCs w:val="20"/>
          <w:lang w:eastAsia="en-GB"/>
        </w:rPr>
      </w:pPr>
      <w:r w:rsidRPr="00B64F95">
        <w:rPr>
          <w:rFonts w:ascii="Arial" w:eastAsia="Times New Roman" w:hAnsi="Arial" w:cs="Arial"/>
          <w:sz w:val="20"/>
          <w:szCs w:val="20"/>
          <w:lang w:eastAsia="en-GB"/>
        </w:rPr>
        <w:t xml:space="preserve">The </w:t>
      </w:r>
      <w:r w:rsidR="00C9663B" w:rsidRPr="00B64F95">
        <w:rPr>
          <w:rFonts w:ascii="Arial" w:eastAsia="Times New Roman" w:hAnsi="Arial" w:cs="Arial"/>
          <w:sz w:val="20"/>
          <w:szCs w:val="20"/>
          <w:lang w:eastAsia="en-GB"/>
        </w:rPr>
        <w:t xml:space="preserve">PCC </w:t>
      </w:r>
      <w:r w:rsidRPr="00B64F95">
        <w:rPr>
          <w:rFonts w:ascii="Arial" w:eastAsia="Times New Roman" w:hAnsi="Arial" w:cs="Arial"/>
          <w:sz w:val="20"/>
          <w:szCs w:val="20"/>
          <w:lang w:eastAsia="en-GB"/>
        </w:rPr>
        <w:t xml:space="preserve">CFO </w:t>
      </w:r>
      <w:r w:rsidR="00B04814" w:rsidRPr="00B64F95">
        <w:rPr>
          <w:rFonts w:ascii="Arial" w:eastAsia="Times New Roman" w:hAnsi="Arial" w:cs="Arial"/>
          <w:sz w:val="20"/>
          <w:szCs w:val="20"/>
          <w:lang w:eastAsia="en-GB"/>
        </w:rPr>
        <w:t>has treasury</w:t>
      </w:r>
      <w:r w:rsidRPr="00B64F95">
        <w:rPr>
          <w:rFonts w:ascii="Arial" w:eastAsia="Times New Roman" w:hAnsi="Arial" w:cs="Arial"/>
          <w:sz w:val="20"/>
          <w:szCs w:val="20"/>
          <w:lang w:eastAsia="en-GB"/>
        </w:rPr>
        <w:t xml:space="preserve"> management experience and will assess his training needs regularly. The </w:t>
      </w:r>
      <w:r w:rsidR="00C9663B" w:rsidRPr="00B64F95">
        <w:rPr>
          <w:rFonts w:ascii="Arial" w:eastAsia="Times New Roman" w:hAnsi="Arial" w:cs="Arial"/>
          <w:sz w:val="20"/>
          <w:szCs w:val="20"/>
          <w:lang w:eastAsia="en-GB"/>
        </w:rPr>
        <w:t xml:space="preserve">PCC </w:t>
      </w:r>
      <w:r w:rsidRPr="00B64F95">
        <w:rPr>
          <w:rFonts w:ascii="Arial" w:eastAsia="Times New Roman" w:hAnsi="Arial" w:cs="Arial"/>
          <w:sz w:val="20"/>
          <w:szCs w:val="20"/>
          <w:lang w:eastAsia="en-GB"/>
        </w:rPr>
        <w:t xml:space="preserve">CFO will receive support from the Finance </w:t>
      </w:r>
      <w:r w:rsidR="005562CC">
        <w:rPr>
          <w:rFonts w:ascii="Arial" w:eastAsia="Times New Roman" w:hAnsi="Arial" w:cs="Arial"/>
          <w:sz w:val="20"/>
          <w:szCs w:val="20"/>
          <w:lang w:eastAsia="en-GB"/>
        </w:rPr>
        <w:t xml:space="preserve">Business </w:t>
      </w:r>
      <w:r w:rsidR="00045A6C">
        <w:rPr>
          <w:rFonts w:ascii="Arial" w:eastAsia="Times New Roman" w:hAnsi="Arial" w:cs="Arial"/>
          <w:sz w:val="20"/>
          <w:szCs w:val="20"/>
          <w:lang w:eastAsia="en-GB"/>
        </w:rPr>
        <w:t>Partner</w:t>
      </w:r>
      <w:r w:rsidRPr="00B64F95">
        <w:rPr>
          <w:rFonts w:ascii="Arial" w:eastAsia="Times New Roman" w:hAnsi="Arial" w:cs="Arial"/>
          <w:sz w:val="20"/>
          <w:szCs w:val="20"/>
          <w:lang w:eastAsia="en-GB"/>
        </w:rPr>
        <w:t xml:space="preserve"> </w:t>
      </w:r>
      <w:r w:rsidR="00C9663B" w:rsidRPr="00B64F95">
        <w:rPr>
          <w:rFonts w:ascii="Arial" w:eastAsia="Times New Roman" w:hAnsi="Arial" w:cs="Arial"/>
          <w:sz w:val="20"/>
          <w:szCs w:val="20"/>
          <w:lang w:eastAsia="en-GB"/>
        </w:rPr>
        <w:t>(F</w:t>
      </w:r>
      <w:r w:rsidR="00045A6C">
        <w:rPr>
          <w:rFonts w:ascii="Arial" w:eastAsia="Times New Roman" w:hAnsi="Arial" w:cs="Arial"/>
          <w:sz w:val="20"/>
          <w:szCs w:val="20"/>
          <w:lang w:eastAsia="en-GB"/>
        </w:rPr>
        <w:t>BP</w:t>
      </w:r>
      <w:r w:rsidR="00C9663B" w:rsidRPr="00B64F95">
        <w:rPr>
          <w:rFonts w:ascii="Arial" w:eastAsia="Times New Roman" w:hAnsi="Arial" w:cs="Arial"/>
          <w:sz w:val="20"/>
          <w:szCs w:val="20"/>
          <w:lang w:eastAsia="en-GB"/>
        </w:rPr>
        <w:t xml:space="preserve">) in </w:t>
      </w:r>
      <w:r w:rsidRPr="00B64F95">
        <w:rPr>
          <w:rFonts w:ascii="Arial" w:eastAsia="Times New Roman" w:hAnsi="Arial" w:cs="Arial"/>
          <w:sz w:val="20"/>
          <w:szCs w:val="20"/>
          <w:lang w:eastAsia="en-GB"/>
        </w:rPr>
        <w:t>the OPCC</w:t>
      </w:r>
      <w:r w:rsidR="00C9663B" w:rsidRPr="00B64F95">
        <w:rPr>
          <w:rFonts w:ascii="Arial" w:eastAsia="Times New Roman" w:hAnsi="Arial" w:cs="Arial"/>
          <w:sz w:val="20"/>
          <w:szCs w:val="20"/>
          <w:lang w:eastAsia="en-GB"/>
        </w:rPr>
        <w:t xml:space="preserve"> </w:t>
      </w:r>
      <w:r w:rsidRPr="00B64F95">
        <w:rPr>
          <w:rFonts w:ascii="Arial" w:eastAsia="Times New Roman" w:hAnsi="Arial" w:cs="Arial"/>
          <w:sz w:val="20"/>
          <w:szCs w:val="20"/>
          <w:lang w:eastAsia="en-GB"/>
        </w:rPr>
        <w:t xml:space="preserve">and will ensure a relevant training programme is in place. Both the </w:t>
      </w:r>
      <w:r w:rsidR="00C9663B" w:rsidRPr="00B64F95">
        <w:rPr>
          <w:rFonts w:ascii="Arial" w:eastAsia="Times New Roman" w:hAnsi="Arial" w:cs="Arial"/>
          <w:sz w:val="20"/>
          <w:szCs w:val="20"/>
          <w:lang w:eastAsia="en-GB"/>
        </w:rPr>
        <w:t xml:space="preserve">PCC </w:t>
      </w:r>
      <w:r w:rsidRPr="00B64F95">
        <w:rPr>
          <w:rFonts w:ascii="Arial" w:eastAsia="Times New Roman" w:hAnsi="Arial" w:cs="Arial"/>
          <w:sz w:val="20"/>
          <w:szCs w:val="20"/>
          <w:lang w:eastAsia="en-GB"/>
        </w:rPr>
        <w:t>CFO and the</w:t>
      </w:r>
      <w:r w:rsidR="00045A6C">
        <w:rPr>
          <w:rFonts w:ascii="Arial" w:eastAsia="Times New Roman" w:hAnsi="Arial" w:cs="Arial"/>
          <w:sz w:val="20"/>
          <w:szCs w:val="20"/>
          <w:lang w:eastAsia="en-GB"/>
        </w:rPr>
        <w:t xml:space="preserve"> FBP</w:t>
      </w:r>
      <w:r w:rsidRPr="00B64F95">
        <w:rPr>
          <w:rFonts w:ascii="Arial" w:eastAsia="Times New Roman" w:hAnsi="Arial" w:cs="Arial"/>
          <w:sz w:val="20"/>
          <w:szCs w:val="20"/>
          <w:lang w:eastAsia="en-GB"/>
        </w:rPr>
        <w:t xml:space="preserve"> will review training opportunities, courses, </w:t>
      </w:r>
      <w:r w:rsidR="004A18FE" w:rsidRPr="00B64F95">
        <w:rPr>
          <w:rFonts w:ascii="Arial" w:eastAsia="Times New Roman" w:hAnsi="Arial" w:cs="Arial"/>
          <w:sz w:val="20"/>
          <w:szCs w:val="20"/>
          <w:lang w:eastAsia="en-GB"/>
        </w:rPr>
        <w:t>seminars,</w:t>
      </w:r>
      <w:r w:rsidRPr="00B64F95">
        <w:rPr>
          <w:rFonts w:ascii="Arial" w:eastAsia="Times New Roman" w:hAnsi="Arial" w:cs="Arial"/>
          <w:sz w:val="20"/>
          <w:szCs w:val="20"/>
          <w:lang w:eastAsia="en-GB"/>
        </w:rPr>
        <w:t xml:space="preserve"> and conferences provided by CIPFA</w:t>
      </w:r>
      <w:r w:rsidR="00AA66D7" w:rsidRPr="00B64F95">
        <w:rPr>
          <w:rFonts w:ascii="Arial" w:eastAsia="Times New Roman" w:hAnsi="Arial" w:cs="Arial"/>
          <w:sz w:val="20"/>
          <w:szCs w:val="20"/>
          <w:lang w:eastAsia="en-GB"/>
        </w:rPr>
        <w:t xml:space="preserve"> and other appropriate organisations</w:t>
      </w:r>
      <w:r w:rsidRPr="00B64F95">
        <w:rPr>
          <w:rFonts w:ascii="Arial" w:eastAsia="Times New Roman" w:hAnsi="Arial" w:cs="Arial"/>
          <w:sz w:val="20"/>
          <w:szCs w:val="20"/>
          <w:lang w:eastAsia="en-GB"/>
        </w:rPr>
        <w:t>.</w:t>
      </w:r>
    </w:p>
    <w:p w14:paraId="7A9D0A4F" w14:textId="4C3BF7BB" w:rsidR="0034442C" w:rsidRPr="00B64F95" w:rsidRDefault="00D909E8" w:rsidP="000859DE">
      <w:pPr>
        <w:tabs>
          <w:tab w:val="left" w:pos="900"/>
        </w:tabs>
        <w:jc w:val="both"/>
        <w:rPr>
          <w:rFonts w:ascii="Arial" w:eastAsia="Times New Roman" w:hAnsi="Arial" w:cs="Arial"/>
          <w:sz w:val="20"/>
          <w:szCs w:val="20"/>
          <w:lang w:eastAsia="en-GB"/>
        </w:rPr>
      </w:pPr>
      <w:r w:rsidRPr="00B64F95">
        <w:rPr>
          <w:rFonts w:ascii="Arial" w:eastAsia="Times New Roman" w:hAnsi="Arial" w:cs="Arial"/>
          <w:sz w:val="20"/>
          <w:szCs w:val="20"/>
          <w:lang w:eastAsia="en-GB"/>
        </w:rPr>
        <w:t xml:space="preserve">This support is augmented by </w:t>
      </w:r>
      <w:r w:rsidR="00491BDB" w:rsidRPr="00B64F95">
        <w:rPr>
          <w:rFonts w:ascii="Arial" w:eastAsia="Times New Roman" w:hAnsi="Arial" w:cs="Arial"/>
          <w:sz w:val="20"/>
          <w:szCs w:val="20"/>
          <w:lang w:eastAsia="en-GB"/>
        </w:rPr>
        <w:t xml:space="preserve">the </w:t>
      </w:r>
      <w:r w:rsidR="006C6631" w:rsidRPr="00B64F95">
        <w:rPr>
          <w:rFonts w:ascii="Arial" w:eastAsia="Times New Roman" w:hAnsi="Arial" w:cs="Arial"/>
          <w:sz w:val="20"/>
          <w:szCs w:val="20"/>
          <w:lang w:eastAsia="en-GB"/>
        </w:rPr>
        <w:t>Force</w:t>
      </w:r>
      <w:r w:rsidR="00491BDB" w:rsidRPr="00B64F95">
        <w:rPr>
          <w:rFonts w:ascii="Arial" w:eastAsia="Times New Roman" w:hAnsi="Arial" w:cs="Arial"/>
          <w:sz w:val="20"/>
          <w:szCs w:val="20"/>
          <w:lang w:eastAsia="en-GB"/>
        </w:rPr>
        <w:t xml:space="preserve"> Finance Team, who provide cash flow information to KCC and support to the OPCC on treasury management matters.</w:t>
      </w:r>
    </w:p>
    <w:p w14:paraId="4B1A40A2" w14:textId="77777777" w:rsidR="00B04814" w:rsidRPr="00B64F95" w:rsidRDefault="00B04814" w:rsidP="00AA66D7">
      <w:pPr>
        <w:tabs>
          <w:tab w:val="left" w:pos="900"/>
        </w:tabs>
        <w:spacing w:after="0" w:line="240" w:lineRule="auto"/>
        <w:jc w:val="both"/>
        <w:rPr>
          <w:rFonts w:ascii="Arial" w:eastAsia="Times New Roman" w:hAnsi="Arial" w:cs="Arial"/>
          <w:b/>
          <w:sz w:val="20"/>
          <w:szCs w:val="20"/>
          <w:u w:val="single"/>
          <w:lang w:eastAsia="en-GB"/>
        </w:rPr>
      </w:pPr>
    </w:p>
    <w:p w14:paraId="492E6ABB" w14:textId="77777777" w:rsidR="00AA66D7" w:rsidRPr="00B64F95" w:rsidRDefault="00AA66D7" w:rsidP="00AA66D7">
      <w:pPr>
        <w:tabs>
          <w:tab w:val="left" w:pos="900"/>
        </w:tabs>
        <w:spacing w:after="0" w:line="240" w:lineRule="auto"/>
        <w:jc w:val="both"/>
        <w:rPr>
          <w:rFonts w:ascii="Arial" w:eastAsia="Times New Roman" w:hAnsi="Arial" w:cs="Arial"/>
          <w:b/>
          <w:sz w:val="20"/>
          <w:szCs w:val="20"/>
          <w:u w:val="single"/>
          <w:lang w:eastAsia="en-GB"/>
        </w:rPr>
      </w:pPr>
      <w:r w:rsidRPr="00B64F95">
        <w:rPr>
          <w:rFonts w:ascii="Arial" w:eastAsia="Times New Roman" w:hAnsi="Arial" w:cs="Arial"/>
          <w:b/>
          <w:sz w:val="20"/>
          <w:szCs w:val="20"/>
          <w:u w:val="single"/>
          <w:lang w:eastAsia="en-GB"/>
        </w:rPr>
        <w:t>Joint Audit Committee</w:t>
      </w:r>
    </w:p>
    <w:p w14:paraId="14C166A5" w14:textId="77777777" w:rsidR="00AA66D7" w:rsidRPr="00B64F95" w:rsidRDefault="00AA66D7" w:rsidP="00AA66D7">
      <w:pPr>
        <w:tabs>
          <w:tab w:val="left" w:pos="900"/>
        </w:tabs>
        <w:spacing w:after="0" w:line="240" w:lineRule="auto"/>
        <w:jc w:val="both"/>
        <w:rPr>
          <w:rFonts w:ascii="Arial" w:eastAsia="Times New Roman" w:hAnsi="Arial" w:cs="Arial"/>
          <w:b/>
          <w:sz w:val="20"/>
          <w:szCs w:val="20"/>
          <w:u w:val="single"/>
          <w:lang w:eastAsia="en-GB"/>
        </w:rPr>
      </w:pPr>
    </w:p>
    <w:p w14:paraId="5A8B9232" w14:textId="77777777" w:rsidR="00AA66D7" w:rsidRPr="00B64F95" w:rsidRDefault="005F3434" w:rsidP="000859DE">
      <w:pPr>
        <w:autoSpaceDE w:val="0"/>
        <w:autoSpaceDN w:val="0"/>
        <w:adjustRightInd w:val="0"/>
        <w:rPr>
          <w:rFonts w:ascii="Arial" w:hAnsi="Arial" w:cs="Arial"/>
        </w:rPr>
      </w:pPr>
      <w:r w:rsidRPr="00B64F95">
        <w:rPr>
          <w:rFonts w:ascii="Arial" w:hAnsi="Arial" w:cs="Arial"/>
          <w:sz w:val="20"/>
          <w:szCs w:val="20"/>
        </w:rPr>
        <w:t>The CIPFA</w:t>
      </w:r>
      <w:r w:rsidR="00AA66D7" w:rsidRPr="00B64F95">
        <w:rPr>
          <w:rFonts w:ascii="Arial" w:hAnsi="Arial" w:cs="Arial"/>
          <w:sz w:val="20"/>
          <w:szCs w:val="20"/>
        </w:rPr>
        <w:t xml:space="preserve"> code states clearly that effective scrutiny of the treasury management activities of the PCC should be delegated to an independent body. The PCC has decided that the Joint Audit Committee (JAC) would be the most appropriate body for this role</w:t>
      </w:r>
      <w:r w:rsidR="00AA66D7" w:rsidRPr="00B64F95">
        <w:rPr>
          <w:rFonts w:ascii="Arial" w:hAnsi="Arial" w:cs="Arial"/>
        </w:rPr>
        <w:t xml:space="preserve">. </w:t>
      </w:r>
    </w:p>
    <w:p w14:paraId="34BBDE3B" w14:textId="36A52433" w:rsidR="00A45780" w:rsidRPr="00B64F95" w:rsidRDefault="00AA66D7" w:rsidP="000859DE">
      <w:pPr>
        <w:tabs>
          <w:tab w:val="left" w:pos="900"/>
        </w:tabs>
        <w:jc w:val="both"/>
        <w:rPr>
          <w:rFonts w:ascii="Arial" w:eastAsia="Times New Roman" w:hAnsi="Arial" w:cs="Arial"/>
          <w:sz w:val="20"/>
          <w:szCs w:val="20"/>
          <w:lang w:eastAsia="en-GB"/>
        </w:rPr>
      </w:pPr>
      <w:r w:rsidRPr="00B64F95">
        <w:rPr>
          <w:rFonts w:ascii="Arial" w:eastAsia="Times New Roman" w:hAnsi="Arial" w:cs="Arial"/>
          <w:sz w:val="20"/>
          <w:szCs w:val="20"/>
          <w:lang w:eastAsia="en-GB"/>
        </w:rPr>
        <w:t xml:space="preserve">The JAC will receive </w:t>
      </w:r>
      <w:r w:rsidR="001C396F">
        <w:rPr>
          <w:rFonts w:ascii="Arial" w:eastAsia="Times New Roman" w:hAnsi="Arial" w:cs="Arial"/>
          <w:sz w:val="20"/>
          <w:szCs w:val="20"/>
          <w:lang w:eastAsia="en-GB"/>
        </w:rPr>
        <w:t xml:space="preserve">quarterly </w:t>
      </w:r>
      <w:r w:rsidRPr="00B64F95">
        <w:rPr>
          <w:rFonts w:ascii="Arial" w:eastAsia="Times New Roman" w:hAnsi="Arial" w:cs="Arial"/>
          <w:sz w:val="20"/>
          <w:szCs w:val="20"/>
          <w:lang w:eastAsia="en-GB"/>
        </w:rPr>
        <w:t>reports on treasury management</w:t>
      </w:r>
      <w:r w:rsidR="00A200B2" w:rsidRPr="00B64F95">
        <w:rPr>
          <w:rFonts w:ascii="Arial" w:eastAsia="Times New Roman" w:hAnsi="Arial" w:cs="Arial"/>
          <w:sz w:val="20"/>
          <w:szCs w:val="20"/>
          <w:lang w:eastAsia="en-GB"/>
        </w:rPr>
        <w:t xml:space="preserve"> during the year</w:t>
      </w:r>
      <w:r w:rsidR="001C396F">
        <w:rPr>
          <w:rFonts w:ascii="Arial" w:eastAsia="Times New Roman" w:hAnsi="Arial" w:cs="Arial"/>
          <w:sz w:val="20"/>
          <w:szCs w:val="20"/>
          <w:lang w:eastAsia="en-GB"/>
        </w:rPr>
        <w:t xml:space="preserve"> as well as the </w:t>
      </w:r>
      <w:r w:rsidRPr="00B64F95">
        <w:rPr>
          <w:rFonts w:ascii="Arial" w:eastAsia="Times New Roman" w:hAnsi="Arial" w:cs="Arial"/>
          <w:sz w:val="20"/>
          <w:szCs w:val="20"/>
          <w:lang w:eastAsia="en-GB"/>
        </w:rPr>
        <w:t>strategy and an end of year report</w:t>
      </w:r>
      <w:r w:rsidR="00A45780" w:rsidRPr="00B64F95">
        <w:rPr>
          <w:rFonts w:ascii="Arial" w:eastAsia="Times New Roman" w:hAnsi="Arial" w:cs="Arial"/>
          <w:sz w:val="20"/>
          <w:szCs w:val="20"/>
          <w:lang w:eastAsia="en-GB"/>
        </w:rPr>
        <w:t>.</w:t>
      </w:r>
      <w:r w:rsidRPr="00B64F95">
        <w:rPr>
          <w:rFonts w:ascii="Arial" w:eastAsia="Times New Roman" w:hAnsi="Arial" w:cs="Arial"/>
          <w:sz w:val="20"/>
          <w:szCs w:val="20"/>
          <w:lang w:eastAsia="en-GB"/>
        </w:rPr>
        <w:t xml:space="preserve"> </w:t>
      </w:r>
      <w:r w:rsidR="00A45780" w:rsidRPr="00B64F95">
        <w:rPr>
          <w:rFonts w:ascii="Arial" w:eastAsia="Times New Roman" w:hAnsi="Arial" w:cs="Arial"/>
          <w:sz w:val="20"/>
          <w:szCs w:val="20"/>
          <w:lang w:eastAsia="en-GB"/>
        </w:rPr>
        <w:t xml:space="preserve">The </w:t>
      </w:r>
      <w:r w:rsidR="001D11C9" w:rsidRPr="00B64F95">
        <w:rPr>
          <w:rFonts w:ascii="Arial" w:eastAsia="Times New Roman" w:hAnsi="Arial" w:cs="Arial"/>
          <w:sz w:val="20"/>
          <w:szCs w:val="20"/>
          <w:lang w:eastAsia="en-GB"/>
        </w:rPr>
        <w:t>performance</w:t>
      </w:r>
      <w:r w:rsidR="00A45780" w:rsidRPr="00B64F95">
        <w:rPr>
          <w:rFonts w:ascii="Arial" w:eastAsia="Times New Roman" w:hAnsi="Arial" w:cs="Arial"/>
          <w:sz w:val="20"/>
          <w:szCs w:val="20"/>
          <w:lang w:eastAsia="en-GB"/>
        </w:rPr>
        <w:t xml:space="preserve"> reports will include an update on:</w:t>
      </w:r>
    </w:p>
    <w:p w14:paraId="26493EA0" w14:textId="77777777" w:rsidR="00AA66D7" w:rsidRPr="00B64F95" w:rsidRDefault="00A45780" w:rsidP="00A45780">
      <w:pPr>
        <w:numPr>
          <w:ilvl w:val="0"/>
          <w:numId w:val="30"/>
        </w:numPr>
        <w:tabs>
          <w:tab w:val="left" w:pos="1134"/>
        </w:tabs>
        <w:spacing w:after="0" w:line="240" w:lineRule="auto"/>
        <w:ind w:left="1134"/>
        <w:jc w:val="both"/>
        <w:rPr>
          <w:rFonts w:ascii="Arial" w:eastAsia="Times New Roman" w:hAnsi="Arial" w:cs="Arial"/>
          <w:sz w:val="20"/>
          <w:szCs w:val="20"/>
          <w:lang w:eastAsia="en-GB"/>
        </w:rPr>
      </w:pPr>
      <w:r w:rsidRPr="00B64F95">
        <w:rPr>
          <w:rFonts w:ascii="Arial" w:eastAsia="Times New Roman" w:hAnsi="Arial" w:cs="Arial"/>
          <w:sz w:val="20"/>
          <w:szCs w:val="20"/>
          <w:lang w:eastAsia="en-GB"/>
        </w:rPr>
        <w:t>Current investments in counterparties</w:t>
      </w:r>
    </w:p>
    <w:p w14:paraId="62F434A6" w14:textId="77777777" w:rsidR="00A45780" w:rsidRPr="00B64F95" w:rsidRDefault="00A7018D" w:rsidP="00A45780">
      <w:pPr>
        <w:numPr>
          <w:ilvl w:val="0"/>
          <w:numId w:val="30"/>
        </w:numPr>
        <w:tabs>
          <w:tab w:val="left" w:pos="1134"/>
        </w:tabs>
        <w:spacing w:after="0" w:line="240" w:lineRule="auto"/>
        <w:ind w:left="1134"/>
        <w:jc w:val="both"/>
        <w:rPr>
          <w:rFonts w:ascii="Arial" w:eastAsia="Times New Roman" w:hAnsi="Arial" w:cs="Arial"/>
          <w:sz w:val="20"/>
          <w:szCs w:val="20"/>
          <w:lang w:eastAsia="en-GB"/>
        </w:rPr>
      </w:pPr>
      <w:r w:rsidRPr="00B64F95">
        <w:rPr>
          <w:rFonts w:ascii="Arial" w:eastAsia="Times New Roman" w:hAnsi="Arial" w:cs="Arial"/>
          <w:sz w:val="20"/>
          <w:szCs w:val="20"/>
          <w:lang w:eastAsia="en-GB"/>
        </w:rPr>
        <w:t xml:space="preserve">Effectiveness of the </w:t>
      </w:r>
      <w:r w:rsidR="002B76F8" w:rsidRPr="00B64F95">
        <w:rPr>
          <w:rFonts w:ascii="Arial" w:eastAsia="Times New Roman" w:hAnsi="Arial" w:cs="Arial"/>
          <w:sz w:val="20"/>
          <w:szCs w:val="20"/>
          <w:lang w:eastAsia="en-GB"/>
        </w:rPr>
        <w:t>cash flow</w:t>
      </w:r>
      <w:r w:rsidRPr="00B64F95">
        <w:rPr>
          <w:rFonts w:ascii="Arial" w:eastAsia="Times New Roman" w:hAnsi="Arial" w:cs="Arial"/>
          <w:sz w:val="20"/>
          <w:szCs w:val="20"/>
          <w:lang w:eastAsia="en-GB"/>
        </w:rPr>
        <w:t xml:space="preserve"> forecasting model</w:t>
      </w:r>
    </w:p>
    <w:p w14:paraId="4D94AACE" w14:textId="77777777" w:rsidR="00A45780" w:rsidRPr="00B64F95" w:rsidRDefault="00A45780" w:rsidP="00A45780">
      <w:pPr>
        <w:numPr>
          <w:ilvl w:val="0"/>
          <w:numId w:val="30"/>
        </w:numPr>
        <w:tabs>
          <w:tab w:val="left" w:pos="1134"/>
        </w:tabs>
        <w:spacing w:after="0" w:line="240" w:lineRule="auto"/>
        <w:ind w:left="1134"/>
        <w:jc w:val="both"/>
        <w:rPr>
          <w:rFonts w:ascii="Arial" w:eastAsia="Times New Roman" w:hAnsi="Arial" w:cs="Arial"/>
          <w:sz w:val="20"/>
          <w:szCs w:val="20"/>
          <w:lang w:eastAsia="en-GB"/>
        </w:rPr>
      </w:pPr>
      <w:r w:rsidRPr="00B64F95">
        <w:rPr>
          <w:rFonts w:ascii="Arial" w:eastAsia="Times New Roman" w:hAnsi="Arial" w:cs="Arial"/>
          <w:sz w:val="20"/>
          <w:szCs w:val="20"/>
          <w:lang w:eastAsia="en-GB"/>
        </w:rPr>
        <w:t>Actual return on investment against estimated return on investment both as a monetary value and as a percentage</w:t>
      </w:r>
    </w:p>
    <w:p w14:paraId="5B698D41" w14:textId="77777777" w:rsidR="00A45780" w:rsidRPr="00B64F95" w:rsidRDefault="00A45780" w:rsidP="00A45780">
      <w:pPr>
        <w:numPr>
          <w:ilvl w:val="0"/>
          <w:numId w:val="30"/>
        </w:numPr>
        <w:tabs>
          <w:tab w:val="left" w:pos="1134"/>
        </w:tabs>
        <w:spacing w:after="0" w:line="240" w:lineRule="auto"/>
        <w:ind w:left="1134"/>
        <w:jc w:val="both"/>
        <w:rPr>
          <w:rFonts w:ascii="Arial" w:eastAsia="Times New Roman" w:hAnsi="Arial" w:cs="Arial"/>
          <w:sz w:val="20"/>
          <w:szCs w:val="20"/>
          <w:lang w:eastAsia="en-GB"/>
        </w:rPr>
      </w:pPr>
      <w:r w:rsidRPr="00B64F95">
        <w:rPr>
          <w:rFonts w:ascii="Arial" w:eastAsia="Times New Roman" w:hAnsi="Arial" w:cs="Arial"/>
          <w:sz w:val="20"/>
          <w:szCs w:val="20"/>
          <w:lang w:eastAsia="en-GB"/>
        </w:rPr>
        <w:t xml:space="preserve">Any non-compliance with </w:t>
      </w:r>
      <w:r w:rsidR="001D11C9" w:rsidRPr="00B64F95">
        <w:rPr>
          <w:rFonts w:ascii="Arial" w:eastAsia="Times New Roman" w:hAnsi="Arial" w:cs="Arial"/>
          <w:sz w:val="20"/>
          <w:szCs w:val="20"/>
          <w:lang w:eastAsia="en-GB"/>
        </w:rPr>
        <w:t>the treasury management strategy</w:t>
      </w:r>
    </w:p>
    <w:p w14:paraId="7B5CF072" w14:textId="47F1C698" w:rsidR="001D11C9" w:rsidRPr="00B64F95" w:rsidRDefault="001D11C9" w:rsidP="00A45780">
      <w:pPr>
        <w:numPr>
          <w:ilvl w:val="0"/>
          <w:numId w:val="30"/>
        </w:numPr>
        <w:tabs>
          <w:tab w:val="left" w:pos="1134"/>
        </w:tabs>
        <w:spacing w:after="0" w:line="240" w:lineRule="auto"/>
        <w:ind w:left="1134"/>
        <w:jc w:val="both"/>
        <w:rPr>
          <w:rFonts w:ascii="Arial" w:eastAsia="Times New Roman" w:hAnsi="Arial" w:cs="Arial"/>
          <w:sz w:val="20"/>
          <w:szCs w:val="20"/>
          <w:lang w:eastAsia="en-GB"/>
        </w:rPr>
      </w:pPr>
      <w:r w:rsidRPr="00B64F95">
        <w:rPr>
          <w:rFonts w:ascii="Arial" w:eastAsia="Times New Roman" w:hAnsi="Arial" w:cs="Arial"/>
          <w:sz w:val="20"/>
          <w:szCs w:val="20"/>
          <w:lang w:eastAsia="en-GB"/>
        </w:rPr>
        <w:t xml:space="preserve">Training </w:t>
      </w:r>
      <w:r w:rsidR="00727C21" w:rsidRPr="00B64F95">
        <w:rPr>
          <w:rFonts w:ascii="Arial" w:eastAsia="Times New Roman" w:hAnsi="Arial" w:cs="Arial"/>
          <w:sz w:val="20"/>
          <w:szCs w:val="20"/>
          <w:lang w:eastAsia="en-GB"/>
        </w:rPr>
        <w:t>undertaken.</w:t>
      </w:r>
    </w:p>
    <w:p w14:paraId="44659362" w14:textId="77777777" w:rsidR="003D783E" w:rsidRDefault="003D783E" w:rsidP="009F23E2">
      <w:pPr>
        <w:jc w:val="both"/>
        <w:rPr>
          <w:rFonts w:ascii="Arial" w:hAnsi="Arial" w:cs="Arial"/>
          <w:b/>
          <w:bCs/>
          <w:sz w:val="20"/>
          <w:szCs w:val="20"/>
          <w:u w:val="single"/>
        </w:rPr>
      </w:pPr>
    </w:p>
    <w:p w14:paraId="71987B56" w14:textId="4705CBBB" w:rsidR="00291777" w:rsidRPr="00B64F95" w:rsidRDefault="00291777" w:rsidP="009F23E2">
      <w:pPr>
        <w:jc w:val="both"/>
        <w:rPr>
          <w:rFonts w:ascii="Arial" w:hAnsi="Arial" w:cs="Arial"/>
          <w:b/>
          <w:bCs/>
          <w:sz w:val="20"/>
          <w:szCs w:val="20"/>
          <w:u w:val="single"/>
        </w:rPr>
      </w:pPr>
      <w:r w:rsidRPr="00B64F95">
        <w:rPr>
          <w:rFonts w:ascii="Arial" w:hAnsi="Arial" w:cs="Arial"/>
          <w:b/>
          <w:bCs/>
          <w:sz w:val="20"/>
          <w:szCs w:val="20"/>
          <w:u w:val="single"/>
        </w:rPr>
        <w:t>Treasury Management Indicators</w:t>
      </w:r>
    </w:p>
    <w:p w14:paraId="01C09452" w14:textId="77777777" w:rsidR="00A25728" w:rsidRPr="00B64F95" w:rsidRDefault="00A25728" w:rsidP="009F23E2">
      <w:pPr>
        <w:jc w:val="both"/>
        <w:rPr>
          <w:rFonts w:ascii="Arial" w:hAnsi="Arial" w:cs="Arial"/>
          <w:bCs/>
          <w:sz w:val="20"/>
          <w:szCs w:val="20"/>
        </w:rPr>
      </w:pPr>
      <w:r w:rsidRPr="00B64F95">
        <w:rPr>
          <w:rFonts w:ascii="Arial" w:hAnsi="Arial" w:cs="Arial"/>
          <w:bCs/>
          <w:sz w:val="20"/>
          <w:szCs w:val="20"/>
        </w:rPr>
        <w:t xml:space="preserve">The </w:t>
      </w:r>
      <w:r w:rsidR="00EF2BC9" w:rsidRPr="00B64F95">
        <w:rPr>
          <w:rFonts w:ascii="Arial" w:hAnsi="Arial" w:cs="Arial"/>
          <w:bCs/>
          <w:sz w:val="20"/>
          <w:szCs w:val="20"/>
        </w:rPr>
        <w:t>PCC</w:t>
      </w:r>
      <w:r w:rsidRPr="00B64F95">
        <w:rPr>
          <w:rFonts w:ascii="Arial" w:hAnsi="Arial" w:cs="Arial"/>
          <w:bCs/>
          <w:sz w:val="20"/>
          <w:szCs w:val="20"/>
        </w:rPr>
        <w:t xml:space="preserve"> measures and manages its exposures to treasury management risks using the following </w:t>
      </w:r>
      <w:r w:rsidR="00B04814" w:rsidRPr="00B64F95">
        <w:rPr>
          <w:rFonts w:ascii="Arial" w:hAnsi="Arial" w:cs="Arial"/>
          <w:bCs/>
          <w:sz w:val="20"/>
          <w:szCs w:val="20"/>
        </w:rPr>
        <w:t xml:space="preserve">indicators. These have not changed from </w:t>
      </w:r>
      <w:r w:rsidR="0095256C" w:rsidRPr="00B64F95">
        <w:rPr>
          <w:rFonts w:ascii="Arial" w:hAnsi="Arial" w:cs="Arial"/>
          <w:bCs/>
          <w:sz w:val="20"/>
          <w:szCs w:val="20"/>
        </w:rPr>
        <w:t>previous years</w:t>
      </w:r>
      <w:r w:rsidR="00B04814" w:rsidRPr="00B64F95">
        <w:rPr>
          <w:rFonts w:ascii="Arial" w:hAnsi="Arial" w:cs="Arial"/>
          <w:bCs/>
          <w:sz w:val="20"/>
          <w:szCs w:val="20"/>
        </w:rPr>
        <w:t>.</w:t>
      </w:r>
    </w:p>
    <w:p w14:paraId="5406CDDA" w14:textId="231960F7" w:rsidR="00A25728" w:rsidRPr="00B64F95" w:rsidRDefault="0041119E" w:rsidP="009F23E2">
      <w:pPr>
        <w:jc w:val="both"/>
        <w:rPr>
          <w:rFonts w:ascii="Arial" w:hAnsi="Arial" w:cs="Arial"/>
          <w:bCs/>
          <w:sz w:val="20"/>
          <w:szCs w:val="20"/>
        </w:rPr>
      </w:pPr>
      <w:r w:rsidRPr="00B64F95">
        <w:rPr>
          <w:rFonts w:ascii="Arial" w:hAnsi="Arial" w:cs="Arial"/>
          <w:b/>
          <w:bCs/>
          <w:sz w:val="20"/>
          <w:szCs w:val="20"/>
        </w:rPr>
        <w:t xml:space="preserve">Security: </w:t>
      </w:r>
      <w:r w:rsidR="00A25728" w:rsidRPr="00B64F95">
        <w:rPr>
          <w:rFonts w:ascii="Arial" w:hAnsi="Arial" w:cs="Arial"/>
          <w:bCs/>
          <w:sz w:val="20"/>
          <w:szCs w:val="20"/>
        </w:rPr>
        <w:t xml:space="preserve">The </w:t>
      </w:r>
      <w:r w:rsidR="00EF2BC9" w:rsidRPr="00B64F95">
        <w:rPr>
          <w:rFonts w:ascii="Arial" w:hAnsi="Arial" w:cs="Arial"/>
          <w:bCs/>
          <w:sz w:val="20"/>
          <w:szCs w:val="20"/>
        </w:rPr>
        <w:t>PCC</w:t>
      </w:r>
      <w:r w:rsidR="00A25728" w:rsidRPr="00B64F95">
        <w:rPr>
          <w:rFonts w:ascii="Arial" w:hAnsi="Arial" w:cs="Arial"/>
          <w:bCs/>
          <w:sz w:val="20"/>
          <w:szCs w:val="20"/>
        </w:rPr>
        <w:t xml:space="preserve"> has adopted a voluntary measure of its exposure to credit risk by monitoring the value-weighted average </w:t>
      </w:r>
      <w:r w:rsidR="00EF2BC9" w:rsidRPr="00B64F95">
        <w:rPr>
          <w:rFonts w:ascii="Arial" w:hAnsi="Arial" w:cs="Arial"/>
          <w:bCs/>
          <w:sz w:val="20"/>
          <w:szCs w:val="20"/>
        </w:rPr>
        <w:t>credit rating</w:t>
      </w:r>
      <w:r w:rsidR="00A25728" w:rsidRPr="00B64F95">
        <w:rPr>
          <w:rFonts w:ascii="Arial" w:hAnsi="Arial" w:cs="Arial"/>
          <w:bCs/>
          <w:color w:val="AF173B"/>
          <w:sz w:val="20"/>
          <w:szCs w:val="20"/>
        </w:rPr>
        <w:t xml:space="preserve"> </w:t>
      </w:r>
      <w:r w:rsidR="00A25728" w:rsidRPr="00B64F95">
        <w:rPr>
          <w:rFonts w:ascii="Arial" w:hAnsi="Arial" w:cs="Arial"/>
          <w:bCs/>
          <w:sz w:val="20"/>
          <w:szCs w:val="20"/>
        </w:rPr>
        <w:t>of its investment portfolio</w:t>
      </w:r>
      <w:r w:rsidR="00C2703C" w:rsidRPr="00B64F95">
        <w:rPr>
          <w:rFonts w:ascii="Arial" w:hAnsi="Arial" w:cs="Arial"/>
          <w:bCs/>
          <w:sz w:val="20"/>
          <w:szCs w:val="20"/>
        </w:rPr>
        <w:t xml:space="preserve">. </w:t>
      </w:r>
      <w:r w:rsidR="0097520C" w:rsidRPr="00B64F95">
        <w:rPr>
          <w:rFonts w:ascii="Arial" w:hAnsi="Arial" w:cs="Arial"/>
          <w:bCs/>
          <w:sz w:val="20"/>
          <w:szCs w:val="20"/>
        </w:rPr>
        <w:t>This is calculated by applying a score to each investment (AAA=1, AA+=2, etc.) and taking the arithmetic average, weighted by the size of each investment.</w:t>
      </w:r>
      <w:r w:rsidR="00A955A8" w:rsidRPr="00B64F95">
        <w:rPr>
          <w:rFonts w:ascii="Arial" w:hAnsi="Arial" w:cs="Arial"/>
          <w:bCs/>
          <w:sz w:val="20"/>
          <w:szCs w:val="20"/>
        </w:rPr>
        <w:t xml:space="preserve"> Unrated investments are </w:t>
      </w:r>
      <w:r w:rsidR="00A0283A" w:rsidRPr="00B64F95">
        <w:rPr>
          <w:rFonts w:ascii="Arial" w:hAnsi="Arial" w:cs="Arial"/>
          <w:bCs/>
          <w:sz w:val="20"/>
          <w:szCs w:val="20"/>
        </w:rPr>
        <w:t>assigned a score based on their perceived risk.</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1773"/>
      </w:tblGrid>
      <w:tr w:rsidR="00A25728" w:rsidRPr="00B64F95" w14:paraId="69DF3C4A" w14:textId="77777777" w:rsidTr="00C97489">
        <w:trPr>
          <w:trHeight w:val="340"/>
        </w:trPr>
        <w:tc>
          <w:tcPr>
            <w:tcW w:w="4621" w:type="dxa"/>
            <w:vAlign w:val="center"/>
          </w:tcPr>
          <w:p w14:paraId="241409A7" w14:textId="77777777" w:rsidR="00A25728" w:rsidRPr="00B64F95" w:rsidRDefault="00A25728" w:rsidP="007C4FA7">
            <w:pPr>
              <w:spacing w:after="0"/>
              <w:jc w:val="center"/>
              <w:rPr>
                <w:rFonts w:ascii="Arial" w:eastAsia="Times New Roman" w:hAnsi="Arial" w:cs="Arial"/>
                <w:bCs/>
                <w:sz w:val="20"/>
                <w:szCs w:val="20"/>
              </w:rPr>
            </w:pPr>
          </w:p>
        </w:tc>
        <w:tc>
          <w:tcPr>
            <w:tcW w:w="1773" w:type="dxa"/>
            <w:vAlign w:val="center"/>
          </w:tcPr>
          <w:p w14:paraId="2FC313E6" w14:textId="77777777" w:rsidR="00A25728" w:rsidRPr="00B64F95" w:rsidRDefault="00A25728" w:rsidP="007C4FA7">
            <w:pPr>
              <w:spacing w:after="0"/>
              <w:jc w:val="center"/>
              <w:rPr>
                <w:rFonts w:ascii="Arial" w:eastAsia="Times New Roman" w:hAnsi="Arial" w:cs="Arial"/>
                <w:b/>
                <w:bCs/>
                <w:sz w:val="20"/>
                <w:szCs w:val="20"/>
              </w:rPr>
            </w:pPr>
            <w:r w:rsidRPr="00B64F95">
              <w:rPr>
                <w:rFonts w:ascii="Arial" w:eastAsia="Times New Roman" w:hAnsi="Arial" w:cs="Arial"/>
                <w:b/>
                <w:bCs/>
                <w:sz w:val="20"/>
                <w:szCs w:val="20"/>
              </w:rPr>
              <w:t>Target</w:t>
            </w:r>
          </w:p>
        </w:tc>
      </w:tr>
      <w:tr w:rsidR="00A25728" w:rsidRPr="00B64F95" w14:paraId="2E57881E" w14:textId="77777777" w:rsidTr="00C97489">
        <w:trPr>
          <w:trHeight w:val="340"/>
        </w:trPr>
        <w:tc>
          <w:tcPr>
            <w:tcW w:w="4621" w:type="dxa"/>
            <w:vAlign w:val="center"/>
          </w:tcPr>
          <w:p w14:paraId="3418C5A4" w14:textId="6EC79226" w:rsidR="00A25728" w:rsidRPr="00B64F95" w:rsidRDefault="00A25728" w:rsidP="004B0197">
            <w:pPr>
              <w:spacing w:after="0"/>
              <w:rPr>
                <w:rFonts w:ascii="Arial" w:eastAsia="Times New Roman" w:hAnsi="Arial" w:cs="Arial"/>
                <w:bCs/>
                <w:sz w:val="20"/>
                <w:szCs w:val="20"/>
              </w:rPr>
            </w:pPr>
            <w:r w:rsidRPr="00B64F95">
              <w:rPr>
                <w:rFonts w:ascii="Arial" w:eastAsia="Times New Roman" w:hAnsi="Arial" w:cs="Arial"/>
                <w:bCs/>
                <w:sz w:val="20"/>
                <w:szCs w:val="20"/>
              </w:rPr>
              <w:t>Portfolio average</w:t>
            </w:r>
            <w:r w:rsidR="00C97489" w:rsidRPr="00B64F95">
              <w:rPr>
                <w:rFonts w:ascii="Arial" w:eastAsia="Times New Roman" w:hAnsi="Arial" w:cs="Arial"/>
                <w:bCs/>
                <w:sz w:val="20"/>
                <w:szCs w:val="20"/>
              </w:rPr>
              <w:t xml:space="preserve"> credit</w:t>
            </w:r>
            <w:r w:rsidRPr="00B64F95">
              <w:rPr>
                <w:rFonts w:ascii="Arial" w:eastAsia="Times New Roman" w:hAnsi="Arial" w:cs="Arial"/>
                <w:bCs/>
                <w:sz w:val="20"/>
                <w:szCs w:val="20"/>
              </w:rPr>
              <w:t xml:space="preserve"> </w:t>
            </w:r>
            <w:r w:rsidR="00EF2BC9" w:rsidRPr="00B64F95">
              <w:rPr>
                <w:rFonts w:ascii="Arial" w:eastAsia="Times New Roman" w:hAnsi="Arial" w:cs="Arial"/>
                <w:bCs/>
                <w:sz w:val="20"/>
                <w:szCs w:val="20"/>
              </w:rPr>
              <w:t>rating or score</w:t>
            </w:r>
          </w:p>
        </w:tc>
        <w:tc>
          <w:tcPr>
            <w:tcW w:w="1773" w:type="dxa"/>
            <w:vAlign w:val="center"/>
          </w:tcPr>
          <w:p w14:paraId="3562E77D" w14:textId="77777777" w:rsidR="00A25728" w:rsidRPr="00B64F95" w:rsidRDefault="00804511" w:rsidP="00EF2BC9">
            <w:pPr>
              <w:spacing w:after="0"/>
              <w:jc w:val="center"/>
              <w:rPr>
                <w:rFonts w:ascii="Arial" w:eastAsia="Times New Roman" w:hAnsi="Arial" w:cs="Arial"/>
                <w:bCs/>
                <w:sz w:val="20"/>
                <w:szCs w:val="20"/>
              </w:rPr>
            </w:pPr>
            <w:r w:rsidRPr="00B64F95">
              <w:rPr>
                <w:rFonts w:ascii="Arial" w:eastAsia="Times New Roman" w:hAnsi="Arial" w:cs="Arial"/>
                <w:bCs/>
                <w:i/>
                <w:sz w:val="20"/>
                <w:szCs w:val="20"/>
              </w:rPr>
              <w:t>AA-</w:t>
            </w:r>
          </w:p>
        </w:tc>
      </w:tr>
    </w:tbl>
    <w:p w14:paraId="6F0DBB57" w14:textId="77777777" w:rsidR="007B6A25" w:rsidRPr="00B64F95" w:rsidRDefault="007B6A25" w:rsidP="009F23E2">
      <w:pPr>
        <w:jc w:val="both"/>
        <w:rPr>
          <w:rFonts w:ascii="Arial" w:eastAsia="Times New Roman" w:hAnsi="Arial" w:cs="Arial"/>
          <w:bCs/>
          <w:sz w:val="20"/>
          <w:szCs w:val="20"/>
        </w:rPr>
      </w:pPr>
    </w:p>
    <w:p w14:paraId="7CD8EDA4" w14:textId="7FCF8E69" w:rsidR="0095256C" w:rsidRPr="00B64F95" w:rsidRDefault="00A25728" w:rsidP="0095256C">
      <w:pPr>
        <w:jc w:val="both"/>
        <w:rPr>
          <w:rFonts w:ascii="Arial" w:hAnsi="Arial" w:cs="Arial"/>
          <w:bCs/>
          <w:sz w:val="20"/>
          <w:szCs w:val="20"/>
        </w:rPr>
      </w:pPr>
      <w:r w:rsidRPr="00B64F95">
        <w:rPr>
          <w:rFonts w:ascii="Arial" w:hAnsi="Arial" w:cs="Arial"/>
          <w:b/>
          <w:bCs/>
          <w:sz w:val="20"/>
          <w:szCs w:val="20"/>
        </w:rPr>
        <w:lastRenderedPageBreak/>
        <w:t>Liquidity</w:t>
      </w:r>
      <w:r w:rsidR="0041119E" w:rsidRPr="00B64F95">
        <w:rPr>
          <w:rFonts w:ascii="Arial" w:hAnsi="Arial" w:cs="Arial"/>
          <w:b/>
          <w:bCs/>
          <w:sz w:val="20"/>
          <w:szCs w:val="20"/>
        </w:rPr>
        <w:t xml:space="preserve">: </w:t>
      </w:r>
      <w:r w:rsidR="0095256C" w:rsidRPr="00B64F95">
        <w:rPr>
          <w:rFonts w:ascii="Arial" w:hAnsi="Arial" w:cs="Arial"/>
          <w:bCs/>
          <w:sz w:val="20"/>
          <w:szCs w:val="20"/>
        </w:rPr>
        <w:t>The PCC has adopted a voluntary measure of its exposure to liquidity risk by monitoring the amount it can borrow each quarter without giving prior notice.</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6"/>
        <w:gridCol w:w="1559"/>
      </w:tblGrid>
      <w:tr w:rsidR="0095256C" w:rsidRPr="00B64F95" w14:paraId="008DD516" w14:textId="77777777" w:rsidTr="00661A56">
        <w:trPr>
          <w:trHeight w:val="340"/>
        </w:trPr>
        <w:tc>
          <w:tcPr>
            <w:tcW w:w="6536" w:type="dxa"/>
            <w:vAlign w:val="center"/>
          </w:tcPr>
          <w:p w14:paraId="2921A24B" w14:textId="77777777" w:rsidR="0095256C" w:rsidRPr="00B64F95" w:rsidRDefault="0095256C" w:rsidP="00661A56">
            <w:pPr>
              <w:spacing w:after="0"/>
              <w:rPr>
                <w:rFonts w:ascii="Trebuchet MS" w:eastAsia="Times New Roman" w:hAnsi="Trebuchet MS"/>
                <w:bCs/>
                <w:sz w:val="20"/>
                <w:szCs w:val="20"/>
              </w:rPr>
            </w:pPr>
            <w:r w:rsidRPr="00B64F95">
              <w:rPr>
                <w:rFonts w:ascii="Trebuchet MS" w:eastAsia="Times New Roman" w:hAnsi="Trebuchet MS"/>
                <w:b/>
                <w:bCs/>
                <w:sz w:val="20"/>
                <w:szCs w:val="20"/>
              </w:rPr>
              <w:t>Liquidity risk indicator</w:t>
            </w:r>
          </w:p>
        </w:tc>
        <w:tc>
          <w:tcPr>
            <w:tcW w:w="1559" w:type="dxa"/>
            <w:shd w:val="clear" w:color="auto" w:fill="EEECE1" w:themeFill="background2"/>
            <w:vAlign w:val="center"/>
          </w:tcPr>
          <w:p w14:paraId="0A5BD883" w14:textId="77777777" w:rsidR="0095256C" w:rsidRPr="00B64F95" w:rsidRDefault="0095256C" w:rsidP="00661A56">
            <w:pPr>
              <w:spacing w:after="0"/>
              <w:jc w:val="center"/>
              <w:rPr>
                <w:rFonts w:ascii="Trebuchet MS" w:eastAsia="Times New Roman" w:hAnsi="Trebuchet MS"/>
                <w:b/>
                <w:bCs/>
                <w:sz w:val="20"/>
                <w:szCs w:val="20"/>
              </w:rPr>
            </w:pPr>
            <w:r w:rsidRPr="00B64F95">
              <w:rPr>
                <w:rFonts w:ascii="Trebuchet MS" w:eastAsia="Times New Roman" w:hAnsi="Trebuchet MS"/>
                <w:b/>
                <w:bCs/>
                <w:sz w:val="20"/>
                <w:szCs w:val="20"/>
              </w:rPr>
              <w:t>Target</w:t>
            </w:r>
          </w:p>
        </w:tc>
      </w:tr>
      <w:tr w:rsidR="0095256C" w:rsidRPr="00B64F95" w14:paraId="53101617" w14:textId="77777777" w:rsidTr="00661A56">
        <w:trPr>
          <w:trHeight w:val="340"/>
        </w:trPr>
        <w:tc>
          <w:tcPr>
            <w:tcW w:w="6536" w:type="dxa"/>
            <w:vAlign w:val="center"/>
          </w:tcPr>
          <w:p w14:paraId="5C346902" w14:textId="77777777" w:rsidR="0095256C" w:rsidRPr="00B64F95" w:rsidRDefault="0095256C" w:rsidP="00661A56">
            <w:pPr>
              <w:spacing w:after="0"/>
              <w:rPr>
                <w:rFonts w:ascii="Trebuchet MS" w:eastAsia="Times New Roman" w:hAnsi="Trebuchet MS"/>
                <w:bCs/>
                <w:sz w:val="20"/>
                <w:szCs w:val="20"/>
              </w:rPr>
            </w:pPr>
            <w:r w:rsidRPr="00B64F95">
              <w:rPr>
                <w:rFonts w:ascii="Trebuchet MS" w:eastAsia="Times New Roman" w:hAnsi="Trebuchet MS"/>
                <w:bCs/>
                <w:sz w:val="20"/>
                <w:szCs w:val="20"/>
              </w:rPr>
              <w:t>Total sum borrowed in past 3 months without prior notice</w:t>
            </w:r>
          </w:p>
        </w:tc>
        <w:tc>
          <w:tcPr>
            <w:tcW w:w="1559" w:type="dxa"/>
            <w:shd w:val="clear" w:color="auto" w:fill="EEECE1" w:themeFill="background2"/>
            <w:vAlign w:val="center"/>
          </w:tcPr>
          <w:p w14:paraId="61AD5E86" w14:textId="72108BC9" w:rsidR="0095256C" w:rsidRPr="00B64F95" w:rsidRDefault="0095256C" w:rsidP="00661A56">
            <w:pPr>
              <w:spacing w:after="0"/>
              <w:jc w:val="center"/>
              <w:rPr>
                <w:rFonts w:ascii="Trebuchet MS" w:eastAsia="Times New Roman" w:hAnsi="Trebuchet MS"/>
                <w:bCs/>
                <w:color w:val="AF173B"/>
                <w:sz w:val="20"/>
                <w:szCs w:val="20"/>
              </w:rPr>
            </w:pPr>
            <w:r w:rsidRPr="00B64F95">
              <w:rPr>
                <w:rFonts w:ascii="Trebuchet MS" w:hAnsi="Trebuchet MS"/>
                <w:sz w:val="20"/>
                <w:szCs w:val="20"/>
              </w:rPr>
              <w:t>£</w:t>
            </w:r>
            <w:r w:rsidR="000136F8" w:rsidRPr="00B64F95">
              <w:rPr>
                <w:rFonts w:ascii="Trebuchet MS" w:hAnsi="Trebuchet MS"/>
                <w:sz w:val="20"/>
                <w:szCs w:val="20"/>
              </w:rPr>
              <w:t>10</w:t>
            </w:r>
            <w:r w:rsidRPr="00B64F95">
              <w:rPr>
                <w:rFonts w:ascii="Trebuchet MS" w:hAnsi="Trebuchet MS"/>
                <w:sz w:val="20"/>
                <w:szCs w:val="20"/>
              </w:rPr>
              <w:t>m</w:t>
            </w:r>
          </w:p>
        </w:tc>
      </w:tr>
    </w:tbl>
    <w:p w14:paraId="6E849428" w14:textId="77777777" w:rsidR="00B04526" w:rsidRPr="00B64F95" w:rsidRDefault="00B04526" w:rsidP="00A25728">
      <w:pPr>
        <w:jc w:val="both"/>
        <w:rPr>
          <w:rFonts w:ascii="Arial" w:hAnsi="Arial" w:cs="Arial"/>
          <w:b/>
          <w:bCs/>
          <w:sz w:val="20"/>
          <w:szCs w:val="20"/>
        </w:rPr>
      </w:pPr>
    </w:p>
    <w:p w14:paraId="609C8A00" w14:textId="4A8A61DD" w:rsidR="00A25728" w:rsidRPr="00B64F95" w:rsidRDefault="00A25728" w:rsidP="00A25728">
      <w:pPr>
        <w:jc w:val="both"/>
        <w:rPr>
          <w:rFonts w:ascii="Arial" w:hAnsi="Arial" w:cs="Arial"/>
          <w:bCs/>
          <w:sz w:val="20"/>
          <w:szCs w:val="20"/>
        </w:rPr>
      </w:pPr>
      <w:r w:rsidRPr="00B64F95">
        <w:rPr>
          <w:rFonts w:ascii="Arial" w:hAnsi="Arial" w:cs="Arial"/>
          <w:b/>
          <w:bCs/>
          <w:sz w:val="20"/>
          <w:szCs w:val="20"/>
        </w:rPr>
        <w:t xml:space="preserve">Interest </w:t>
      </w:r>
      <w:r w:rsidR="001A7599" w:rsidRPr="00B64F95">
        <w:rPr>
          <w:rFonts w:ascii="Arial" w:hAnsi="Arial" w:cs="Arial"/>
          <w:b/>
          <w:bCs/>
          <w:sz w:val="20"/>
          <w:szCs w:val="20"/>
        </w:rPr>
        <w:t>r</w:t>
      </w:r>
      <w:r w:rsidRPr="00B64F95">
        <w:rPr>
          <w:rFonts w:ascii="Arial" w:hAnsi="Arial" w:cs="Arial"/>
          <w:b/>
          <w:bCs/>
          <w:sz w:val="20"/>
          <w:szCs w:val="20"/>
        </w:rPr>
        <w:t xml:space="preserve">ate </w:t>
      </w:r>
      <w:r w:rsidR="001A7599" w:rsidRPr="00B64F95">
        <w:rPr>
          <w:rFonts w:ascii="Arial" w:hAnsi="Arial" w:cs="Arial"/>
          <w:b/>
          <w:bCs/>
          <w:sz w:val="20"/>
          <w:szCs w:val="20"/>
        </w:rPr>
        <w:t>e</w:t>
      </w:r>
      <w:r w:rsidRPr="00B64F95">
        <w:rPr>
          <w:rFonts w:ascii="Arial" w:hAnsi="Arial" w:cs="Arial"/>
          <w:b/>
          <w:bCs/>
          <w:sz w:val="20"/>
          <w:szCs w:val="20"/>
        </w:rPr>
        <w:t>xposures</w:t>
      </w:r>
      <w:r w:rsidRPr="00B64F95">
        <w:rPr>
          <w:rFonts w:ascii="Arial" w:hAnsi="Arial" w:cs="Arial"/>
          <w:bCs/>
          <w:sz w:val="20"/>
          <w:szCs w:val="20"/>
        </w:rPr>
        <w:t xml:space="preserve">: This indicator is set to control the </w:t>
      </w:r>
      <w:r w:rsidR="00EF2BC9" w:rsidRPr="00B64F95">
        <w:rPr>
          <w:rFonts w:ascii="Arial" w:hAnsi="Arial" w:cs="Arial"/>
          <w:bCs/>
          <w:sz w:val="20"/>
          <w:szCs w:val="20"/>
        </w:rPr>
        <w:t>PCC</w:t>
      </w:r>
      <w:r w:rsidRPr="00B64F95">
        <w:rPr>
          <w:rFonts w:ascii="Arial" w:hAnsi="Arial" w:cs="Arial"/>
          <w:bCs/>
          <w:sz w:val="20"/>
          <w:szCs w:val="20"/>
        </w:rPr>
        <w:t>’s exposure to interest rate risk</w:t>
      </w:r>
      <w:r w:rsidR="00C2703C" w:rsidRPr="00B64F95">
        <w:rPr>
          <w:rFonts w:ascii="Arial" w:hAnsi="Arial" w:cs="Arial"/>
          <w:bCs/>
          <w:sz w:val="20"/>
          <w:szCs w:val="20"/>
        </w:rPr>
        <w:t xml:space="preserve">. </w:t>
      </w:r>
      <w:r w:rsidRPr="00B64F95">
        <w:rPr>
          <w:rFonts w:ascii="Arial" w:hAnsi="Arial" w:cs="Arial"/>
          <w:bCs/>
          <w:sz w:val="20"/>
          <w:szCs w:val="20"/>
        </w:rPr>
        <w:t xml:space="preserve">The upper limits on fixed and variable rate interest rate </w:t>
      </w:r>
      <w:r w:rsidR="001D11C9" w:rsidRPr="00B64F95">
        <w:rPr>
          <w:rFonts w:ascii="Arial" w:hAnsi="Arial" w:cs="Arial"/>
          <w:bCs/>
          <w:sz w:val="20"/>
          <w:szCs w:val="20"/>
        </w:rPr>
        <w:t>exposures</w:t>
      </w:r>
      <w:r w:rsidRPr="00B64F95">
        <w:rPr>
          <w:rFonts w:ascii="Arial" w:hAnsi="Arial" w:cs="Arial"/>
          <w:bCs/>
          <w:sz w:val="20"/>
          <w:szCs w:val="20"/>
        </w:rPr>
        <w:t xml:space="preserve"> will be:</w:t>
      </w:r>
      <w:r w:rsidR="00A7018D" w:rsidRPr="00B64F95">
        <w:rPr>
          <w:rFonts w:ascii="Arial" w:hAnsi="Arial" w:cs="Arial"/>
          <w:bCs/>
          <w:sz w:val="20"/>
          <w:szCs w:val="20"/>
        </w:rPr>
        <w:t xml:space="preserve"> </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6"/>
        <w:gridCol w:w="1559"/>
      </w:tblGrid>
      <w:tr w:rsidR="0095256C" w:rsidRPr="00B64F95" w14:paraId="3A1A1D2B" w14:textId="77777777" w:rsidTr="00661A56">
        <w:trPr>
          <w:trHeight w:val="340"/>
        </w:trPr>
        <w:tc>
          <w:tcPr>
            <w:tcW w:w="6536" w:type="dxa"/>
            <w:vAlign w:val="center"/>
          </w:tcPr>
          <w:p w14:paraId="70671E74" w14:textId="77777777" w:rsidR="0095256C" w:rsidRPr="00B64F95" w:rsidRDefault="0095256C" w:rsidP="00661A56">
            <w:pPr>
              <w:spacing w:after="0"/>
              <w:rPr>
                <w:rFonts w:ascii="Trebuchet MS" w:eastAsia="Times New Roman" w:hAnsi="Trebuchet MS"/>
                <w:bCs/>
                <w:sz w:val="20"/>
                <w:szCs w:val="20"/>
              </w:rPr>
            </w:pPr>
            <w:r w:rsidRPr="00B64F95">
              <w:rPr>
                <w:rFonts w:ascii="Trebuchet MS" w:eastAsia="Times New Roman" w:hAnsi="Trebuchet MS"/>
                <w:b/>
                <w:bCs/>
                <w:sz w:val="20"/>
                <w:szCs w:val="20"/>
              </w:rPr>
              <w:t>Interest rate risk indicator</w:t>
            </w:r>
          </w:p>
        </w:tc>
        <w:tc>
          <w:tcPr>
            <w:tcW w:w="1559" w:type="dxa"/>
            <w:shd w:val="clear" w:color="auto" w:fill="EEECE1" w:themeFill="background2"/>
            <w:vAlign w:val="center"/>
          </w:tcPr>
          <w:p w14:paraId="3F083D07" w14:textId="77777777" w:rsidR="0095256C" w:rsidRPr="00B64F95" w:rsidRDefault="0095256C" w:rsidP="00661A56">
            <w:pPr>
              <w:spacing w:after="0"/>
              <w:jc w:val="center"/>
              <w:rPr>
                <w:rFonts w:ascii="Trebuchet MS" w:eastAsia="Times New Roman" w:hAnsi="Trebuchet MS"/>
                <w:b/>
                <w:bCs/>
                <w:sz w:val="20"/>
                <w:szCs w:val="20"/>
              </w:rPr>
            </w:pPr>
            <w:r w:rsidRPr="00B64F95">
              <w:rPr>
                <w:rFonts w:ascii="Trebuchet MS" w:eastAsia="Times New Roman" w:hAnsi="Trebuchet MS"/>
                <w:b/>
                <w:bCs/>
                <w:sz w:val="20"/>
                <w:szCs w:val="20"/>
              </w:rPr>
              <w:t>Limit</w:t>
            </w:r>
          </w:p>
        </w:tc>
      </w:tr>
      <w:tr w:rsidR="0095256C" w:rsidRPr="00B64F95" w14:paraId="7953BDD2" w14:textId="77777777" w:rsidTr="00661A56">
        <w:trPr>
          <w:trHeight w:val="340"/>
        </w:trPr>
        <w:tc>
          <w:tcPr>
            <w:tcW w:w="6536" w:type="dxa"/>
            <w:vAlign w:val="center"/>
          </w:tcPr>
          <w:p w14:paraId="16DDDC7B" w14:textId="77777777" w:rsidR="0095256C" w:rsidRPr="00B64F95" w:rsidRDefault="0095256C" w:rsidP="00661A56">
            <w:pPr>
              <w:spacing w:after="0"/>
              <w:rPr>
                <w:rFonts w:ascii="Trebuchet MS" w:eastAsia="Times New Roman" w:hAnsi="Trebuchet MS"/>
                <w:bCs/>
                <w:sz w:val="20"/>
                <w:szCs w:val="20"/>
              </w:rPr>
            </w:pPr>
            <w:r w:rsidRPr="00B64F95">
              <w:rPr>
                <w:rFonts w:ascii="Trebuchet MS" w:eastAsia="Times New Roman" w:hAnsi="Trebuchet MS"/>
                <w:bCs/>
                <w:sz w:val="20"/>
                <w:szCs w:val="20"/>
              </w:rPr>
              <w:t xml:space="preserve">Upper limit on one-year revenue impact of a 1% </w:t>
            </w:r>
            <w:r w:rsidRPr="00B64F95">
              <w:rPr>
                <w:rFonts w:ascii="Trebuchet MS" w:eastAsia="Times New Roman" w:hAnsi="Trebuchet MS"/>
                <w:bCs/>
                <w:sz w:val="20"/>
                <w:szCs w:val="20"/>
                <w:u w:val="single"/>
              </w:rPr>
              <w:t>rise</w:t>
            </w:r>
            <w:r w:rsidRPr="00B64F95">
              <w:rPr>
                <w:rFonts w:ascii="Trebuchet MS" w:eastAsia="Times New Roman" w:hAnsi="Trebuchet MS"/>
                <w:bCs/>
                <w:sz w:val="20"/>
                <w:szCs w:val="20"/>
              </w:rPr>
              <w:t xml:space="preserve"> in interest rates</w:t>
            </w:r>
          </w:p>
        </w:tc>
        <w:tc>
          <w:tcPr>
            <w:tcW w:w="1559" w:type="dxa"/>
            <w:shd w:val="clear" w:color="auto" w:fill="EEECE1" w:themeFill="background2"/>
            <w:vAlign w:val="center"/>
          </w:tcPr>
          <w:p w14:paraId="586016B3" w14:textId="2258520E" w:rsidR="0095256C" w:rsidRPr="00B64F95" w:rsidRDefault="0095256C" w:rsidP="00661A56">
            <w:pPr>
              <w:spacing w:after="0"/>
              <w:jc w:val="center"/>
            </w:pPr>
            <w:r w:rsidRPr="00B64F95">
              <w:rPr>
                <w:rFonts w:ascii="Trebuchet MS" w:hAnsi="Trebuchet MS"/>
                <w:sz w:val="20"/>
                <w:szCs w:val="20"/>
              </w:rPr>
              <w:t>£</w:t>
            </w:r>
            <w:r w:rsidR="007C2B3B" w:rsidRPr="00B64F95">
              <w:rPr>
                <w:rFonts w:ascii="Trebuchet MS" w:hAnsi="Trebuchet MS"/>
                <w:sz w:val="20"/>
                <w:szCs w:val="20"/>
              </w:rPr>
              <w:t>200</w:t>
            </w:r>
            <w:r w:rsidRPr="00B64F95">
              <w:rPr>
                <w:rFonts w:ascii="Trebuchet MS" w:hAnsi="Trebuchet MS"/>
                <w:sz w:val="20"/>
                <w:szCs w:val="20"/>
              </w:rPr>
              <w:t>,000</w:t>
            </w:r>
          </w:p>
        </w:tc>
      </w:tr>
      <w:tr w:rsidR="0095256C" w:rsidRPr="00B64F95" w14:paraId="11B5251C" w14:textId="77777777" w:rsidTr="00661A56">
        <w:trPr>
          <w:trHeight w:val="340"/>
        </w:trPr>
        <w:tc>
          <w:tcPr>
            <w:tcW w:w="6536" w:type="dxa"/>
            <w:vAlign w:val="center"/>
          </w:tcPr>
          <w:p w14:paraId="1CA6179A" w14:textId="77777777" w:rsidR="0095256C" w:rsidRPr="00B64F95" w:rsidRDefault="0095256C" w:rsidP="00661A56">
            <w:pPr>
              <w:spacing w:after="0"/>
              <w:rPr>
                <w:rFonts w:ascii="Trebuchet MS" w:eastAsia="Times New Roman" w:hAnsi="Trebuchet MS"/>
                <w:bCs/>
                <w:sz w:val="20"/>
                <w:szCs w:val="20"/>
              </w:rPr>
            </w:pPr>
            <w:r w:rsidRPr="00B64F95">
              <w:rPr>
                <w:rFonts w:ascii="Trebuchet MS" w:eastAsia="Times New Roman" w:hAnsi="Trebuchet MS"/>
                <w:bCs/>
                <w:sz w:val="20"/>
                <w:szCs w:val="20"/>
              </w:rPr>
              <w:t xml:space="preserve">Upper limit on one-year revenue impact of a 1% </w:t>
            </w:r>
            <w:r w:rsidRPr="00B64F95">
              <w:rPr>
                <w:rFonts w:ascii="Trebuchet MS" w:eastAsia="Times New Roman" w:hAnsi="Trebuchet MS"/>
                <w:bCs/>
                <w:sz w:val="20"/>
                <w:szCs w:val="20"/>
                <w:u w:val="single"/>
              </w:rPr>
              <w:t>fall</w:t>
            </w:r>
            <w:r w:rsidRPr="00B64F95">
              <w:rPr>
                <w:rFonts w:ascii="Trebuchet MS" w:eastAsia="Times New Roman" w:hAnsi="Trebuchet MS"/>
                <w:bCs/>
                <w:sz w:val="20"/>
                <w:szCs w:val="20"/>
              </w:rPr>
              <w:t xml:space="preserve"> in interest rates</w:t>
            </w:r>
          </w:p>
        </w:tc>
        <w:tc>
          <w:tcPr>
            <w:tcW w:w="1559" w:type="dxa"/>
            <w:shd w:val="clear" w:color="auto" w:fill="EEECE1" w:themeFill="background2"/>
            <w:vAlign w:val="center"/>
          </w:tcPr>
          <w:p w14:paraId="2AE44198" w14:textId="3150B5E2" w:rsidR="0095256C" w:rsidRPr="00B64F95" w:rsidRDefault="0095256C" w:rsidP="00661A56">
            <w:pPr>
              <w:spacing w:after="0"/>
              <w:jc w:val="center"/>
              <w:rPr>
                <w:rFonts w:ascii="Trebuchet MS" w:hAnsi="Trebuchet MS"/>
                <w:sz w:val="20"/>
                <w:szCs w:val="20"/>
              </w:rPr>
            </w:pPr>
            <w:r w:rsidRPr="00B64F95">
              <w:rPr>
                <w:rFonts w:ascii="Trebuchet MS" w:hAnsi="Trebuchet MS"/>
                <w:sz w:val="20"/>
                <w:szCs w:val="20"/>
              </w:rPr>
              <w:t>£</w:t>
            </w:r>
            <w:r w:rsidR="007C2B3B" w:rsidRPr="00B64F95">
              <w:rPr>
                <w:rFonts w:ascii="Trebuchet MS" w:hAnsi="Trebuchet MS"/>
                <w:sz w:val="20"/>
                <w:szCs w:val="20"/>
              </w:rPr>
              <w:t>700</w:t>
            </w:r>
            <w:r w:rsidRPr="00B64F95">
              <w:rPr>
                <w:rFonts w:ascii="Trebuchet MS" w:hAnsi="Trebuchet MS"/>
                <w:sz w:val="20"/>
                <w:szCs w:val="20"/>
              </w:rPr>
              <w:t>,000</w:t>
            </w:r>
          </w:p>
        </w:tc>
      </w:tr>
    </w:tbl>
    <w:p w14:paraId="6D5D622F" w14:textId="77777777" w:rsidR="0095256C" w:rsidRPr="00B64F95" w:rsidRDefault="0095256C" w:rsidP="00A25728">
      <w:pPr>
        <w:jc w:val="both"/>
        <w:rPr>
          <w:rFonts w:ascii="Arial" w:hAnsi="Arial" w:cs="Arial"/>
          <w:bCs/>
          <w:sz w:val="20"/>
          <w:szCs w:val="20"/>
        </w:rPr>
      </w:pPr>
    </w:p>
    <w:p w14:paraId="328C9C10" w14:textId="582C75CB" w:rsidR="0095256C" w:rsidRPr="00B64F95" w:rsidRDefault="0095256C" w:rsidP="0095256C">
      <w:pPr>
        <w:jc w:val="both"/>
        <w:rPr>
          <w:rFonts w:ascii="Arial" w:hAnsi="Arial" w:cs="Arial"/>
          <w:bCs/>
          <w:sz w:val="20"/>
          <w:szCs w:val="20"/>
        </w:rPr>
      </w:pPr>
      <w:r w:rsidRPr="00B64F95">
        <w:rPr>
          <w:rFonts w:ascii="Arial" w:hAnsi="Arial" w:cs="Arial"/>
          <w:b/>
          <w:bCs/>
          <w:sz w:val="20"/>
          <w:szCs w:val="20"/>
        </w:rPr>
        <w:t>Maturity structure of borrowing:</w:t>
      </w:r>
      <w:r w:rsidRPr="00B64F95">
        <w:rPr>
          <w:rFonts w:ascii="Arial" w:hAnsi="Arial" w:cs="Arial"/>
          <w:bCs/>
          <w:sz w:val="20"/>
          <w:szCs w:val="20"/>
        </w:rPr>
        <w:t xml:space="preserve"> This indicator is set to control the </w:t>
      </w:r>
      <w:r w:rsidR="000D6762" w:rsidRPr="00B64F95">
        <w:rPr>
          <w:rFonts w:ascii="Arial" w:hAnsi="Arial" w:cs="Arial"/>
          <w:bCs/>
          <w:sz w:val="20"/>
          <w:szCs w:val="20"/>
        </w:rPr>
        <w:t>PCC</w:t>
      </w:r>
      <w:r w:rsidRPr="00B64F95">
        <w:rPr>
          <w:rFonts w:ascii="Arial" w:hAnsi="Arial" w:cs="Arial"/>
          <w:bCs/>
          <w:sz w:val="20"/>
          <w:szCs w:val="20"/>
        </w:rPr>
        <w:t>’s exposure to refinancing risk. The upper and lower limits on the maturity structure of borrowing will be:</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1737"/>
        <w:gridCol w:w="1737"/>
      </w:tblGrid>
      <w:tr w:rsidR="0095256C" w:rsidRPr="00B64F95" w14:paraId="40BF5447" w14:textId="77777777" w:rsidTr="00661A56">
        <w:trPr>
          <w:trHeight w:val="340"/>
        </w:trPr>
        <w:tc>
          <w:tcPr>
            <w:tcW w:w="4621" w:type="dxa"/>
            <w:vAlign w:val="center"/>
          </w:tcPr>
          <w:p w14:paraId="574BD65F" w14:textId="77777777" w:rsidR="0095256C" w:rsidRPr="00B64F95" w:rsidRDefault="0095256C" w:rsidP="00661A56">
            <w:pPr>
              <w:spacing w:after="0"/>
              <w:rPr>
                <w:rFonts w:ascii="Trebuchet MS" w:eastAsia="Times New Roman" w:hAnsi="Trebuchet MS"/>
                <w:bCs/>
                <w:sz w:val="20"/>
                <w:szCs w:val="20"/>
              </w:rPr>
            </w:pPr>
            <w:r w:rsidRPr="00B64F95">
              <w:rPr>
                <w:rFonts w:ascii="Trebuchet MS" w:eastAsia="Times New Roman" w:hAnsi="Trebuchet MS"/>
                <w:b/>
                <w:bCs/>
                <w:sz w:val="20"/>
                <w:szCs w:val="20"/>
              </w:rPr>
              <w:t>Refinancing rate risk indicator</w:t>
            </w:r>
          </w:p>
        </w:tc>
        <w:tc>
          <w:tcPr>
            <w:tcW w:w="1737" w:type="dxa"/>
            <w:shd w:val="clear" w:color="auto" w:fill="EEECE1" w:themeFill="background2"/>
            <w:vAlign w:val="center"/>
          </w:tcPr>
          <w:p w14:paraId="136BDC12" w14:textId="77777777" w:rsidR="0095256C" w:rsidRPr="00B64F95" w:rsidRDefault="0095256C" w:rsidP="00661A56">
            <w:pPr>
              <w:spacing w:after="0"/>
              <w:jc w:val="center"/>
              <w:rPr>
                <w:rFonts w:ascii="Trebuchet MS" w:eastAsia="Times New Roman" w:hAnsi="Trebuchet MS"/>
                <w:b/>
                <w:bCs/>
                <w:sz w:val="20"/>
                <w:szCs w:val="20"/>
              </w:rPr>
            </w:pPr>
            <w:r w:rsidRPr="00B64F95">
              <w:rPr>
                <w:rFonts w:ascii="Trebuchet MS" w:eastAsia="Times New Roman" w:hAnsi="Trebuchet MS"/>
                <w:b/>
                <w:bCs/>
                <w:sz w:val="20"/>
                <w:szCs w:val="20"/>
              </w:rPr>
              <w:t>Upper limit</w:t>
            </w:r>
          </w:p>
        </w:tc>
        <w:tc>
          <w:tcPr>
            <w:tcW w:w="1737" w:type="dxa"/>
            <w:shd w:val="clear" w:color="auto" w:fill="EEECE1" w:themeFill="background2"/>
            <w:vAlign w:val="center"/>
          </w:tcPr>
          <w:p w14:paraId="2BE6650C" w14:textId="77777777" w:rsidR="0095256C" w:rsidRPr="00B64F95" w:rsidRDefault="0095256C" w:rsidP="00661A56">
            <w:pPr>
              <w:spacing w:after="0"/>
              <w:jc w:val="center"/>
              <w:rPr>
                <w:rFonts w:ascii="Trebuchet MS" w:eastAsia="Times New Roman" w:hAnsi="Trebuchet MS"/>
                <w:b/>
                <w:bCs/>
                <w:sz w:val="20"/>
                <w:szCs w:val="20"/>
              </w:rPr>
            </w:pPr>
            <w:r w:rsidRPr="00B64F95">
              <w:rPr>
                <w:rFonts w:ascii="Trebuchet MS" w:eastAsia="Times New Roman" w:hAnsi="Trebuchet MS"/>
                <w:b/>
                <w:bCs/>
                <w:sz w:val="20"/>
                <w:szCs w:val="20"/>
              </w:rPr>
              <w:t>Lower limit</w:t>
            </w:r>
          </w:p>
        </w:tc>
      </w:tr>
      <w:tr w:rsidR="0095256C" w:rsidRPr="00B64F95" w14:paraId="3DFF34F2" w14:textId="77777777" w:rsidTr="00661A56">
        <w:trPr>
          <w:trHeight w:val="340"/>
        </w:trPr>
        <w:tc>
          <w:tcPr>
            <w:tcW w:w="4621" w:type="dxa"/>
            <w:vAlign w:val="center"/>
          </w:tcPr>
          <w:p w14:paraId="0710F63F" w14:textId="77777777" w:rsidR="0095256C" w:rsidRPr="00B64F95" w:rsidRDefault="0095256C" w:rsidP="00661A56">
            <w:pPr>
              <w:spacing w:after="0"/>
              <w:rPr>
                <w:rFonts w:ascii="Trebuchet MS" w:eastAsia="Times New Roman" w:hAnsi="Trebuchet MS"/>
                <w:bCs/>
                <w:sz w:val="20"/>
                <w:szCs w:val="20"/>
              </w:rPr>
            </w:pPr>
            <w:r w:rsidRPr="00B64F95">
              <w:rPr>
                <w:rFonts w:ascii="Trebuchet MS" w:eastAsia="Times New Roman" w:hAnsi="Trebuchet MS"/>
                <w:bCs/>
                <w:sz w:val="20"/>
                <w:szCs w:val="20"/>
              </w:rPr>
              <w:t>Under 12 months</w:t>
            </w:r>
          </w:p>
        </w:tc>
        <w:tc>
          <w:tcPr>
            <w:tcW w:w="1737" w:type="dxa"/>
            <w:shd w:val="clear" w:color="auto" w:fill="EEECE1" w:themeFill="background2"/>
            <w:vAlign w:val="center"/>
          </w:tcPr>
          <w:p w14:paraId="30C3892F" w14:textId="005E6DEE" w:rsidR="0095256C" w:rsidRPr="00B64F95" w:rsidRDefault="00661A56" w:rsidP="00661A56">
            <w:pPr>
              <w:spacing w:after="0"/>
              <w:jc w:val="center"/>
            </w:pPr>
            <w:r w:rsidRPr="00B64F95">
              <w:rPr>
                <w:rFonts w:ascii="Trebuchet MS" w:hAnsi="Trebuchet MS"/>
                <w:sz w:val="20"/>
                <w:szCs w:val="20"/>
              </w:rPr>
              <w:t>100</w:t>
            </w:r>
            <w:r w:rsidR="0095256C" w:rsidRPr="00B64F95">
              <w:rPr>
                <w:rFonts w:ascii="Trebuchet MS" w:hAnsi="Trebuchet MS"/>
                <w:sz w:val="20"/>
                <w:szCs w:val="20"/>
              </w:rPr>
              <w:t>%</w:t>
            </w:r>
          </w:p>
        </w:tc>
        <w:tc>
          <w:tcPr>
            <w:tcW w:w="1737" w:type="dxa"/>
            <w:shd w:val="clear" w:color="auto" w:fill="EEECE1" w:themeFill="background2"/>
            <w:vAlign w:val="center"/>
          </w:tcPr>
          <w:p w14:paraId="58728FB0" w14:textId="41ABFA3C" w:rsidR="0095256C" w:rsidRPr="00B64F95" w:rsidRDefault="00661A56" w:rsidP="00661A56">
            <w:pPr>
              <w:spacing w:after="0"/>
              <w:jc w:val="center"/>
            </w:pPr>
            <w:r w:rsidRPr="00B64F95">
              <w:rPr>
                <w:rFonts w:ascii="Trebuchet MS" w:hAnsi="Trebuchet MS"/>
                <w:sz w:val="20"/>
                <w:szCs w:val="20"/>
              </w:rPr>
              <w:t>0</w:t>
            </w:r>
            <w:r w:rsidR="0095256C" w:rsidRPr="00B64F95">
              <w:rPr>
                <w:rFonts w:ascii="Trebuchet MS" w:hAnsi="Trebuchet MS"/>
                <w:sz w:val="20"/>
                <w:szCs w:val="20"/>
              </w:rPr>
              <w:t>%</w:t>
            </w:r>
          </w:p>
        </w:tc>
      </w:tr>
      <w:tr w:rsidR="00661A56" w:rsidRPr="00B64F95" w14:paraId="5F87B862" w14:textId="77777777" w:rsidTr="00661A56">
        <w:trPr>
          <w:trHeight w:val="340"/>
        </w:trPr>
        <w:tc>
          <w:tcPr>
            <w:tcW w:w="4621" w:type="dxa"/>
            <w:vAlign w:val="center"/>
          </w:tcPr>
          <w:p w14:paraId="029EF1DF" w14:textId="77777777" w:rsidR="00661A56" w:rsidRPr="00B64F95" w:rsidRDefault="00661A56" w:rsidP="00661A56">
            <w:pPr>
              <w:spacing w:after="0"/>
              <w:rPr>
                <w:rFonts w:ascii="Trebuchet MS" w:eastAsia="Times New Roman" w:hAnsi="Trebuchet MS"/>
                <w:bCs/>
                <w:sz w:val="20"/>
                <w:szCs w:val="20"/>
              </w:rPr>
            </w:pPr>
            <w:r w:rsidRPr="00B64F95">
              <w:rPr>
                <w:rFonts w:ascii="Trebuchet MS" w:eastAsia="Times New Roman" w:hAnsi="Trebuchet MS"/>
                <w:bCs/>
                <w:sz w:val="20"/>
                <w:szCs w:val="20"/>
              </w:rPr>
              <w:t>12 months and within 24 months</w:t>
            </w:r>
          </w:p>
        </w:tc>
        <w:tc>
          <w:tcPr>
            <w:tcW w:w="1737" w:type="dxa"/>
            <w:shd w:val="clear" w:color="auto" w:fill="EEECE1" w:themeFill="background2"/>
            <w:vAlign w:val="center"/>
          </w:tcPr>
          <w:p w14:paraId="26B1B634" w14:textId="3C52E0E3" w:rsidR="00661A56" w:rsidRPr="00B64F95" w:rsidRDefault="00661A56" w:rsidP="00661A56">
            <w:pPr>
              <w:spacing w:after="0"/>
              <w:jc w:val="center"/>
            </w:pPr>
            <w:r w:rsidRPr="00B64F95">
              <w:rPr>
                <w:rFonts w:ascii="Trebuchet MS" w:hAnsi="Trebuchet MS"/>
                <w:sz w:val="20"/>
                <w:szCs w:val="20"/>
              </w:rPr>
              <w:t>100%</w:t>
            </w:r>
          </w:p>
        </w:tc>
        <w:tc>
          <w:tcPr>
            <w:tcW w:w="1737" w:type="dxa"/>
            <w:shd w:val="clear" w:color="auto" w:fill="EEECE1" w:themeFill="background2"/>
            <w:vAlign w:val="center"/>
          </w:tcPr>
          <w:p w14:paraId="0AA7B998" w14:textId="1C8AC7C0" w:rsidR="00661A56" w:rsidRPr="00B64F95" w:rsidRDefault="00661A56" w:rsidP="00661A56">
            <w:pPr>
              <w:spacing w:after="0"/>
              <w:jc w:val="center"/>
            </w:pPr>
            <w:r w:rsidRPr="00B64F95">
              <w:rPr>
                <w:rFonts w:ascii="Trebuchet MS" w:hAnsi="Trebuchet MS"/>
                <w:sz w:val="20"/>
                <w:szCs w:val="20"/>
              </w:rPr>
              <w:t>0%</w:t>
            </w:r>
          </w:p>
        </w:tc>
      </w:tr>
      <w:tr w:rsidR="00661A56" w:rsidRPr="00B64F95" w14:paraId="35EFD3B1" w14:textId="77777777" w:rsidTr="00661A56">
        <w:trPr>
          <w:trHeight w:val="340"/>
        </w:trPr>
        <w:tc>
          <w:tcPr>
            <w:tcW w:w="4621" w:type="dxa"/>
            <w:vAlign w:val="center"/>
          </w:tcPr>
          <w:p w14:paraId="74B98255" w14:textId="77777777" w:rsidR="00661A56" w:rsidRPr="00B64F95" w:rsidRDefault="00661A56" w:rsidP="00661A56">
            <w:pPr>
              <w:spacing w:after="0"/>
              <w:rPr>
                <w:rFonts w:ascii="Trebuchet MS" w:eastAsia="Times New Roman" w:hAnsi="Trebuchet MS"/>
                <w:bCs/>
                <w:sz w:val="20"/>
                <w:szCs w:val="20"/>
              </w:rPr>
            </w:pPr>
            <w:r w:rsidRPr="00B64F95">
              <w:rPr>
                <w:rFonts w:ascii="Trebuchet MS" w:eastAsia="Times New Roman" w:hAnsi="Trebuchet MS"/>
                <w:bCs/>
                <w:sz w:val="20"/>
                <w:szCs w:val="20"/>
              </w:rPr>
              <w:t>24 months and within 5 years</w:t>
            </w:r>
          </w:p>
        </w:tc>
        <w:tc>
          <w:tcPr>
            <w:tcW w:w="1737" w:type="dxa"/>
            <w:shd w:val="clear" w:color="auto" w:fill="EEECE1" w:themeFill="background2"/>
            <w:vAlign w:val="center"/>
          </w:tcPr>
          <w:p w14:paraId="0BC9E4F4" w14:textId="7C700387" w:rsidR="00661A56" w:rsidRPr="00B64F95" w:rsidRDefault="00661A56" w:rsidP="00661A56">
            <w:pPr>
              <w:spacing w:after="0"/>
              <w:jc w:val="center"/>
            </w:pPr>
            <w:r w:rsidRPr="00B64F95">
              <w:rPr>
                <w:rFonts w:ascii="Trebuchet MS" w:hAnsi="Trebuchet MS"/>
                <w:sz w:val="20"/>
                <w:szCs w:val="20"/>
              </w:rPr>
              <w:t>100%</w:t>
            </w:r>
          </w:p>
        </w:tc>
        <w:tc>
          <w:tcPr>
            <w:tcW w:w="1737" w:type="dxa"/>
            <w:shd w:val="clear" w:color="auto" w:fill="EEECE1" w:themeFill="background2"/>
            <w:vAlign w:val="center"/>
          </w:tcPr>
          <w:p w14:paraId="5B6111AC" w14:textId="04E9711B" w:rsidR="00661A56" w:rsidRPr="00B64F95" w:rsidRDefault="00661A56" w:rsidP="00661A56">
            <w:pPr>
              <w:spacing w:after="0"/>
              <w:jc w:val="center"/>
            </w:pPr>
            <w:r w:rsidRPr="00B64F95">
              <w:rPr>
                <w:rFonts w:ascii="Trebuchet MS" w:hAnsi="Trebuchet MS"/>
                <w:sz w:val="20"/>
                <w:szCs w:val="20"/>
              </w:rPr>
              <w:t>0%</w:t>
            </w:r>
          </w:p>
        </w:tc>
      </w:tr>
      <w:tr w:rsidR="00661A56" w:rsidRPr="00B64F95" w14:paraId="73FED6D2" w14:textId="77777777" w:rsidTr="00661A56">
        <w:trPr>
          <w:trHeight w:val="340"/>
        </w:trPr>
        <w:tc>
          <w:tcPr>
            <w:tcW w:w="4621" w:type="dxa"/>
            <w:vAlign w:val="center"/>
          </w:tcPr>
          <w:p w14:paraId="4C990FD5" w14:textId="77777777" w:rsidR="00661A56" w:rsidRPr="00B64F95" w:rsidRDefault="00661A56" w:rsidP="00661A56">
            <w:pPr>
              <w:spacing w:after="0"/>
              <w:rPr>
                <w:rFonts w:ascii="Trebuchet MS" w:eastAsia="Times New Roman" w:hAnsi="Trebuchet MS"/>
                <w:bCs/>
                <w:sz w:val="20"/>
                <w:szCs w:val="20"/>
              </w:rPr>
            </w:pPr>
            <w:r w:rsidRPr="00B64F95">
              <w:rPr>
                <w:rFonts w:ascii="Trebuchet MS" w:eastAsia="Times New Roman" w:hAnsi="Trebuchet MS"/>
                <w:bCs/>
                <w:sz w:val="20"/>
                <w:szCs w:val="20"/>
              </w:rPr>
              <w:t>5 years and within 10 years</w:t>
            </w:r>
          </w:p>
        </w:tc>
        <w:tc>
          <w:tcPr>
            <w:tcW w:w="1737" w:type="dxa"/>
            <w:shd w:val="clear" w:color="auto" w:fill="EEECE1" w:themeFill="background2"/>
            <w:vAlign w:val="center"/>
          </w:tcPr>
          <w:p w14:paraId="270132C0" w14:textId="71E9FF69" w:rsidR="00661A56" w:rsidRPr="00B64F95" w:rsidRDefault="00661A56" w:rsidP="00661A56">
            <w:pPr>
              <w:spacing w:after="0"/>
              <w:jc w:val="center"/>
            </w:pPr>
            <w:r w:rsidRPr="00B64F95">
              <w:rPr>
                <w:rFonts w:ascii="Trebuchet MS" w:hAnsi="Trebuchet MS"/>
                <w:sz w:val="20"/>
                <w:szCs w:val="20"/>
              </w:rPr>
              <w:t>100%</w:t>
            </w:r>
          </w:p>
        </w:tc>
        <w:tc>
          <w:tcPr>
            <w:tcW w:w="1737" w:type="dxa"/>
            <w:shd w:val="clear" w:color="auto" w:fill="EEECE1" w:themeFill="background2"/>
            <w:vAlign w:val="center"/>
          </w:tcPr>
          <w:p w14:paraId="7404B774" w14:textId="281BD15C" w:rsidR="00661A56" w:rsidRPr="00B64F95" w:rsidRDefault="00661A56" w:rsidP="00661A56">
            <w:pPr>
              <w:spacing w:after="0"/>
              <w:jc w:val="center"/>
            </w:pPr>
            <w:r w:rsidRPr="00B64F95">
              <w:rPr>
                <w:rFonts w:ascii="Trebuchet MS" w:hAnsi="Trebuchet MS"/>
                <w:sz w:val="20"/>
                <w:szCs w:val="20"/>
              </w:rPr>
              <w:t>0%</w:t>
            </w:r>
          </w:p>
        </w:tc>
      </w:tr>
      <w:tr w:rsidR="00661A56" w:rsidRPr="00B64F95" w14:paraId="1D3CD28F" w14:textId="77777777" w:rsidTr="00661A56">
        <w:trPr>
          <w:trHeight w:val="340"/>
        </w:trPr>
        <w:tc>
          <w:tcPr>
            <w:tcW w:w="4621" w:type="dxa"/>
            <w:vAlign w:val="center"/>
          </w:tcPr>
          <w:p w14:paraId="128435E5" w14:textId="77777777" w:rsidR="00661A56" w:rsidRPr="00B64F95" w:rsidRDefault="00661A56" w:rsidP="00661A56">
            <w:pPr>
              <w:spacing w:after="0"/>
              <w:rPr>
                <w:rFonts w:ascii="Trebuchet MS" w:eastAsia="Times New Roman" w:hAnsi="Trebuchet MS"/>
                <w:bCs/>
                <w:sz w:val="20"/>
                <w:szCs w:val="20"/>
              </w:rPr>
            </w:pPr>
            <w:r w:rsidRPr="00B64F95">
              <w:rPr>
                <w:rFonts w:ascii="Trebuchet MS" w:eastAsia="Times New Roman" w:hAnsi="Trebuchet MS"/>
                <w:bCs/>
                <w:sz w:val="20"/>
                <w:szCs w:val="20"/>
              </w:rPr>
              <w:t>10 years and above</w:t>
            </w:r>
          </w:p>
          <w:p w14:paraId="7514528D" w14:textId="4E3B8EFD" w:rsidR="00661A56" w:rsidRPr="00B64F95" w:rsidRDefault="00661A56" w:rsidP="00661A56">
            <w:pPr>
              <w:spacing w:after="0"/>
              <w:rPr>
                <w:rFonts w:ascii="Trebuchet MS" w:eastAsia="Times New Roman" w:hAnsi="Trebuchet MS"/>
                <w:bCs/>
                <w:i/>
                <w:color w:val="AF173B"/>
                <w:sz w:val="20"/>
                <w:szCs w:val="20"/>
              </w:rPr>
            </w:pPr>
          </w:p>
        </w:tc>
        <w:tc>
          <w:tcPr>
            <w:tcW w:w="1737" w:type="dxa"/>
            <w:shd w:val="clear" w:color="auto" w:fill="EEECE1" w:themeFill="background2"/>
            <w:vAlign w:val="center"/>
          </w:tcPr>
          <w:p w14:paraId="27AFEC8D" w14:textId="5A6A4056" w:rsidR="00661A56" w:rsidRPr="00B64F95" w:rsidRDefault="00661A56" w:rsidP="00661A56">
            <w:pPr>
              <w:spacing w:after="0"/>
              <w:jc w:val="center"/>
            </w:pPr>
            <w:r w:rsidRPr="00B64F95">
              <w:rPr>
                <w:rFonts w:ascii="Trebuchet MS" w:hAnsi="Trebuchet MS"/>
                <w:sz w:val="20"/>
                <w:szCs w:val="20"/>
              </w:rPr>
              <w:t>100%</w:t>
            </w:r>
          </w:p>
        </w:tc>
        <w:tc>
          <w:tcPr>
            <w:tcW w:w="1737" w:type="dxa"/>
            <w:shd w:val="clear" w:color="auto" w:fill="EEECE1" w:themeFill="background2"/>
            <w:vAlign w:val="center"/>
          </w:tcPr>
          <w:p w14:paraId="2312A47B" w14:textId="7731BD1F" w:rsidR="00661A56" w:rsidRPr="00B64F95" w:rsidRDefault="00661A56" w:rsidP="00661A56">
            <w:pPr>
              <w:spacing w:after="0"/>
              <w:jc w:val="center"/>
            </w:pPr>
            <w:r w:rsidRPr="00B64F95">
              <w:rPr>
                <w:rFonts w:ascii="Trebuchet MS" w:hAnsi="Trebuchet MS"/>
                <w:sz w:val="20"/>
                <w:szCs w:val="20"/>
              </w:rPr>
              <w:t>0%</w:t>
            </w:r>
          </w:p>
        </w:tc>
      </w:tr>
    </w:tbl>
    <w:p w14:paraId="4166838D" w14:textId="77777777" w:rsidR="0095256C" w:rsidRPr="00B64F95" w:rsidRDefault="0095256C" w:rsidP="0095256C">
      <w:pPr>
        <w:jc w:val="both"/>
        <w:rPr>
          <w:rFonts w:ascii="Trebuchet MS" w:hAnsi="Trebuchet MS"/>
          <w:bCs/>
          <w:sz w:val="20"/>
          <w:szCs w:val="20"/>
        </w:rPr>
      </w:pPr>
    </w:p>
    <w:p w14:paraId="14D19CA1" w14:textId="55B16A99" w:rsidR="008E5093" w:rsidRPr="00B64F95" w:rsidRDefault="0095256C" w:rsidP="009F23E2">
      <w:pPr>
        <w:jc w:val="both"/>
        <w:rPr>
          <w:rFonts w:ascii="Arial" w:hAnsi="Arial" w:cs="Arial"/>
          <w:bCs/>
          <w:sz w:val="20"/>
          <w:szCs w:val="20"/>
        </w:rPr>
      </w:pPr>
      <w:r w:rsidRPr="00B64F95">
        <w:rPr>
          <w:rFonts w:ascii="Arial" w:hAnsi="Arial" w:cs="Arial"/>
          <w:bCs/>
          <w:sz w:val="20"/>
          <w:szCs w:val="20"/>
        </w:rPr>
        <w:t>Time periods start on the first day of each financial year. The maturity date of borrowing is the earliest date on which the lender can demand repayment.</w:t>
      </w:r>
    </w:p>
    <w:p w14:paraId="12534CF2" w14:textId="03C1E8B3" w:rsidR="00661A56" w:rsidRPr="00B64F95" w:rsidRDefault="00661A56" w:rsidP="009F23E2">
      <w:pPr>
        <w:jc w:val="both"/>
        <w:rPr>
          <w:rFonts w:ascii="Arial" w:hAnsi="Arial" w:cs="Arial"/>
          <w:bCs/>
          <w:sz w:val="20"/>
          <w:szCs w:val="20"/>
        </w:rPr>
      </w:pPr>
      <w:r w:rsidRPr="00B64F95">
        <w:rPr>
          <w:rFonts w:ascii="Arial" w:hAnsi="Arial" w:cs="Arial"/>
          <w:bCs/>
          <w:sz w:val="20"/>
          <w:szCs w:val="20"/>
        </w:rPr>
        <w:t xml:space="preserve">As the PCC </w:t>
      </w:r>
      <w:r w:rsidR="00BB0A9D" w:rsidRPr="00B64F95">
        <w:rPr>
          <w:rFonts w:ascii="Arial" w:hAnsi="Arial" w:cs="Arial"/>
          <w:bCs/>
          <w:sz w:val="20"/>
          <w:szCs w:val="20"/>
        </w:rPr>
        <w:t xml:space="preserve">will </w:t>
      </w:r>
      <w:r w:rsidRPr="00B64F95">
        <w:rPr>
          <w:rFonts w:ascii="Arial" w:hAnsi="Arial" w:cs="Arial"/>
          <w:bCs/>
          <w:sz w:val="20"/>
          <w:szCs w:val="20"/>
        </w:rPr>
        <w:t>need to borrow, these limits have been set to give the PCC full flexibility to structure borrowing in the most appropriate way</w:t>
      </w:r>
      <w:r w:rsidR="00A33985" w:rsidRPr="00B64F95">
        <w:rPr>
          <w:rFonts w:ascii="Arial" w:hAnsi="Arial" w:cs="Arial"/>
          <w:bCs/>
          <w:sz w:val="20"/>
          <w:szCs w:val="20"/>
        </w:rPr>
        <w:t>.</w:t>
      </w:r>
      <w:r w:rsidRPr="00B64F95">
        <w:rPr>
          <w:rFonts w:ascii="Arial" w:hAnsi="Arial" w:cs="Arial"/>
          <w:bCs/>
          <w:sz w:val="20"/>
          <w:szCs w:val="20"/>
        </w:rPr>
        <w:t xml:space="preserve"> </w:t>
      </w:r>
    </w:p>
    <w:p w14:paraId="48728F40" w14:textId="743186FA" w:rsidR="0041119E" w:rsidRPr="00B64F95" w:rsidRDefault="00A63498" w:rsidP="0041119E">
      <w:pPr>
        <w:jc w:val="both"/>
        <w:rPr>
          <w:rFonts w:ascii="Arial" w:hAnsi="Arial" w:cs="Arial"/>
          <w:bCs/>
          <w:sz w:val="20"/>
          <w:szCs w:val="20"/>
        </w:rPr>
      </w:pPr>
      <w:r w:rsidRPr="00B64F95">
        <w:rPr>
          <w:rFonts w:ascii="Arial" w:hAnsi="Arial" w:cs="Arial"/>
          <w:b/>
          <w:bCs/>
          <w:sz w:val="20"/>
          <w:szCs w:val="20"/>
        </w:rPr>
        <w:t xml:space="preserve">Principal </w:t>
      </w:r>
      <w:r w:rsidR="001A7599" w:rsidRPr="00B64F95">
        <w:rPr>
          <w:rFonts w:ascii="Arial" w:hAnsi="Arial" w:cs="Arial"/>
          <w:b/>
          <w:bCs/>
          <w:sz w:val="20"/>
          <w:szCs w:val="20"/>
        </w:rPr>
        <w:t>s</w:t>
      </w:r>
      <w:r w:rsidR="0041119E" w:rsidRPr="00B64F95">
        <w:rPr>
          <w:rFonts w:ascii="Arial" w:hAnsi="Arial" w:cs="Arial"/>
          <w:b/>
          <w:bCs/>
          <w:sz w:val="20"/>
          <w:szCs w:val="20"/>
        </w:rPr>
        <w:t xml:space="preserve">ums </w:t>
      </w:r>
      <w:r w:rsidR="001A7599" w:rsidRPr="00B64F95">
        <w:rPr>
          <w:rFonts w:ascii="Arial" w:hAnsi="Arial" w:cs="Arial"/>
          <w:b/>
          <w:bCs/>
          <w:sz w:val="20"/>
          <w:szCs w:val="20"/>
        </w:rPr>
        <w:t>i</w:t>
      </w:r>
      <w:r w:rsidR="0041119E" w:rsidRPr="00B64F95">
        <w:rPr>
          <w:rFonts w:ascii="Arial" w:hAnsi="Arial" w:cs="Arial"/>
          <w:b/>
          <w:bCs/>
          <w:sz w:val="20"/>
          <w:szCs w:val="20"/>
        </w:rPr>
        <w:t xml:space="preserve">nvested for </w:t>
      </w:r>
      <w:r w:rsidR="001A7599" w:rsidRPr="00B64F95">
        <w:rPr>
          <w:rFonts w:ascii="Arial" w:hAnsi="Arial" w:cs="Arial"/>
          <w:b/>
          <w:bCs/>
          <w:sz w:val="20"/>
          <w:szCs w:val="20"/>
        </w:rPr>
        <w:t>p</w:t>
      </w:r>
      <w:r w:rsidR="0041119E" w:rsidRPr="00B64F95">
        <w:rPr>
          <w:rFonts w:ascii="Arial" w:hAnsi="Arial" w:cs="Arial"/>
          <w:b/>
          <w:bCs/>
          <w:sz w:val="20"/>
          <w:szCs w:val="20"/>
        </w:rPr>
        <w:t xml:space="preserve">eriods </w:t>
      </w:r>
      <w:r w:rsidR="001A7599" w:rsidRPr="00B64F95">
        <w:rPr>
          <w:rFonts w:ascii="Arial" w:hAnsi="Arial" w:cs="Arial"/>
          <w:b/>
          <w:bCs/>
          <w:sz w:val="20"/>
          <w:szCs w:val="20"/>
        </w:rPr>
        <w:t>l</w:t>
      </w:r>
      <w:r w:rsidR="0041119E" w:rsidRPr="00B64F95">
        <w:rPr>
          <w:rFonts w:ascii="Arial" w:hAnsi="Arial" w:cs="Arial"/>
          <w:b/>
          <w:bCs/>
          <w:sz w:val="20"/>
          <w:szCs w:val="20"/>
        </w:rPr>
        <w:t>onger than 364 days</w:t>
      </w:r>
      <w:r w:rsidRPr="00B64F95">
        <w:rPr>
          <w:rFonts w:ascii="Arial" w:hAnsi="Arial" w:cs="Arial"/>
          <w:b/>
          <w:bCs/>
          <w:sz w:val="20"/>
          <w:szCs w:val="20"/>
        </w:rPr>
        <w:t>:</w:t>
      </w:r>
      <w:r w:rsidRPr="00B64F95">
        <w:rPr>
          <w:rFonts w:ascii="Arial" w:hAnsi="Arial" w:cs="Arial"/>
          <w:bCs/>
          <w:sz w:val="20"/>
          <w:szCs w:val="20"/>
        </w:rPr>
        <w:t xml:space="preserve"> </w:t>
      </w:r>
      <w:r w:rsidR="0041119E" w:rsidRPr="00B64F95">
        <w:rPr>
          <w:rFonts w:ascii="Arial" w:hAnsi="Arial" w:cs="Arial"/>
          <w:bCs/>
          <w:sz w:val="20"/>
          <w:szCs w:val="20"/>
        </w:rPr>
        <w:t xml:space="preserve">The purpose of this indicator is to control the </w:t>
      </w:r>
      <w:r w:rsidR="000D6762" w:rsidRPr="00B64F95">
        <w:rPr>
          <w:rFonts w:ascii="Arial" w:hAnsi="Arial" w:cs="Arial"/>
          <w:bCs/>
          <w:sz w:val="20"/>
          <w:szCs w:val="20"/>
        </w:rPr>
        <w:t>PCC</w:t>
      </w:r>
      <w:r w:rsidR="0041119E" w:rsidRPr="00B64F95">
        <w:rPr>
          <w:rFonts w:ascii="Arial" w:hAnsi="Arial" w:cs="Arial"/>
          <w:bCs/>
          <w:sz w:val="20"/>
          <w:szCs w:val="20"/>
        </w:rPr>
        <w:t>’s exposure to the risk of incurring losses by seeking early repayment of its investments</w:t>
      </w:r>
      <w:r w:rsidR="00EF0CCF" w:rsidRPr="00B64F95">
        <w:rPr>
          <w:rFonts w:ascii="Arial" w:hAnsi="Arial" w:cs="Arial"/>
          <w:bCs/>
          <w:sz w:val="20"/>
          <w:szCs w:val="20"/>
        </w:rPr>
        <w:t xml:space="preserve">. </w:t>
      </w:r>
      <w:r w:rsidR="0041119E" w:rsidRPr="00B64F95">
        <w:rPr>
          <w:rFonts w:ascii="Arial" w:hAnsi="Arial" w:cs="Arial"/>
          <w:bCs/>
          <w:sz w:val="20"/>
          <w:szCs w:val="20"/>
        </w:rPr>
        <w:t xml:space="preserve">The limits on the </w:t>
      </w:r>
      <w:r w:rsidR="009B53E7" w:rsidRPr="00B64F95">
        <w:rPr>
          <w:rFonts w:ascii="Arial" w:hAnsi="Arial" w:cs="Arial"/>
          <w:bCs/>
          <w:sz w:val="20"/>
          <w:szCs w:val="20"/>
        </w:rPr>
        <w:t>long-term</w:t>
      </w:r>
      <w:r w:rsidR="0041119E" w:rsidRPr="00B64F95">
        <w:rPr>
          <w:rFonts w:ascii="Arial" w:hAnsi="Arial" w:cs="Arial"/>
          <w:bCs/>
          <w:sz w:val="20"/>
          <w:szCs w:val="20"/>
        </w:rPr>
        <w:t xml:space="preserve"> principal sum invested to final maturities beyond the period end will be:</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1157"/>
        <w:gridCol w:w="1157"/>
        <w:gridCol w:w="1157"/>
      </w:tblGrid>
      <w:tr w:rsidR="00FD47FB" w:rsidRPr="00B64F95" w14:paraId="55FE6B59" w14:textId="77777777" w:rsidTr="007C4FA7">
        <w:trPr>
          <w:trHeight w:val="340"/>
        </w:trPr>
        <w:tc>
          <w:tcPr>
            <w:tcW w:w="4621" w:type="dxa"/>
            <w:vAlign w:val="center"/>
          </w:tcPr>
          <w:p w14:paraId="6DEE5E04" w14:textId="77777777" w:rsidR="00FD47FB" w:rsidRPr="00B64F95" w:rsidRDefault="00FD47FB" w:rsidP="00FD47FB">
            <w:pPr>
              <w:spacing w:after="0"/>
              <w:jc w:val="center"/>
              <w:rPr>
                <w:rFonts w:ascii="Arial" w:eastAsia="Times New Roman" w:hAnsi="Arial" w:cs="Arial"/>
                <w:bCs/>
                <w:sz w:val="20"/>
                <w:szCs w:val="20"/>
              </w:rPr>
            </w:pPr>
          </w:p>
        </w:tc>
        <w:tc>
          <w:tcPr>
            <w:tcW w:w="1157" w:type="dxa"/>
            <w:vAlign w:val="center"/>
          </w:tcPr>
          <w:p w14:paraId="6C99C280" w14:textId="0062F8A9" w:rsidR="00FD47FB" w:rsidRPr="00B64F95" w:rsidRDefault="00FD47FB" w:rsidP="00FD47FB">
            <w:pPr>
              <w:spacing w:after="0"/>
              <w:jc w:val="center"/>
              <w:rPr>
                <w:rFonts w:ascii="Arial" w:eastAsia="Times New Roman" w:hAnsi="Arial" w:cs="Arial"/>
                <w:b/>
                <w:bCs/>
                <w:sz w:val="20"/>
                <w:szCs w:val="20"/>
              </w:rPr>
            </w:pPr>
            <w:r w:rsidRPr="00B64F95">
              <w:rPr>
                <w:rFonts w:ascii="Arial" w:eastAsia="Times New Roman" w:hAnsi="Arial" w:cs="Arial"/>
                <w:b/>
                <w:bCs/>
                <w:sz w:val="20"/>
                <w:szCs w:val="20"/>
              </w:rPr>
              <w:t>202</w:t>
            </w:r>
            <w:r w:rsidR="00B03441">
              <w:rPr>
                <w:rFonts w:ascii="Arial" w:eastAsia="Times New Roman" w:hAnsi="Arial" w:cs="Arial"/>
                <w:b/>
                <w:bCs/>
                <w:sz w:val="20"/>
                <w:szCs w:val="20"/>
              </w:rPr>
              <w:t>6</w:t>
            </w:r>
            <w:r w:rsidRPr="00B64F95">
              <w:rPr>
                <w:rFonts w:ascii="Arial" w:eastAsia="Times New Roman" w:hAnsi="Arial" w:cs="Arial"/>
                <w:b/>
                <w:bCs/>
                <w:sz w:val="20"/>
                <w:szCs w:val="20"/>
              </w:rPr>
              <w:t>/2</w:t>
            </w:r>
            <w:r w:rsidR="00B03441">
              <w:rPr>
                <w:rFonts w:ascii="Arial" w:eastAsia="Times New Roman" w:hAnsi="Arial" w:cs="Arial"/>
                <w:b/>
                <w:bCs/>
                <w:sz w:val="20"/>
                <w:szCs w:val="20"/>
              </w:rPr>
              <w:t>7</w:t>
            </w:r>
          </w:p>
        </w:tc>
        <w:tc>
          <w:tcPr>
            <w:tcW w:w="1157" w:type="dxa"/>
            <w:vAlign w:val="center"/>
          </w:tcPr>
          <w:p w14:paraId="61C79CDD" w14:textId="2D29FB8B" w:rsidR="00FD47FB" w:rsidRPr="00B64F95" w:rsidRDefault="00FD47FB" w:rsidP="00FD47FB">
            <w:pPr>
              <w:spacing w:after="0"/>
              <w:jc w:val="center"/>
              <w:rPr>
                <w:rFonts w:ascii="Arial" w:eastAsia="Times New Roman" w:hAnsi="Arial" w:cs="Arial"/>
                <w:b/>
                <w:bCs/>
                <w:sz w:val="20"/>
                <w:szCs w:val="20"/>
              </w:rPr>
            </w:pPr>
            <w:r w:rsidRPr="00B64F95">
              <w:rPr>
                <w:rFonts w:ascii="Arial" w:eastAsia="Times New Roman" w:hAnsi="Arial" w:cs="Arial"/>
                <w:b/>
                <w:bCs/>
                <w:sz w:val="20"/>
                <w:szCs w:val="20"/>
              </w:rPr>
              <w:t>202</w:t>
            </w:r>
            <w:r w:rsidR="00B03441">
              <w:rPr>
                <w:rFonts w:ascii="Arial" w:eastAsia="Times New Roman" w:hAnsi="Arial" w:cs="Arial"/>
                <w:b/>
                <w:bCs/>
                <w:sz w:val="20"/>
                <w:szCs w:val="20"/>
              </w:rPr>
              <w:t>7</w:t>
            </w:r>
            <w:r w:rsidRPr="00B64F95">
              <w:rPr>
                <w:rFonts w:ascii="Arial" w:eastAsia="Times New Roman" w:hAnsi="Arial" w:cs="Arial"/>
                <w:b/>
                <w:bCs/>
                <w:sz w:val="20"/>
                <w:szCs w:val="20"/>
              </w:rPr>
              <w:t>/2</w:t>
            </w:r>
            <w:r w:rsidR="00B03441">
              <w:rPr>
                <w:rFonts w:ascii="Arial" w:eastAsia="Times New Roman" w:hAnsi="Arial" w:cs="Arial"/>
                <w:b/>
                <w:bCs/>
                <w:sz w:val="20"/>
                <w:szCs w:val="20"/>
              </w:rPr>
              <w:t>8</w:t>
            </w:r>
          </w:p>
        </w:tc>
        <w:tc>
          <w:tcPr>
            <w:tcW w:w="1157" w:type="dxa"/>
            <w:vAlign w:val="center"/>
          </w:tcPr>
          <w:p w14:paraId="41D9A792" w14:textId="2FBA85C4" w:rsidR="00FD47FB" w:rsidRPr="00B64F95" w:rsidRDefault="00FD47FB" w:rsidP="00FD47FB">
            <w:pPr>
              <w:spacing w:after="0"/>
              <w:jc w:val="center"/>
              <w:rPr>
                <w:rFonts w:ascii="Arial" w:eastAsia="Times New Roman" w:hAnsi="Arial" w:cs="Arial"/>
                <w:b/>
                <w:bCs/>
                <w:sz w:val="20"/>
                <w:szCs w:val="20"/>
              </w:rPr>
            </w:pPr>
            <w:r w:rsidRPr="00B64F95">
              <w:rPr>
                <w:rFonts w:ascii="Arial" w:eastAsia="Times New Roman" w:hAnsi="Arial" w:cs="Arial"/>
                <w:b/>
                <w:bCs/>
                <w:sz w:val="20"/>
                <w:szCs w:val="20"/>
              </w:rPr>
              <w:t>202</w:t>
            </w:r>
            <w:r w:rsidR="00B03441">
              <w:rPr>
                <w:rFonts w:ascii="Arial" w:eastAsia="Times New Roman" w:hAnsi="Arial" w:cs="Arial"/>
                <w:b/>
                <w:bCs/>
                <w:sz w:val="20"/>
                <w:szCs w:val="20"/>
              </w:rPr>
              <w:t>8</w:t>
            </w:r>
            <w:r w:rsidR="00C33049" w:rsidRPr="00B64F95">
              <w:rPr>
                <w:rFonts w:ascii="Arial" w:eastAsia="Times New Roman" w:hAnsi="Arial" w:cs="Arial"/>
                <w:b/>
                <w:bCs/>
                <w:sz w:val="20"/>
                <w:szCs w:val="20"/>
              </w:rPr>
              <w:t>/2</w:t>
            </w:r>
            <w:r w:rsidR="00B03441">
              <w:rPr>
                <w:rFonts w:ascii="Arial" w:eastAsia="Times New Roman" w:hAnsi="Arial" w:cs="Arial"/>
                <w:b/>
                <w:bCs/>
                <w:sz w:val="20"/>
                <w:szCs w:val="20"/>
              </w:rPr>
              <w:t>9</w:t>
            </w:r>
          </w:p>
        </w:tc>
      </w:tr>
      <w:tr w:rsidR="00A63498" w:rsidRPr="00B64F95" w14:paraId="51C8967A" w14:textId="77777777" w:rsidTr="007C4FA7">
        <w:trPr>
          <w:trHeight w:val="340"/>
        </w:trPr>
        <w:tc>
          <w:tcPr>
            <w:tcW w:w="4621" w:type="dxa"/>
            <w:vAlign w:val="center"/>
          </w:tcPr>
          <w:p w14:paraId="1C6910F9" w14:textId="77777777" w:rsidR="00A63498" w:rsidRPr="00B64F95" w:rsidRDefault="00A63498" w:rsidP="007C4FA7">
            <w:pPr>
              <w:spacing w:after="0"/>
              <w:rPr>
                <w:rFonts w:ascii="Arial" w:eastAsia="Times New Roman" w:hAnsi="Arial" w:cs="Arial"/>
                <w:bCs/>
                <w:sz w:val="20"/>
                <w:szCs w:val="20"/>
              </w:rPr>
            </w:pPr>
            <w:r w:rsidRPr="00B64F95">
              <w:rPr>
                <w:rFonts w:ascii="Arial" w:eastAsia="Times New Roman" w:hAnsi="Arial" w:cs="Arial"/>
                <w:bCs/>
                <w:sz w:val="20"/>
                <w:szCs w:val="20"/>
              </w:rPr>
              <w:t>Limit on principal invested beyond year end</w:t>
            </w:r>
          </w:p>
        </w:tc>
        <w:tc>
          <w:tcPr>
            <w:tcW w:w="1157" w:type="dxa"/>
            <w:vAlign w:val="center"/>
          </w:tcPr>
          <w:p w14:paraId="05BCD98E" w14:textId="55BBE4CC" w:rsidR="00A63498" w:rsidRPr="00B64F95" w:rsidRDefault="00243E06" w:rsidP="009E60C5">
            <w:pPr>
              <w:spacing w:after="0"/>
              <w:jc w:val="center"/>
              <w:rPr>
                <w:rFonts w:ascii="Arial" w:eastAsia="Times New Roman" w:hAnsi="Arial" w:cs="Arial"/>
                <w:bCs/>
                <w:sz w:val="20"/>
                <w:szCs w:val="20"/>
              </w:rPr>
            </w:pPr>
            <w:r w:rsidRPr="00B64F95">
              <w:rPr>
                <w:rFonts w:ascii="Arial" w:hAnsi="Arial" w:cs="Arial"/>
                <w:sz w:val="20"/>
                <w:szCs w:val="20"/>
              </w:rPr>
              <w:t>£</w:t>
            </w:r>
            <w:r w:rsidR="00A05867" w:rsidRPr="00B64F95">
              <w:rPr>
                <w:rFonts w:ascii="Arial" w:hAnsi="Arial" w:cs="Arial"/>
                <w:sz w:val="20"/>
                <w:szCs w:val="20"/>
              </w:rPr>
              <w:t>10</w:t>
            </w:r>
            <w:r w:rsidRPr="00B64F95">
              <w:rPr>
                <w:rFonts w:ascii="Arial" w:hAnsi="Arial" w:cs="Arial"/>
                <w:sz w:val="20"/>
                <w:szCs w:val="20"/>
              </w:rPr>
              <w:t>m</w:t>
            </w:r>
          </w:p>
        </w:tc>
        <w:tc>
          <w:tcPr>
            <w:tcW w:w="1157" w:type="dxa"/>
            <w:vAlign w:val="center"/>
          </w:tcPr>
          <w:p w14:paraId="38F2DFCC" w14:textId="17A2BAEC" w:rsidR="00A63498" w:rsidRPr="00B64F95" w:rsidRDefault="00243E06" w:rsidP="009E60C5">
            <w:pPr>
              <w:spacing w:after="0"/>
              <w:jc w:val="center"/>
              <w:rPr>
                <w:rFonts w:ascii="Arial" w:eastAsia="Times New Roman" w:hAnsi="Arial" w:cs="Arial"/>
                <w:bCs/>
                <w:sz w:val="20"/>
                <w:szCs w:val="20"/>
              </w:rPr>
            </w:pPr>
            <w:r w:rsidRPr="00B64F95">
              <w:rPr>
                <w:rFonts w:ascii="Arial" w:hAnsi="Arial" w:cs="Arial"/>
                <w:sz w:val="20"/>
                <w:szCs w:val="20"/>
              </w:rPr>
              <w:t>£</w:t>
            </w:r>
            <w:r w:rsidR="00FD5BAA" w:rsidRPr="00B64F95">
              <w:rPr>
                <w:rFonts w:ascii="Arial" w:hAnsi="Arial" w:cs="Arial"/>
                <w:sz w:val="20"/>
                <w:szCs w:val="20"/>
              </w:rPr>
              <w:t>8</w:t>
            </w:r>
            <w:r w:rsidRPr="00B64F95">
              <w:rPr>
                <w:rFonts w:ascii="Arial" w:hAnsi="Arial" w:cs="Arial"/>
                <w:sz w:val="20"/>
                <w:szCs w:val="20"/>
              </w:rPr>
              <w:t>m</w:t>
            </w:r>
          </w:p>
        </w:tc>
        <w:tc>
          <w:tcPr>
            <w:tcW w:w="1157" w:type="dxa"/>
            <w:vAlign w:val="center"/>
          </w:tcPr>
          <w:p w14:paraId="58806C53" w14:textId="53E6B695" w:rsidR="00A63498" w:rsidRPr="00B64F95" w:rsidRDefault="00243E06" w:rsidP="009E60C5">
            <w:pPr>
              <w:spacing w:after="0"/>
              <w:jc w:val="center"/>
              <w:rPr>
                <w:rFonts w:ascii="Arial" w:eastAsia="Times New Roman" w:hAnsi="Arial" w:cs="Arial"/>
                <w:bCs/>
                <w:sz w:val="20"/>
                <w:szCs w:val="20"/>
              </w:rPr>
            </w:pPr>
            <w:r w:rsidRPr="00B64F95">
              <w:rPr>
                <w:rFonts w:ascii="Arial" w:hAnsi="Arial" w:cs="Arial"/>
                <w:sz w:val="20"/>
                <w:szCs w:val="20"/>
              </w:rPr>
              <w:t>£</w:t>
            </w:r>
            <w:r w:rsidR="00FD5BAA" w:rsidRPr="00B64F95">
              <w:rPr>
                <w:rFonts w:ascii="Arial" w:hAnsi="Arial" w:cs="Arial"/>
                <w:sz w:val="20"/>
                <w:szCs w:val="20"/>
              </w:rPr>
              <w:t>6</w:t>
            </w:r>
            <w:r w:rsidRPr="00B64F95">
              <w:rPr>
                <w:rFonts w:ascii="Arial" w:hAnsi="Arial" w:cs="Arial"/>
                <w:sz w:val="20"/>
                <w:szCs w:val="20"/>
              </w:rPr>
              <w:t>m</w:t>
            </w:r>
          </w:p>
        </w:tc>
      </w:tr>
    </w:tbl>
    <w:p w14:paraId="4E17B932" w14:textId="77777777" w:rsidR="00374278" w:rsidRPr="00B64F95" w:rsidRDefault="00374278" w:rsidP="009F23E2">
      <w:pPr>
        <w:jc w:val="both"/>
        <w:rPr>
          <w:rFonts w:ascii="Arial" w:hAnsi="Arial" w:cs="Arial"/>
          <w:b/>
          <w:bCs/>
          <w:sz w:val="20"/>
          <w:szCs w:val="20"/>
          <w:u w:val="single"/>
        </w:rPr>
      </w:pPr>
    </w:p>
    <w:p w14:paraId="4A374740" w14:textId="77777777" w:rsidR="006C6631" w:rsidRPr="00B64F95" w:rsidRDefault="006C6631" w:rsidP="009F23E2">
      <w:pPr>
        <w:jc w:val="both"/>
        <w:rPr>
          <w:rFonts w:ascii="Arial" w:hAnsi="Arial" w:cs="Arial"/>
          <w:b/>
          <w:bCs/>
          <w:sz w:val="20"/>
          <w:szCs w:val="20"/>
          <w:u w:val="single"/>
        </w:rPr>
      </w:pPr>
      <w:r w:rsidRPr="00B64F95">
        <w:rPr>
          <w:rFonts w:ascii="Arial" w:hAnsi="Arial" w:cs="Arial"/>
          <w:b/>
          <w:bCs/>
          <w:sz w:val="20"/>
          <w:szCs w:val="20"/>
          <w:u w:val="single"/>
        </w:rPr>
        <w:t>Benchmarking</w:t>
      </w:r>
    </w:p>
    <w:p w14:paraId="45B5362B" w14:textId="12C494F8" w:rsidR="006C6631" w:rsidRPr="00B64F95" w:rsidRDefault="006268F7" w:rsidP="009F23E2">
      <w:pPr>
        <w:jc w:val="both"/>
        <w:rPr>
          <w:rFonts w:ascii="Arial" w:hAnsi="Arial" w:cs="Arial"/>
          <w:bCs/>
          <w:sz w:val="20"/>
          <w:szCs w:val="20"/>
        </w:rPr>
      </w:pPr>
      <w:r>
        <w:rPr>
          <w:rFonts w:ascii="Arial" w:hAnsi="Arial" w:cs="Arial"/>
          <w:bCs/>
          <w:sz w:val="20"/>
          <w:szCs w:val="20"/>
        </w:rPr>
        <w:t>Where possible a</w:t>
      </w:r>
      <w:r w:rsidR="006C6631" w:rsidRPr="00B64F95">
        <w:rPr>
          <w:rFonts w:ascii="Arial" w:hAnsi="Arial" w:cs="Arial"/>
          <w:bCs/>
          <w:sz w:val="20"/>
          <w:szCs w:val="20"/>
        </w:rPr>
        <w:t xml:space="preserve">longside the above indicators the PCC will benchmark performance </w:t>
      </w:r>
      <w:r>
        <w:rPr>
          <w:rFonts w:ascii="Arial" w:hAnsi="Arial" w:cs="Arial"/>
          <w:bCs/>
          <w:sz w:val="20"/>
          <w:szCs w:val="20"/>
        </w:rPr>
        <w:t>against other PCCs and local authorities</w:t>
      </w:r>
      <w:r w:rsidR="006C6631" w:rsidRPr="00B64F95">
        <w:rPr>
          <w:rFonts w:ascii="Arial" w:hAnsi="Arial" w:cs="Arial"/>
          <w:bCs/>
          <w:sz w:val="20"/>
          <w:szCs w:val="20"/>
        </w:rPr>
        <w:t>. Benchmarking information will be provided as part of the perfor</w:t>
      </w:r>
      <w:r w:rsidR="00180F40" w:rsidRPr="00B64F95">
        <w:rPr>
          <w:rFonts w:ascii="Arial" w:hAnsi="Arial" w:cs="Arial"/>
          <w:bCs/>
          <w:sz w:val="20"/>
          <w:szCs w:val="20"/>
        </w:rPr>
        <w:t>mance update reports to the JAC.</w:t>
      </w:r>
    </w:p>
    <w:p w14:paraId="53EBFA3E" w14:textId="77777777" w:rsidR="008F749A" w:rsidRPr="00B64F95" w:rsidRDefault="00291777" w:rsidP="009F23E2">
      <w:pPr>
        <w:jc w:val="both"/>
        <w:rPr>
          <w:rFonts w:ascii="Arial" w:hAnsi="Arial" w:cs="Arial"/>
          <w:b/>
          <w:bCs/>
          <w:sz w:val="20"/>
          <w:szCs w:val="20"/>
          <w:u w:val="single"/>
        </w:rPr>
      </w:pPr>
      <w:r w:rsidRPr="00B64F95">
        <w:rPr>
          <w:rFonts w:ascii="Arial" w:hAnsi="Arial" w:cs="Arial"/>
          <w:b/>
          <w:bCs/>
          <w:sz w:val="20"/>
          <w:szCs w:val="20"/>
          <w:u w:val="single"/>
        </w:rPr>
        <w:t>Other Items</w:t>
      </w:r>
    </w:p>
    <w:p w14:paraId="1EEC0893" w14:textId="747DAD80" w:rsidR="00291777" w:rsidRPr="00B64F95" w:rsidRDefault="00291777" w:rsidP="009F23E2">
      <w:pPr>
        <w:jc w:val="both"/>
        <w:rPr>
          <w:rFonts w:ascii="Arial" w:hAnsi="Arial" w:cs="Arial"/>
          <w:bCs/>
          <w:sz w:val="20"/>
          <w:szCs w:val="20"/>
        </w:rPr>
      </w:pPr>
      <w:r w:rsidRPr="00B64F95">
        <w:rPr>
          <w:rFonts w:ascii="Arial" w:hAnsi="Arial" w:cs="Arial"/>
          <w:bCs/>
          <w:sz w:val="20"/>
          <w:szCs w:val="20"/>
        </w:rPr>
        <w:t xml:space="preserve">There are a number of additional items that the </w:t>
      </w:r>
      <w:r w:rsidR="00DD3374" w:rsidRPr="00B64F95">
        <w:rPr>
          <w:rFonts w:ascii="Arial" w:hAnsi="Arial" w:cs="Arial"/>
          <w:bCs/>
          <w:sz w:val="20"/>
          <w:szCs w:val="20"/>
        </w:rPr>
        <w:t>PCC</w:t>
      </w:r>
      <w:r w:rsidRPr="00B64F95">
        <w:rPr>
          <w:rFonts w:ascii="Arial" w:hAnsi="Arial" w:cs="Arial"/>
          <w:bCs/>
          <w:sz w:val="20"/>
          <w:szCs w:val="20"/>
        </w:rPr>
        <w:t xml:space="preserve"> is obliged by CIPFA to include in its T</w:t>
      </w:r>
      <w:r w:rsidR="0035203E" w:rsidRPr="00B64F95">
        <w:rPr>
          <w:rFonts w:ascii="Arial" w:hAnsi="Arial" w:cs="Arial"/>
          <w:bCs/>
          <w:sz w:val="20"/>
          <w:szCs w:val="20"/>
        </w:rPr>
        <w:t>MSS</w:t>
      </w:r>
      <w:r w:rsidRPr="00B64F95">
        <w:rPr>
          <w:rFonts w:ascii="Arial" w:hAnsi="Arial" w:cs="Arial"/>
          <w:bCs/>
          <w:sz w:val="20"/>
          <w:szCs w:val="20"/>
        </w:rPr>
        <w:t>.</w:t>
      </w:r>
    </w:p>
    <w:p w14:paraId="6011A007" w14:textId="461F5EE4" w:rsidR="00D930E0" w:rsidRPr="00B64F95" w:rsidRDefault="00F34982" w:rsidP="00A200B2">
      <w:pPr>
        <w:pStyle w:val="ListParagraph"/>
        <w:ind w:left="0"/>
        <w:contextualSpacing w:val="0"/>
        <w:jc w:val="both"/>
        <w:rPr>
          <w:rFonts w:ascii="Arial" w:hAnsi="Arial" w:cs="Arial"/>
          <w:bCs/>
          <w:sz w:val="20"/>
          <w:szCs w:val="20"/>
        </w:rPr>
      </w:pPr>
      <w:r>
        <w:rPr>
          <w:rFonts w:ascii="Arial" w:hAnsi="Arial" w:cs="Arial"/>
          <w:b/>
          <w:sz w:val="20"/>
          <w:szCs w:val="20"/>
        </w:rPr>
        <w:lastRenderedPageBreak/>
        <w:t>F</w:t>
      </w:r>
      <w:r w:rsidR="00F57541" w:rsidRPr="00B64F95">
        <w:rPr>
          <w:rFonts w:ascii="Arial" w:hAnsi="Arial" w:cs="Arial"/>
          <w:b/>
          <w:sz w:val="20"/>
          <w:szCs w:val="20"/>
        </w:rPr>
        <w:t xml:space="preserve">inancial </w:t>
      </w:r>
      <w:r>
        <w:rPr>
          <w:rFonts w:ascii="Arial" w:hAnsi="Arial" w:cs="Arial"/>
          <w:b/>
          <w:sz w:val="20"/>
          <w:szCs w:val="20"/>
        </w:rPr>
        <w:t>D</w:t>
      </w:r>
      <w:r w:rsidR="00F57541" w:rsidRPr="00B64F95">
        <w:rPr>
          <w:rFonts w:ascii="Arial" w:hAnsi="Arial" w:cs="Arial"/>
          <w:b/>
          <w:sz w:val="20"/>
          <w:szCs w:val="20"/>
        </w:rPr>
        <w:t>erivatives</w:t>
      </w:r>
      <w:r w:rsidR="004B4BFE" w:rsidRPr="00B64F95">
        <w:rPr>
          <w:rFonts w:ascii="Arial" w:hAnsi="Arial" w:cs="Arial"/>
          <w:b/>
          <w:sz w:val="20"/>
          <w:szCs w:val="20"/>
        </w:rPr>
        <w:t>:</w:t>
      </w:r>
      <w:r w:rsidR="00F57541" w:rsidRPr="00B64F95">
        <w:rPr>
          <w:rFonts w:ascii="Arial" w:hAnsi="Arial" w:cs="Arial"/>
          <w:b/>
          <w:sz w:val="20"/>
          <w:szCs w:val="20"/>
        </w:rPr>
        <w:t xml:space="preserve"> </w:t>
      </w:r>
      <w:r w:rsidR="00F57541" w:rsidRPr="00B64F95">
        <w:rPr>
          <w:rFonts w:ascii="Arial" w:hAnsi="Arial" w:cs="Arial"/>
          <w:bCs/>
          <w:sz w:val="20"/>
          <w:szCs w:val="20"/>
        </w:rPr>
        <w:t xml:space="preserve">In the absence of any </w:t>
      </w:r>
      <w:r w:rsidR="00C50D93" w:rsidRPr="00B64F95">
        <w:rPr>
          <w:rFonts w:ascii="Arial" w:hAnsi="Arial" w:cs="Arial"/>
          <w:bCs/>
          <w:sz w:val="20"/>
          <w:szCs w:val="20"/>
        </w:rPr>
        <w:t xml:space="preserve">explicit </w:t>
      </w:r>
      <w:r w:rsidR="00F57541" w:rsidRPr="00B64F95">
        <w:rPr>
          <w:rFonts w:ascii="Arial" w:hAnsi="Arial" w:cs="Arial"/>
          <w:bCs/>
          <w:sz w:val="20"/>
          <w:szCs w:val="20"/>
        </w:rPr>
        <w:t xml:space="preserve">legal power to do so, the </w:t>
      </w:r>
      <w:r w:rsidR="009E60C5" w:rsidRPr="00B64F95">
        <w:rPr>
          <w:rFonts w:ascii="Arial" w:hAnsi="Arial" w:cs="Arial"/>
          <w:bCs/>
          <w:sz w:val="20"/>
          <w:szCs w:val="20"/>
        </w:rPr>
        <w:t>PCC</w:t>
      </w:r>
      <w:r w:rsidR="00F57541" w:rsidRPr="00B64F95">
        <w:rPr>
          <w:rFonts w:ascii="Arial" w:hAnsi="Arial" w:cs="Arial"/>
          <w:bCs/>
          <w:sz w:val="20"/>
          <w:szCs w:val="20"/>
        </w:rPr>
        <w:t xml:space="preserve"> will not use standalone financial derivatives (such as swaps, forwards, </w:t>
      </w:r>
      <w:r w:rsidR="00EF0CCF" w:rsidRPr="00B64F95">
        <w:rPr>
          <w:rFonts w:ascii="Arial" w:hAnsi="Arial" w:cs="Arial"/>
          <w:bCs/>
          <w:sz w:val="20"/>
          <w:szCs w:val="20"/>
        </w:rPr>
        <w:t>futures,</w:t>
      </w:r>
      <w:r w:rsidR="00F57541" w:rsidRPr="00B64F95">
        <w:rPr>
          <w:rFonts w:ascii="Arial" w:hAnsi="Arial" w:cs="Arial"/>
          <w:bCs/>
          <w:sz w:val="20"/>
          <w:szCs w:val="20"/>
        </w:rPr>
        <w:t xml:space="preserve"> and options)</w:t>
      </w:r>
      <w:r w:rsidR="00EF0CCF" w:rsidRPr="00B64F95">
        <w:rPr>
          <w:rFonts w:ascii="Arial" w:hAnsi="Arial" w:cs="Arial"/>
          <w:bCs/>
          <w:sz w:val="20"/>
          <w:szCs w:val="20"/>
        </w:rPr>
        <w:t xml:space="preserve">. </w:t>
      </w:r>
      <w:r w:rsidR="00F57541" w:rsidRPr="00B64F95">
        <w:rPr>
          <w:rFonts w:ascii="Arial" w:hAnsi="Arial" w:cs="Arial"/>
          <w:bCs/>
          <w:sz w:val="20"/>
          <w:szCs w:val="20"/>
        </w:rPr>
        <w:t>Derivatives embedded into loans and investments</w:t>
      </w:r>
      <w:r w:rsidR="00421F9E" w:rsidRPr="00B64F95">
        <w:rPr>
          <w:rFonts w:ascii="Arial" w:hAnsi="Arial" w:cs="Arial"/>
          <w:bCs/>
          <w:sz w:val="20"/>
          <w:szCs w:val="20"/>
        </w:rPr>
        <w:t>, including pooled funds</w:t>
      </w:r>
      <w:r w:rsidR="00A0283A" w:rsidRPr="00B64F95">
        <w:rPr>
          <w:rFonts w:ascii="Arial" w:hAnsi="Arial" w:cs="Arial"/>
          <w:bCs/>
          <w:sz w:val="20"/>
          <w:szCs w:val="20"/>
        </w:rPr>
        <w:t xml:space="preserve"> and forward starting transactions</w:t>
      </w:r>
      <w:r w:rsidR="00421F9E" w:rsidRPr="00B64F95">
        <w:rPr>
          <w:rFonts w:ascii="Arial" w:hAnsi="Arial" w:cs="Arial"/>
          <w:bCs/>
          <w:sz w:val="20"/>
          <w:szCs w:val="20"/>
        </w:rPr>
        <w:t>,</w:t>
      </w:r>
      <w:r w:rsidR="00F57541" w:rsidRPr="00B64F95">
        <w:rPr>
          <w:rFonts w:ascii="Arial" w:hAnsi="Arial" w:cs="Arial"/>
          <w:bCs/>
          <w:sz w:val="20"/>
          <w:szCs w:val="20"/>
        </w:rPr>
        <w:t xml:space="preserve"> may be used, and the risks that they present will be managed in line with the overall tre</w:t>
      </w:r>
      <w:r w:rsidR="00A200B2" w:rsidRPr="00B64F95">
        <w:rPr>
          <w:rFonts w:ascii="Arial" w:hAnsi="Arial" w:cs="Arial"/>
          <w:bCs/>
          <w:sz w:val="20"/>
          <w:szCs w:val="20"/>
        </w:rPr>
        <w:t>asury risk management strategy.</w:t>
      </w:r>
    </w:p>
    <w:p w14:paraId="1F352854" w14:textId="5048A0FE" w:rsidR="00753DAA" w:rsidRPr="00B64F95" w:rsidRDefault="001A7599" w:rsidP="00753DAA">
      <w:pPr>
        <w:jc w:val="both"/>
        <w:rPr>
          <w:rFonts w:ascii="Arial" w:hAnsi="Arial" w:cs="Arial"/>
          <w:bCs/>
          <w:sz w:val="20"/>
          <w:szCs w:val="20"/>
        </w:rPr>
      </w:pPr>
      <w:r w:rsidRPr="00B64F95">
        <w:rPr>
          <w:rFonts w:ascii="Arial" w:hAnsi="Arial" w:cs="Arial"/>
          <w:b/>
          <w:bCs/>
          <w:sz w:val="20"/>
          <w:szCs w:val="20"/>
        </w:rPr>
        <w:t>Investment of money borrowed in advance of n</w:t>
      </w:r>
      <w:r w:rsidR="009F0773" w:rsidRPr="00B64F95">
        <w:rPr>
          <w:rFonts w:ascii="Arial" w:hAnsi="Arial" w:cs="Arial"/>
          <w:b/>
          <w:bCs/>
          <w:sz w:val="20"/>
          <w:szCs w:val="20"/>
        </w:rPr>
        <w:t>eed</w:t>
      </w:r>
      <w:r w:rsidR="009F0773" w:rsidRPr="00B64F95">
        <w:rPr>
          <w:rFonts w:ascii="Arial" w:hAnsi="Arial" w:cs="Arial"/>
          <w:bCs/>
          <w:sz w:val="20"/>
          <w:szCs w:val="20"/>
        </w:rPr>
        <w:t xml:space="preserve">: </w:t>
      </w:r>
      <w:r w:rsidR="00753DAA" w:rsidRPr="00B64F95">
        <w:rPr>
          <w:rFonts w:ascii="Arial" w:hAnsi="Arial" w:cs="Arial"/>
          <w:bCs/>
          <w:sz w:val="20"/>
          <w:szCs w:val="20"/>
        </w:rPr>
        <w:t xml:space="preserve">The </w:t>
      </w:r>
      <w:r w:rsidR="00021429" w:rsidRPr="00B64F95">
        <w:rPr>
          <w:rFonts w:ascii="Arial" w:hAnsi="Arial" w:cs="Arial"/>
          <w:bCs/>
          <w:sz w:val="20"/>
          <w:szCs w:val="20"/>
        </w:rPr>
        <w:t>PCC ma</w:t>
      </w:r>
      <w:r w:rsidR="00753DAA" w:rsidRPr="00B64F95">
        <w:rPr>
          <w:rFonts w:ascii="Arial" w:hAnsi="Arial" w:cs="Arial"/>
          <w:bCs/>
          <w:sz w:val="20"/>
          <w:szCs w:val="20"/>
        </w:rPr>
        <w:t xml:space="preserve">y, from time to time, borrow in advance of need, where this is expected to provide the best </w:t>
      </w:r>
      <w:r w:rsidR="007009C4" w:rsidRPr="00B64F95">
        <w:rPr>
          <w:rFonts w:ascii="Arial" w:hAnsi="Arial" w:cs="Arial"/>
          <w:bCs/>
          <w:sz w:val="20"/>
          <w:szCs w:val="20"/>
        </w:rPr>
        <w:t>long-term</w:t>
      </w:r>
      <w:r w:rsidR="00753DAA" w:rsidRPr="00B64F95">
        <w:rPr>
          <w:rFonts w:ascii="Arial" w:hAnsi="Arial" w:cs="Arial"/>
          <w:bCs/>
          <w:sz w:val="20"/>
          <w:szCs w:val="20"/>
        </w:rPr>
        <w:t xml:space="preserve"> value for money</w:t>
      </w:r>
      <w:r w:rsidR="00EF0CCF" w:rsidRPr="00B64F95">
        <w:rPr>
          <w:rFonts w:ascii="Arial" w:hAnsi="Arial" w:cs="Arial"/>
          <w:bCs/>
          <w:sz w:val="20"/>
          <w:szCs w:val="20"/>
        </w:rPr>
        <w:t xml:space="preserve">. </w:t>
      </w:r>
      <w:r w:rsidR="00753DAA" w:rsidRPr="00B64F95">
        <w:rPr>
          <w:rFonts w:ascii="Arial" w:hAnsi="Arial" w:cs="Arial"/>
          <w:bCs/>
          <w:sz w:val="20"/>
          <w:szCs w:val="20"/>
        </w:rPr>
        <w:t xml:space="preserve">Since amounts borrowed will be invested until spent, the </w:t>
      </w:r>
      <w:r w:rsidR="00021429" w:rsidRPr="00B64F95">
        <w:rPr>
          <w:rFonts w:ascii="Arial" w:hAnsi="Arial" w:cs="Arial"/>
          <w:bCs/>
          <w:sz w:val="20"/>
          <w:szCs w:val="20"/>
        </w:rPr>
        <w:t>PCC</w:t>
      </w:r>
      <w:r w:rsidR="00753DAA" w:rsidRPr="00B64F95">
        <w:rPr>
          <w:rFonts w:ascii="Arial" w:hAnsi="Arial" w:cs="Arial"/>
          <w:bCs/>
          <w:sz w:val="20"/>
          <w:szCs w:val="20"/>
        </w:rPr>
        <w:t xml:space="preserve"> is aware that it will be exposed to the risk of loss of the borrowed sums, and the risk that investment and borrowing interest rates may change in the intervening period</w:t>
      </w:r>
      <w:r w:rsidR="00EF0CCF" w:rsidRPr="00B64F95">
        <w:rPr>
          <w:rFonts w:ascii="Arial" w:hAnsi="Arial" w:cs="Arial"/>
          <w:bCs/>
          <w:sz w:val="20"/>
          <w:szCs w:val="20"/>
        </w:rPr>
        <w:t xml:space="preserve">. </w:t>
      </w:r>
      <w:r w:rsidR="00753DAA" w:rsidRPr="00B64F95">
        <w:rPr>
          <w:rFonts w:ascii="Arial" w:hAnsi="Arial" w:cs="Arial"/>
          <w:bCs/>
          <w:sz w:val="20"/>
          <w:szCs w:val="20"/>
        </w:rPr>
        <w:t xml:space="preserve">These risks will be managed as part of the </w:t>
      </w:r>
      <w:r w:rsidR="00021429" w:rsidRPr="00B64F95">
        <w:rPr>
          <w:rFonts w:ascii="Arial" w:hAnsi="Arial" w:cs="Arial"/>
          <w:bCs/>
          <w:sz w:val="20"/>
          <w:szCs w:val="20"/>
        </w:rPr>
        <w:t>PCC</w:t>
      </w:r>
      <w:r w:rsidR="00753DAA" w:rsidRPr="00B64F95">
        <w:rPr>
          <w:rFonts w:ascii="Arial" w:hAnsi="Arial" w:cs="Arial"/>
          <w:bCs/>
          <w:sz w:val="20"/>
          <w:szCs w:val="20"/>
        </w:rPr>
        <w:t>’s overall management of its treasury risks.</w:t>
      </w:r>
    </w:p>
    <w:p w14:paraId="4BE44A4A" w14:textId="77777777" w:rsidR="00EC1EC8" w:rsidRPr="00B64F95" w:rsidRDefault="00EC1EC8" w:rsidP="009F23E2">
      <w:pPr>
        <w:pStyle w:val="ListParagraph"/>
        <w:ind w:left="0"/>
        <w:contextualSpacing w:val="0"/>
        <w:jc w:val="both"/>
        <w:rPr>
          <w:rFonts w:ascii="Arial" w:hAnsi="Arial" w:cs="Arial"/>
          <w:b/>
          <w:sz w:val="20"/>
          <w:szCs w:val="20"/>
          <w:u w:val="single"/>
        </w:rPr>
      </w:pPr>
      <w:r w:rsidRPr="00B64F95">
        <w:rPr>
          <w:rFonts w:ascii="Arial" w:hAnsi="Arial" w:cs="Arial"/>
          <w:b/>
          <w:sz w:val="20"/>
          <w:szCs w:val="20"/>
          <w:u w:val="single"/>
        </w:rPr>
        <w:t>M</w:t>
      </w:r>
      <w:r w:rsidR="00364B10" w:rsidRPr="00B64F95">
        <w:rPr>
          <w:rFonts w:ascii="Arial" w:hAnsi="Arial" w:cs="Arial"/>
          <w:b/>
          <w:sz w:val="20"/>
          <w:szCs w:val="20"/>
          <w:u w:val="single"/>
        </w:rPr>
        <w:t xml:space="preserve">arkets </w:t>
      </w:r>
      <w:r w:rsidRPr="00B64F95">
        <w:rPr>
          <w:rFonts w:ascii="Arial" w:hAnsi="Arial" w:cs="Arial"/>
          <w:b/>
          <w:sz w:val="20"/>
          <w:szCs w:val="20"/>
          <w:u w:val="single"/>
        </w:rPr>
        <w:t>i</w:t>
      </w:r>
      <w:r w:rsidR="00364B10" w:rsidRPr="00B64F95">
        <w:rPr>
          <w:rFonts w:ascii="Arial" w:hAnsi="Arial" w:cs="Arial"/>
          <w:b/>
          <w:sz w:val="20"/>
          <w:szCs w:val="20"/>
          <w:u w:val="single"/>
        </w:rPr>
        <w:t xml:space="preserve">n </w:t>
      </w:r>
      <w:r w:rsidRPr="00B64F95">
        <w:rPr>
          <w:rFonts w:ascii="Arial" w:hAnsi="Arial" w:cs="Arial"/>
          <w:b/>
          <w:sz w:val="20"/>
          <w:szCs w:val="20"/>
          <w:u w:val="single"/>
        </w:rPr>
        <w:t>F</w:t>
      </w:r>
      <w:r w:rsidR="00364B10" w:rsidRPr="00B64F95">
        <w:rPr>
          <w:rFonts w:ascii="Arial" w:hAnsi="Arial" w:cs="Arial"/>
          <w:b/>
          <w:sz w:val="20"/>
          <w:szCs w:val="20"/>
          <w:u w:val="single"/>
        </w:rPr>
        <w:t xml:space="preserve">inancial </w:t>
      </w:r>
      <w:r w:rsidRPr="00B64F95">
        <w:rPr>
          <w:rFonts w:ascii="Arial" w:hAnsi="Arial" w:cs="Arial"/>
          <w:b/>
          <w:sz w:val="20"/>
          <w:szCs w:val="20"/>
          <w:u w:val="single"/>
        </w:rPr>
        <w:t>I</w:t>
      </w:r>
      <w:r w:rsidR="00364B10" w:rsidRPr="00B64F95">
        <w:rPr>
          <w:rFonts w:ascii="Arial" w:hAnsi="Arial" w:cs="Arial"/>
          <w:b/>
          <w:sz w:val="20"/>
          <w:szCs w:val="20"/>
          <w:u w:val="single"/>
        </w:rPr>
        <w:t xml:space="preserve">nstrument </w:t>
      </w:r>
      <w:r w:rsidRPr="00B64F95">
        <w:rPr>
          <w:rFonts w:ascii="Arial" w:hAnsi="Arial" w:cs="Arial"/>
          <w:b/>
          <w:sz w:val="20"/>
          <w:szCs w:val="20"/>
          <w:u w:val="single"/>
        </w:rPr>
        <w:t>D</w:t>
      </w:r>
      <w:r w:rsidR="00364B10" w:rsidRPr="00B64F95">
        <w:rPr>
          <w:rFonts w:ascii="Arial" w:hAnsi="Arial" w:cs="Arial"/>
          <w:b/>
          <w:sz w:val="20"/>
          <w:szCs w:val="20"/>
          <w:u w:val="single"/>
        </w:rPr>
        <w:t>irective</w:t>
      </w:r>
    </w:p>
    <w:p w14:paraId="1002D75F" w14:textId="396081D3" w:rsidR="0095256C" w:rsidRPr="00B64F95" w:rsidRDefault="0095256C" w:rsidP="0095256C">
      <w:pPr>
        <w:pStyle w:val="ListParagraph"/>
        <w:ind w:left="0"/>
        <w:contextualSpacing w:val="0"/>
        <w:jc w:val="both"/>
        <w:rPr>
          <w:rFonts w:ascii="Arial" w:hAnsi="Arial" w:cs="Arial"/>
          <w:i/>
          <w:sz w:val="20"/>
          <w:szCs w:val="20"/>
        </w:rPr>
      </w:pPr>
      <w:r w:rsidRPr="00B64F95">
        <w:rPr>
          <w:rFonts w:ascii="Arial" w:hAnsi="Arial" w:cs="Arial"/>
          <w:sz w:val="20"/>
          <w:szCs w:val="20"/>
        </w:rPr>
        <w:t xml:space="preserve">The PCC has opted up to professional client status with its providers of financial services, including advisers, banks, </w:t>
      </w:r>
      <w:r w:rsidR="004A18FE" w:rsidRPr="00B64F95">
        <w:rPr>
          <w:rFonts w:ascii="Arial" w:hAnsi="Arial" w:cs="Arial"/>
          <w:sz w:val="20"/>
          <w:szCs w:val="20"/>
        </w:rPr>
        <w:t>brokers,</w:t>
      </w:r>
      <w:r w:rsidRPr="00B64F95">
        <w:rPr>
          <w:rFonts w:ascii="Arial" w:hAnsi="Arial" w:cs="Arial"/>
          <w:sz w:val="20"/>
          <w:szCs w:val="20"/>
        </w:rPr>
        <w:t xml:space="preserve"> and fund managers, allowing it access to a greater range of services but without the greater regulatory protections afforded to individuals and small companies. Given the size and range of the </w:t>
      </w:r>
      <w:r w:rsidR="0035203E" w:rsidRPr="00B64F95">
        <w:rPr>
          <w:rFonts w:ascii="Arial" w:hAnsi="Arial" w:cs="Arial"/>
          <w:sz w:val="20"/>
          <w:szCs w:val="20"/>
        </w:rPr>
        <w:t>PCC’s</w:t>
      </w:r>
      <w:r w:rsidRPr="00B64F95">
        <w:rPr>
          <w:rFonts w:ascii="Arial" w:hAnsi="Arial" w:cs="Arial"/>
          <w:sz w:val="20"/>
          <w:szCs w:val="20"/>
        </w:rPr>
        <w:t xml:space="preserve"> treasury management activities, the </w:t>
      </w:r>
      <w:r w:rsidR="0035203E" w:rsidRPr="00B64F95">
        <w:rPr>
          <w:rFonts w:ascii="Arial" w:hAnsi="Arial" w:cs="Arial"/>
          <w:sz w:val="20"/>
          <w:szCs w:val="20"/>
        </w:rPr>
        <w:t>PCC CFO</w:t>
      </w:r>
      <w:r w:rsidRPr="00B64F95">
        <w:rPr>
          <w:rFonts w:ascii="Arial" w:hAnsi="Arial" w:cs="Arial"/>
          <w:bCs/>
          <w:sz w:val="20"/>
          <w:szCs w:val="20"/>
        </w:rPr>
        <w:t xml:space="preserve"> </w:t>
      </w:r>
      <w:r w:rsidRPr="00B64F95">
        <w:rPr>
          <w:rFonts w:ascii="Arial" w:hAnsi="Arial" w:cs="Arial"/>
          <w:sz w:val="20"/>
          <w:szCs w:val="20"/>
        </w:rPr>
        <w:t>believes this to be the most appropriate status.</w:t>
      </w:r>
    </w:p>
    <w:p w14:paraId="07B33A5A" w14:textId="33683B22" w:rsidR="0041798A" w:rsidRPr="00B64F95" w:rsidRDefault="0041798A" w:rsidP="009F23E2">
      <w:pPr>
        <w:pStyle w:val="ListParagraph"/>
        <w:ind w:left="0"/>
        <w:contextualSpacing w:val="0"/>
        <w:jc w:val="both"/>
        <w:rPr>
          <w:rFonts w:ascii="Arial" w:hAnsi="Arial" w:cs="Arial"/>
          <w:b/>
          <w:sz w:val="20"/>
          <w:szCs w:val="20"/>
          <w:u w:val="single"/>
        </w:rPr>
      </w:pPr>
      <w:r w:rsidRPr="00B64F95">
        <w:rPr>
          <w:rFonts w:ascii="Arial" w:hAnsi="Arial" w:cs="Arial"/>
          <w:b/>
          <w:sz w:val="20"/>
          <w:szCs w:val="20"/>
          <w:u w:val="single"/>
        </w:rPr>
        <w:t>Financial Implications</w:t>
      </w:r>
    </w:p>
    <w:p w14:paraId="01D24DCA" w14:textId="7C26FD9D" w:rsidR="00202E2E" w:rsidRPr="003B3C00" w:rsidRDefault="0041798A" w:rsidP="009F23E2">
      <w:pPr>
        <w:pStyle w:val="ListParagraph"/>
        <w:ind w:left="0"/>
        <w:contextualSpacing w:val="0"/>
        <w:jc w:val="both"/>
        <w:rPr>
          <w:rFonts w:ascii="Arial" w:hAnsi="Arial" w:cs="Arial"/>
          <w:sz w:val="20"/>
          <w:szCs w:val="20"/>
        </w:rPr>
      </w:pPr>
      <w:bookmarkStart w:id="1" w:name="_Hlk33089799"/>
      <w:r w:rsidRPr="00A11E1A">
        <w:rPr>
          <w:rFonts w:ascii="Arial" w:hAnsi="Arial" w:cs="Arial"/>
          <w:sz w:val="20"/>
          <w:szCs w:val="20"/>
        </w:rPr>
        <w:t>The budget for investment income in 20</w:t>
      </w:r>
      <w:r w:rsidR="004D4885" w:rsidRPr="00A11E1A">
        <w:rPr>
          <w:rFonts w:ascii="Arial" w:hAnsi="Arial" w:cs="Arial"/>
          <w:sz w:val="20"/>
          <w:szCs w:val="20"/>
        </w:rPr>
        <w:t>2</w:t>
      </w:r>
      <w:r w:rsidR="008124F3" w:rsidRPr="00A11E1A">
        <w:rPr>
          <w:rFonts w:ascii="Arial" w:hAnsi="Arial" w:cs="Arial"/>
          <w:sz w:val="20"/>
          <w:szCs w:val="20"/>
        </w:rPr>
        <w:t>6/27</w:t>
      </w:r>
      <w:r w:rsidRPr="00A11E1A">
        <w:rPr>
          <w:rFonts w:ascii="Arial" w:hAnsi="Arial" w:cs="Arial"/>
          <w:sz w:val="20"/>
          <w:szCs w:val="20"/>
        </w:rPr>
        <w:t xml:space="preserve"> is </w:t>
      </w:r>
      <w:r w:rsidR="00243E06" w:rsidRPr="00A11E1A">
        <w:rPr>
          <w:rFonts w:ascii="Arial" w:hAnsi="Arial" w:cs="Arial"/>
          <w:sz w:val="20"/>
          <w:szCs w:val="20"/>
        </w:rPr>
        <w:t>£</w:t>
      </w:r>
      <w:r w:rsidR="008124F3" w:rsidRPr="00A11E1A">
        <w:rPr>
          <w:rFonts w:ascii="Arial" w:hAnsi="Arial" w:cs="Arial"/>
          <w:sz w:val="20"/>
          <w:szCs w:val="20"/>
        </w:rPr>
        <w:t>0.8</w:t>
      </w:r>
      <w:r w:rsidR="000334FC" w:rsidRPr="00A11E1A">
        <w:rPr>
          <w:rFonts w:ascii="Arial" w:hAnsi="Arial" w:cs="Arial"/>
          <w:sz w:val="20"/>
          <w:szCs w:val="20"/>
        </w:rPr>
        <w:t>0</w:t>
      </w:r>
      <w:r w:rsidR="008124F3" w:rsidRPr="00A11E1A">
        <w:rPr>
          <w:rFonts w:ascii="Arial" w:hAnsi="Arial" w:cs="Arial"/>
          <w:sz w:val="20"/>
          <w:szCs w:val="20"/>
        </w:rPr>
        <w:t>7</w:t>
      </w:r>
      <w:r w:rsidR="00243E06" w:rsidRPr="00A11E1A">
        <w:rPr>
          <w:rFonts w:ascii="Arial" w:hAnsi="Arial" w:cs="Arial"/>
          <w:sz w:val="20"/>
          <w:szCs w:val="20"/>
        </w:rPr>
        <w:t xml:space="preserve"> </w:t>
      </w:r>
      <w:r w:rsidRPr="00A11E1A">
        <w:rPr>
          <w:rFonts w:ascii="Arial" w:hAnsi="Arial" w:cs="Arial"/>
          <w:sz w:val="20"/>
          <w:szCs w:val="20"/>
        </w:rPr>
        <w:t>million</w:t>
      </w:r>
      <w:r w:rsidR="004D4885" w:rsidRPr="00A11E1A">
        <w:rPr>
          <w:rFonts w:ascii="Arial" w:hAnsi="Arial" w:cs="Arial"/>
          <w:sz w:val="20"/>
          <w:szCs w:val="20"/>
        </w:rPr>
        <w:t xml:space="preserve"> (£</w:t>
      </w:r>
      <w:r w:rsidR="00F13D95" w:rsidRPr="00A11E1A">
        <w:rPr>
          <w:rFonts w:ascii="Arial" w:hAnsi="Arial" w:cs="Arial"/>
          <w:sz w:val="20"/>
          <w:szCs w:val="20"/>
        </w:rPr>
        <w:t>1.</w:t>
      </w:r>
      <w:r w:rsidR="008124F3" w:rsidRPr="00A11E1A">
        <w:rPr>
          <w:rFonts w:ascii="Arial" w:hAnsi="Arial" w:cs="Arial"/>
          <w:sz w:val="20"/>
          <w:szCs w:val="20"/>
        </w:rPr>
        <w:t>1</w:t>
      </w:r>
      <w:r w:rsidR="00EF40EA" w:rsidRPr="00A11E1A">
        <w:rPr>
          <w:rFonts w:ascii="Arial" w:hAnsi="Arial" w:cs="Arial"/>
          <w:sz w:val="20"/>
          <w:szCs w:val="20"/>
        </w:rPr>
        <w:t>0</w:t>
      </w:r>
      <w:r w:rsidR="008124F3" w:rsidRPr="00A11E1A">
        <w:rPr>
          <w:rFonts w:ascii="Arial" w:hAnsi="Arial" w:cs="Arial"/>
          <w:sz w:val="20"/>
          <w:szCs w:val="20"/>
        </w:rPr>
        <w:t>7</w:t>
      </w:r>
      <w:r w:rsidR="003910EB" w:rsidRPr="00A11E1A">
        <w:rPr>
          <w:rFonts w:ascii="Arial" w:hAnsi="Arial" w:cs="Arial"/>
          <w:sz w:val="20"/>
          <w:szCs w:val="20"/>
        </w:rPr>
        <w:t xml:space="preserve"> </w:t>
      </w:r>
      <w:r w:rsidR="004D4885" w:rsidRPr="00A11E1A">
        <w:rPr>
          <w:rFonts w:ascii="Arial" w:hAnsi="Arial" w:cs="Arial"/>
          <w:sz w:val="20"/>
          <w:szCs w:val="20"/>
        </w:rPr>
        <w:t>m</w:t>
      </w:r>
      <w:r w:rsidR="003910EB" w:rsidRPr="00A11E1A">
        <w:rPr>
          <w:rFonts w:ascii="Arial" w:hAnsi="Arial" w:cs="Arial"/>
          <w:sz w:val="20"/>
          <w:szCs w:val="20"/>
        </w:rPr>
        <w:t>illion</w:t>
      </w:r>
      <w:r w:rsidR="004D4885" w:rsidRPr="00A11E1A">
        <w:rPr>
          <w:rFonts w:ascii="Arial" w:hAnsi="Arial" w:cs="Arial"/>
          <w:sz w:val="20"/>
          <w:szCs w:val="20"/>
        </w:rPr>
        <w:t xml:space="preserve"> in 20</w:t>
      </w:r>
      <w:r w:rsidR="00305F48" w:rsidRPr="00A11E1A">
        <w:rPr>
          <w:rFonts w:ascii="Arial" w:hAnsi="Arial" w:cs="Arial"/>
          <w:sz w:val="20"/>
          <w:szCs w:val="20"/>
        </w:rPr>
        <w:t>2</w:t>
      </w:r>
      <w:r w:rsidR="008124F3" w:rsidRPr="00A11E1A">
        <w:rPr>
          <w:rFonts w:ascii="Arial" w:hAnsi="Arial" w:cs="Arial"/>
          <w:sz w:val="20"/>
          <w:szCs w:val="20"/>
        </w:rPr>
        <w:t>5/26</w:t>
      </w:r>
      <w:r w:rsidR="004D4885" w:rsidRPr="00A11E1A">
        <w:rPr>
          <w:rFonts w:ascii="Arial" w:hAnsi="Arial" w:cs="Arial"/>
          <w:sz w:val="20"/>
          <w:szCs w:val="20"/>
        </w:rPr>
        <w:t>)</w:t>
      </w:r>
      <w:r w:rsidRPr="00A11E1A">
        <w:rPr>
          <w:rFonts w:ascii="Arial" w:hAnsi="Arial" w:cs="Arial"/>
          <w:sz w:val="20"/>
          <w:szCs w:val="20"/>
        </w:rPr>
        <w:t xml:space="preserve">, based on an average investment portfolio of </w:t>
      </w:r>
      <w:r w:rsidR="00243E06" w:rsidRPr="00A11E1A">
        <w:rPr>
          <w:rFonts w:ascii="Arial" w:hAnsi="Arial" w:cs="Arial"/>
          <w:sz w:val="20"/>
          <w:szCs w:val="20"/>
        </w:rPr>
        <w:t>£</w:t>
      </w:r>
      <w:r w:rsidR="00EF06C7" w:rsidRPr="00A11E1A">
        <w:rPr>
          <w:rFonts w:ascii="Arial" w:hAnsi="Arial" w:cs="Arial"/>
          <w:sz w:val="20"/>
          <w:szCs w:val="20"/>
        </w:rPr>
        <w:t>2</w:t>
      </w:r>
      <w:r w:rsidR="00033DCC" w:rsidRPr="00A11E1A">
        <w:rPr>
          <w:rFonts w:ascii="Arial" w:hAnsi="Arial" w:cs="Arial"/>
          <w:sz w:val="20"/>
          <w:szCs w:val="20"/>
        </w:rPr>
        <w:t>0</w:t>
      </w:r>
      <w:r w:rsidR="00243E06" w:rsidRPr="00A11E1A">
        <w:rPr>
          <w:rFonts w:ascii="Arial" w:hAnsi="Arial" w:cs="Arial"/>
          <w:sz w:val="20"/>
          <w:szCs w:val="20"/>
        </w:rPr>
        <w:t xml:space="preserve"> </w:t>
      </w:r>
      <w:r w:rsidRPr="00A11E1A">
        <w:rPr>
          <w:rFonts w:ascii="Arial" w:hAnsi="Arial" w:cs="Arial"/>
          <w:sz w:val="20"/>
          <w:szCs w:val="20"/>
        </w:rPr>
        <w:t xml:space="preserve">million at an interest rate of </w:t>
      </w:r>
      <w:r w:rsidR="00033DCC" w:rsidRPr="00A11E1A">
        <w:rPr>
          <w:rFonts w:ascii="Arial" w:hAnsi="Arial" w:cs="Arial"/>
          <w:sz w:val="20"/>
          <w:szCs w:val="20"/>
        </w:rPr>
        <w:t>4</w:t>
      </w:r>
      <w:r w:rsidRPr="00A11E1A">
        <w:rPr>
          <w:rFonts w:ascii="Arial" w:hAnsi="Arial" w:cs="Arial"/>
          <w:sz w:val="20"/>
          <w:szCs w:val="20"/>
        </w:rPr>
        <w:t>%</w:t>
      </w:r>
      <w:r w:rsidR="00EF0CCF" w:rsidRPr="00A11E1A">
        <w:rPr>
          <w:rFonts w:ascii="Arial" w:hAnsi="Arial" w:cs="Arial"/>
          <w:sz w:val="20"/>
          <w:szCs w:val="20"/>
        </w:rPr>
        <w:t xml:space="preserve">. </w:t>
      </w:r>
      <w:r w:rsidRPr="00A11E1A">
        <w:rPr>
          <w:rFonts w:ascii="Arial" w:hAnsi="Arial" w:cs="Arial"/>
          <w:sz w:val="20"/>
          <w:szCs w:val="20"/>
        </w:rPr>
        <w:t>The budget for debt interest paid in 20</w:t>
      </w:r>
      <w:r w:rsidR="004D4885" w:rsidRPr="00A11E1A">
        <w:rPr>
          <w:rFonts w:ascii="Arial" w:hAnsi="Arial" w:cs="Arial"/>
          <w:sz w:val="20"/>
          <w:szCs w:val="20"/>
        </w:rPr>
        <w:t>2</w:t>
      </w:r>
      <w:r w:rsidR="00EF40EA" w:rsidRPr="00A11E1A">
        <w:rPr>
          <w:rFonts w:ascii="Arial" w:hAnsi="Arial" w:cs="Arial"/>
          <w:sz w:val="20"/>
          <w:szCs w:val="20"/>
        </w:rPr>
        <w:t>6/27</w:t>
      </w:r>
      <w:r w:rsidRPr="00A11E1A">
        <w:rPr>
          <w:rFonts w:ascii="Arial" w:hAnsi="Arial" w:cs="Arial"/>
          <w:sz w:val="20"/>
          <w:szCs w:val="20"/>
        </w:rPr>
        <w:t xml:space="preserve"> is </w:t>
      </w:r>
      <w:r w:rsidR="00243E06" w:rsidRPr="00A11E1A">
        <w:rPr>
          <w:rFonts w:ascii="Arial" w:hAnsi="Arial" w:cs="Arial"/>
          <w:sz w:val="20"/>
          <w:szCs w:val="20"/>
        </w:rPr>
        <w:t>£</w:t>
      </w:r>
      <w:r w:rsidR="006B1DB5" w:rsidRPr="00A11E1A">
        <w:rPr>
          <w:rFonts w:ascii="Arial" w:hAnsi="Arial" w:cs="Arial"/>
          <w:sz w:val="20"/>
          <w:szCs w:val="20"/>
        </w:rPr>
        <w:t>1.</w:t>
      </w:r>
      <w:r w:rsidR="00EF40EA" w:rsidRPr="00A11E1A">
        <w:rPr>
          <w:rFonts w:ascii="Arial" w:hAnsi="Arial" w:cs="Arial"/>
          <w:sz w:val="20"/>
          <w:szCs w:val="20"/>
        </w:rPr>
        <w:t>1</w:t>
      </w:r>
      <w:r w:rsidR="005B2DA9" w:rsidRPr="00A11E1A">
        <w:rPr>
          <w:rFonts w:ascii="Arial" w:hAnsi="Arial" w:cs="Arial"/>
          <w:sz w:val="20"/>
          <w:szCs w:val="20"/>
        </w:rPr>
        <w:t>4</w:t>
      </w:r>
      <w:r w:rsidR="006166BC" w:rsidRPr="00A11E1A">
        <w:rPr>
          <w:rFonts w:ascii="Arial" w:hAnsi="Arial" w:cs="Arial"/>
          <w:sz w:val="20"/>
          <w:szCs w:val="20"/>
        </w:rPr>
        <w:t>3</w:t>
      </w:r>
      <w:r w:rsidR="000D6762" w:rsidRPr="00A11E1A">
        <w:rPr>
          <w:rFonts w:ascii="Arial" w:hAnsi="Arial" w:cs="Arial"/>
          <w:sz w:val="20"/>
          <w:szCs w:val="20"/>
        </w:rPr>
        <w:t>m</w:t>
      </w:r>
      <w:r w:rsidR="001A5FBE" w:rsidRPr="00A11E1A">
        <w:rPr>
          <w:rFonts w:ascii="Arial" w:hAnsi="Arial" w:cs="Arial"/>
          <w:sz w:val="20"/>
          <w:szCs w:val="20"/>
        </w:rPr>
        <w:t xml:space="preserve"> (£</w:t>
      </w:r>
      <w:r w:rsidR="005B2DA9" w:rsidRPr="00A11E1A">
        <w:rPr>
          <w:rFonts w:ascii="Arial" w:hAnsi="Arial" w:cs="Arial"/>
          <w:sz w:val="20"/>
          <w:szCs w:val="20"/>
        </w:rPr>
        <w:t>1.</w:t>
      </w:r>
      <w:r w:rsidR="006166BC" w:rsidRPr="00A11E1A">
        <w:rPr>
          <w:rFonts w:ascii="Arial" w:hAnsi="Arial" w:cs="Arial"/>
          <w:sz w:val="20"/>
          <w:szCs w:val="20"/>
        </w:rPr>
        <w:t>443</w:t>
      </w:r>
      <w:r w:rsidR="001A5FBE" w:rsidRPr="00A11E1A">
        <w:rPr>
          <w:rFonts w:ascii="Arial" w:hAnsi="Arial" w:cs="Arial"/>
          <w:sz w:val="20"/>
          <w:szCs w:val="20"/>
        </w:rPr>
        <w:t>m in 202</w:t>
      </w:r>
      <w:r w:rsidR="006166BC" w:rsidRPr="00A11E1A">
        <w:rPr>
          <w:rFonts w:ascii="Arial" w:hAnsi="Arial" w:cs="Arial"/>
          <w:sz w:val="20"/>
          <w:szCs w:val="20"/>
        </w:rPr>
        <w:t>5/26</w:t>
      </w:r>
      <w:r w:rsidR="001A5FBE" w:rsidRPr="00A11E1A">
        <w:rPr>
          <w:rFonts w:ascii="Arial" w:hAnsi="Arial" w:cs="Arial"/>
          <w:sz w:val="20"/>
          <w:szCs w:val="20"/>
        </w:rPr>
        <w:t>)</w:t>
      </w:r>
      <w:r w:rsidR="006B1DB5" w:rsidRPr="00A11E1A">
        <w:rPr>
          <w:rFonts w:ascii="Arial" w:hAnsi="Arial" w:cs="Arial"/>
          <w:sz w:val="20"/>
          <w:szCs w:val="20"/>
        </w:rPr>
        <w:t xml:space="preserve">. </w:t>
      </w:r>
      <w:r w:rsidR="003B3C00" w:rsidRPr="00A11E1A">
        <w:rPr>
          <w:rFonts w:ascii="Arial" w:hAnsi="Arial" w:cs="Arial"/>
          <w:sz w:val="20"/>
          <w:szCs w:val="20"/>
        </w:rPr>
        <w:t xml:space="preserve">Investment </w:t>
      </w:r>
      <w:r w:rsidR="003B3C00">
        <w:rPr>
          <w:rFonts w:ascii="Arial" w:hAnsi="Arial" w:cs="Arial"/>
          <w:sz w:val="20"/>
          <w:szCs w:val="20"/>
        </w:rPr>
        <w:t>Return and borrowing costs will be monitored through the monthly financial moni</w:t>
      </w:r>
      <w:r w:rsidR="004A18FE">
        <w:rPr>
          <w:rFonts w:ascii="Arial" w:hAnsi="Arial" w:cs="Arial"/>
          <w:sz w:val="20"/>
          <w:szCs w:val="20"/>
        </w:rPr>
        <w:t>toring reports and in the appropriate reports to the JAC</w:t>
      </w:r>
      <w:r w:rsidR="00EF0CCF">
        <w:rPr>
          <w:rFonts w:ascii="Arial" w:hAnsi="Arial" w:cs="Arial"/>
          <w:sz w:val="20"/>
          <w:szCs w:val="20"/>
        </w:rPr>
        <w:t>.</w:t>
      </w:r>
      <w:r w:rsidR="00EF0CCF" w:rsidRPr="003B3C00">
        <w:rPr>
          <w:rFonts w:ascii="Arial" w:hAnsi="Arial" w:cs="Arial"/>
          <w:sz w:val="20"/>
          <w:szCs w:val="20"/>
        </w:rPr>
        <w:t xml:space="preserve"> </w:t>
      </w:r>
    </w:p>
    <w:bookmarkEnd w:id="1"/>
    <w:p w14:paraId="7BFEEF9B" w14:textId="77777777" w:rsidR="009F0773" w:rsidRPr="00B64F95" w:rsidRDefault="009F0773" w:rsidP="009F23E2">
      <w:pPr>
        <w:pStyle w:val="ListParagraph"/>
        <w:ind w:left="0"/>
        <w:contextualSpacing w:val="0"/>
        <w:jc w:val="both"/>
        <w:rPr>
          <w:rFonts w:ascii="Arial" w:hAnsi="Arial" w:cs="Arial"/>
          <w:b/>
          <w:sz w:val="20"/>
          <w:szCs w:val="20"/>
          <w:u w:val="single"/>
        </w:rPr>
      </w:pPr>
      <w:r w:rsidRPr="00B64F95">
        <w:rPr>
          <w:rFonts w:ascii="Arial" w:hAnsi="Arial" w:cs="Arial"/>
          <w:b/>
          <w:sz w:val="20"/>
          <w:szCs w:val="20"/>
          <w:u w:val="single"/>
        </w:rPr>
        <w:t>Other Options Considered</w:t>
      </w:r>
    </w:p>
    <w:p w14:paraId="7E3B1A79" w14:textId="3EA4C440" w:rsidR="00753DAA" w:rsidRPr="00B64F95" w:rsidRDefault="00753DAA" w:rsidP="00753DAA">
      <w:pPr>
        <w:jc w:val="both"/>
        <w:rPr>
          <w:rFonts w:ascii="Arial" w:hAnsi="Arial" w:cs="Arial"/>
          <w:bCs/>
          <w:sz w:val="20"/>
          <w:szCs w:val="20"/>
        </w:rPr>
      </w:pPr>
      <w:r w:rsidRPr="00B64F95">
        <w:rPr>
          <w:rFonts w:ascii="Arial" w:hAnsi="Arial" w:cs="Arial"/>
          <w:bCs/>
          <w:sz w:val="20"/>
          <w:szCs w:val="20"/>
        </w:rPr>
        <w:t xml:space="preserve">The CIPFA Code do not prescribe any particular treasury management strategy for </w:t>
      </w:r>
      <w:r w:rsidR="004A18FE" w:rsidRPr="00B64F95">
        <w:rPr>
          <w:rFonts w:ascii="Arial" w:hAnsi="Arial" w:cs="Arial"/>
          <w:bCs/>
          <w:sz w:val="20"/>
          <w:szCs w:val="20"/>
        </w:rPr>
        <w:t>PCCs</w:t>
      </w:r>
      <w:r w:rsidRPr="00B64F95">
        <w:rPr>
          <w:rFonts w:ascii="Arial" w:hAnsi="Arial" w:cs="Arial"/>
          <w:bCs/>
          <w:sz w:val="20"/>
          <w:szCs w:val="20"/>
        </w:rPr>
        <w:t xml:space="preserve"> to adopt</w:t>
      </w:r>
      <w:r w:rsidR="00EF0CCF" w:rsidRPr="00B64F95">
        <w:rPr>
          <w:rFonts w:ascii="Arial" w:hAnsi="Arial" w:cs="Arial"/>
          <w:bCs/>
          <w:sz w:val="20"/>
          <w:szCs w:val="20"/>
        </w:rPr>
        <w:t xml:space="preserve">. </w:t>
      </w:r>
      <w:r w:rsidRPr="00B64F95">
        <w:rPr>
          <w:rFonts w:ascii="Arial" w:hAnsi="Arial" w:cs="Arial"/>
          <w:bCs/>
          <w:sz w:val="20"/>
          <w:szCs w:val="20"/>
        </w:rPr>
        <w:t xml:space="preserve">The </w:t>
      </w:r>
      <w:r w:rsidR="0035203E" w:rsidRPr="00B64F95">
        <w:rPr>
          <w:rFonts w:ascii="Arial" w:hAnsi="Arial" w:cs="Arial"/>
          <w:bCs/>
          <w:sz w:val="20"/>
          <w:szCs w:val="20"/>
        </w:rPr>
        <w:t xml:space="preserve">PCC </w:t>
      </w:r>
      <w:r w:rsidRPr="00B64F95">
        <w:rPr>
          <w:rFonts w:ascii="Arial" w:hAnsi="Arial" w:cs="Arial"/>
          <w:bCs/>
          <w:sz w:val="20"/>
          <w:szCs w:val="20"/>
        </w:rPr>
        <w:t>CF</w:t>
      </w:r>
      <w:r w:rsidR="00DD3374" w:rsidRPr="00B64F95">
        <w:rPr>
          <w:rFonts w:ascii="Arial" w:hAnsi="Arial" w:cs="Arial"/>
          <w:bCs/>
          <w:sz w:val="20"/>
          <w:szCs w:val="20"/>
        </w:rPr>
        <w:t>O</w:t>
      </w:r>
      <w:r w:rsidRPr="00B64F95">
        <w:rPr>
          <w:rFonts w:ascii="Arial" w:hAnsi="Arial" w:cs="Arial"/>
          <w:bCs/>
          <w:sz w:val="20"/>
          <w:szCs w:val="20"/>
        </w:rPr>
        <w:t>, having consulted the</w:t>
      </w:r>
      <w:r w:rsidR="00021429" w:rsidRPr="00B64F95">
        <w:rPr>
          <w:rFonts w:ascii="Arial" w:hAnsi="Arial" w:cs="Arial"/>
          <w:bCs/>
          <w:sz w:val="20"/>
          <w:szCs w:val="20"/>
        </w:rPr>
        <w:t xml:space="preserve"> </w:t>
      </w:r>
      <w:r w:rsidR="00DD3374" w:rsidRPr="00B64F95">
        <w:rPr>
          <w:rFonts w:ascii="Arial" w:hAnsi="Arial" w:cs="Arial"/>
          <w:bCs/>
          <w:sz w:val="20"/>
          <w:szCs w:val="20"/>
        </w:rPr>
        <w:t>PCC</w:t>
      </w:r>
      <w:r w:rsidRPr="00B64F95">
        <w:rPr>
          <w:rFonts w:ascii="Arial" w:hAnsi="Arial" w:cs="Arial"/>
          <w:bCs/>
          <w:sz w:val="20"/>
          <w:szCs w:val="20"/>
        </w:rPr>
        <w:t>, believes that the above strategy represents an appropriate balance between risk management and cost effectiveness</w:t>
      </w:r>
      <w:r w:rsidR="00EF0CCF" w:rsidRPr="00B64F95">
        <w:rPr>
          <w:rFonts w:ascii="Arial" w:hAnsi="Arial" w:cs="Arial"/>
          <w:bCs/>
          <w:sz w:val="20"/>
          <w:szCs w:val="20"/>
        </w:rPr>
        <w:t xml:space="preserve">. </w:t>
      </w:r>
      <w:r w:rsidRPr="00B64F95">
        <w:rPr>
          <w:rFonts w:ascii="Arial" w:hAnsi="Arial" w:cs="Arial"/>
          <w:bCs/>
          <w:sz w:val="20"/>
          <w:szCs w:val="20"/>
        </w:rPr>
        <w:t xml:space="preserve">Some alternative strategies, with their financial and risk management implications, are listed </w:t>
      </w:r>
      <w:r w:rsidR="00B04814" w:rsidRPr="00B64F95">
        <w:rPr>
          <w:rFonts w:ascii="Arial" w:hAnsi="Arial" w:cs="Arial"/>
          <w:bCs/>
          <w:sz w:val="20"/>
          <w:szCs w:val="20"/>
        </w:rPr>
        <w:t>overleaf</w:t>
      </w:r>
      <w:r w:rsidRPr="00B64F95">
        <w:rPr>
          <w:rFonts w:ascii="Arial" w:hAnsi="Arial" w:cs="Arial"/>
          <w:bCs/>
          <w:sz w:val="20"/>
          <w:szCs w:val="20"/>
        </w:rPr>
        <w:t>.</w:t>
      </w:r>
    </w:p>
    <w:p w14:paraId="37F3C70F" w14:textId="77777777" w:rsidR="00753DAA" w:rsidRPr="00B64F95" w:rsidRDefault="00753DAA" w:rsidP="00753DAA">
      <w:pPr>
        <w:spacing w:after="0" w:line="240" w:lineRule="auto"/>
        <w:jc w:val="both"/>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753DAA" w:rsidRPr="00B64F95" w14:paraId="324FFB50" w14:textId="77777777" w:rsidTr="001B5446">
        <w:tc>
          <w:tcPr>
            <w:tcW w:w="3080" w:type="dxa"/>
          </w:tcPr>
          <w:p w14:paraId="1E28506F" w14:textId="77777777" w:rsidR="00753DAA" w:rsidRPr="00B64F95" w:rsidRDefault="00753DAA" w:rsidP="00753DAA">
            <w:pPr>
              <w:spacing w:after="0" w:line="240" w:lineRule="auto"/>
              <w:jc w:val="center"/>
              <w:rPr>
                <w:rFonts w:ascii="Arial" w:eastAsia="Times New Roman" w:hAnsi="Arial" w:cs="Arial"/>
                <w:b/>
                <w:sz w:val="20"/>
                <w:szCs w:val="20"/>
                <w:lang w:eastAsia="en-GB"/>
              </w:rPr>
            </w:pPr>
            <w:r w:rsidRPr="00B64F95">
              <w:rPr>
                <w:rFonts w:ascii="Arial" w:eastAsia="Times New Roman" w:hAnsi="Arial" w:cs="Arial"/>
                <w:b/>
                <w:sz w:val="20"/>
                <w:szCs w:val="20"/>
                <w:lang w:eastAsia="en-GB"/>
              </w:rPr>
              <w:t>Alternative</w:t>
            </w:r>
          </w:p>
        </w:tc>
        <w:tc>
          <w:tcPr>
            <w:tcW w:w="3081" w:type="dxa"/>
          </w:tcPr>
          <w:p w14:paraId="0BA27ED4" w14:textId="77777777" w:rsidR="00753DAA" w:rsidRPr="00B64F95" w:rsidRDefault="00753DAA" w:rsidP="00753DAA">
            <w:pPr>
              <w:spacing w:after="0" w:line="240" w:lineRule="auto"/>
              <w:jc w:val="center"/>
              <w:rPr>
                <w:rFonts w:ascii="Arial" w:eastAsia="Times New Roman" w:hAnsi="Arial" w:cs="Arial"/>
                <w:b/>
                <w:sz w:val="20"/>
                <w:szCs w:val="20"/>
                <w:lang w:eastAsia="en-GB"/>
              </w:rPr>
            </w:pPr>
            <w:r w:rsidRPr="00B64F95">
              <w:rPr>
                <w:rFonts w:ascii="Arial" w:eastAsia="Times New Roman" w:hAnsi="Arial" w:cs="Arial"/>
                <w:b/>
                <w:sz w:val="20"/>
                <w:szCs w:val="20"/>
                <w:lang w:eastAsia="en-GB"/>
              </w:rPr>
              <w:t>Impact on income and expenditure</w:t>
            </w:r>
          </w:p>
        </w:tc>
        <w:tc>
          <w:tcPr>
            <w:tcW w:w="3081" w:type="dxa"/>
          </w:tcPr>
          <w:p w14:paraId="73E84FF2" w14:textId="77777777" w:rsidR="00753DAA" w:rsidRPr="00B64F95" w:rsidRDefault="00753DAA" w:rsidP="00753DAA">
            <w:pPr>
              <w:spacing w:after="0" w:line="240" w:lineRule="auto"/>
              <w:jc w:val="center"/>
              <w:rPr>
                <w:rFonts w:ascii="Arial" w:eastAsia="Times New Roman" w:hAnsi="Arial" w:cs="Arial"/>
                <w:b/>
                <w:sz w:val="20"/>
                <w:szCs w:val="20"/>
                <w:lang w:eastAsia="en-GB"/>
              </w:rPr>
            </w:pPr>
            <w:r w:rsidRPr="00B64F95">
              <w:rPr>
                <w:rFonts w:ascii="Arial" w:eastAsia="Times New Roman" w:hAnsi="Arial" w:cs="Arial"/>
                <w:b/>
                <w:sz w:val="20"/>
                <w:szCs w:val="20"/>
                <w:lang w:eastAsia="en-GB"/>
              </w:rPr>
              <w:t>Impact on risk management</w:t>
            </w:r>
          </w:p>
        </w:tc>
      </w:tr>
      <w:tr w:rsidR="00753DAA" w:rsidRPr="00B64F95" w14:paraId="19458D22" w14:textId="77777777" w:rsidTr="001B5446">
        <w:tc>
          <w:tcPr>
            <w:tcW w:w="3080" w:type="dxa"/>
          </w:tcPr>
          <w:p w14:paraId="41690467" w14:textId="77777777" w:rsidR="00753DAA" w:rsidRPr="00B64F95" w:rsidRDefault="00313A6E" w:rsidP="00313A6E">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Invest in a</w:t>
            </w:r>
            <w:r w:rsidR="00753DAA" w:rsidRPr="00B64F95">
              <w:rPr>
                <w:rFonts w:ascii="Arial" w:eastAsia="Times New Roman" w:hAnsi="Arial" w:cs="Arial"/>
                <w:sz w:val="20"/>
                <w:szCs w:val="20"/>
                <w:lang w:eastAsia="en-GB"/>
              </w:rPr>
              <w:t xml:space="preserve"> narrower </w:t>
            </w:r>
            <w:r w:rsidRPr="00B64F95">
              <w:rPr>
                <w:rFonts w:ascii="Arial" w:eastAsia="Times New Roman" w:hAnsi="Arial" w:cs="Arial"/>
                <w:sz w:val="20"/>
                <w:szCs w:val="20"/>
                <w:lang w:eastAsia="en-GB"/>
              </w:rPr>
              <w:t>range</w:t>
            </w:r>
            <w:r w:rsidR="00753DAA" w:rsidRPr="00B64F95">
              <w:rPr>
                <w:rFonts w:ascii="Arial" w:eastAsia="Times New Roman" w:hAnsi="Arial" w:cs="Arial"/>
                <w:sz w:val="20"/>
                <w:szCs w:val="20"/>
                <w:lang w:eastAsia="en-GB"/>
              </w:rPr>
              <w:t xml:space="preserve"> </w:t>
            </w:r>
            <w:r w:rsidRPr="00B64F95">
              <w:rPr>
                <w:rFonts w:ascii="Arial" w:eastAsia="Times New Roman" w:hAnsi="Arial" w:cs="Arial"/>
                <w:sz w:val="20"/>
                <w:szCs w:val="20"/>
                <w:lang w:eastAsia="en-GB"/>
              </w:rPr>
              <w:t xml:space="preserve">of counterparties </w:t>
            </w:r>
            <w:r w:rsidR="00753DAA" w:rsidRPr="00B64F95">
              <w:rPr>
                <w:rFonts w:ascii="Arial" w:eastAsia="Times New Roman" w:hAnsi="Arial" w:cs="Arial"/>
                <w:sz w:val="20"/>
                <w:szCs w:val="20"/>
                <w:lang w:eastAsia="en-GB"/>
              </w:rPr>
              <w:t xml:space="preserve">and/or </w:t>
            </w:r>
            <w:r w:rsidRPr="00B64F95">
              <w:rPr>
                <w:rFonts w:ascii="Arial" w:eastAsia="Times New Roman" w:hAnsi="Arial" w:cs="Arial"/>
                <w:sz w:val="20"/>
                <w:szCs w:val="20"/>
                <w:lang w:eastAsia="en-GB"/>
              </w:rPr>
              <w:t>for shorter times</w:t>
            </w:r>
          </w:p>
        </w:tc>
        <w:tc>
          <w:tcPr>
            <w:tcW w:w="3081" w:type="dxa"/>
          </w:tcPr>
          <w:p w14:paraId="74DAC32C" w14:textId="77777777" w:rsidR="00753DAA" w:rsidRPr="00B64F95" w:rsidRDefault="00753DAA" w:rsidP="00753DAA">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Interest income will be lower</w:t>
            </w:r>
          </w:p>
        </w:tc>
        <w:tc>
          <w:tcPr>
            <w:tcW w:w="3081" w:type="dxa"/>
          </w:tcPr>
          <w:p w14:paraId="077E746F" w14:textId="77777777" w:rsidR="00753DAA" w:rsidRPr="00B64F95" w:rsidRDefault="00C35706" w:rsidP="00A0283A">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Lower chance</w:t>
            </w:r>
            <w:r w:rsidR="00753DAA" w:rsidRPr="00B64F95">
              <w:rPr>
                <w:rFonts w:ascii="Arial" w:eastAsia="Times New Roman" w:hAnsi="Arial" w:cs="Arial"/>
                <w:sz w:val="20"/>
                <w:szCs w:val="20"/>
                <w:lang w:eastAsia="en-GB"/>
              </w:rPr>
              <w:t xml:space="preserve"> of losses from credit related defaults</w:t>
            </w:r>
            <w:r w:rsidRPr="00B64F95">
              <w:rPr>
                <w:rFonts w:ascii="Arial" w:eastAsia="Times New Roman" w:hAnsi="Arial" w:cs="Arial"/>
                <w:sz w:val="20"/>
                <w:szCs w:val="20"/>
                <w:lang w:eastAsia="en-GB"/>
              </w:rPr>
              <w:t xml:space="preserve">, but any such losses </w:t>
            </w:r>
            <w:r w:rsidR="00A0283A" w:rsidRPr="00B64F95">
              <w:rPr>
                <w:rFonts w:ascii="Arial" w:eastAsia="Times New Roman" w:hAnsi="Arial" w:cs="Arial"/>
                <w:sz w:val="20"/>
                <w:szCs w:val="20"/>
                <w:lang w:eastAsia="en-GB"/>
              </w:rPr>
              <w:t>may</w:t>
            </w:r>
            <w:r w:rsidRPr="00B64F95">
              <w:rPr>
                <w:rFonts w:ascii="Arial" w:eastAsia="Times New Roman" w:hAnsi="Arial" w:cs="Arial"/>
                <w:sz w:val="20"/>
                <w:szCs w:val="20"/>
                <w:lang w:eastAsia="en-GB"/>
              </w:rPr>
              <w:t xml:space="preserve"> be greater</w:t>
            </w:r>
          </w:p>
        </w:tc>
      </w:tr>
      <w:tr w:rsidR="00753DAA" w:rsidRPr="00B64F95" w14:paraId="3C47476A" w14:textId="77777777" w:rsidTr="001B5446">
        <w:tc>
          <w:tcPr>
            <w:tcW w:w="3080" w:type="dxa"/>
          </w:tcPr>
          <w:p w14:paraId="1C441DC8" w14:textId="77777777" w:rsidR="00753DAA" w:rsidRPr="00B64F95" w:rsidRDefault="00313A6E" w:rsidP="00313A6E">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Invest in a wider range of counterparties and/or for longer times</w:t>
            </w:r>
          </w:p>
        </w:tc>
        <w:tc>
          <w:tcPr>
            <w:tcW w:w="3081" w:type="dxa"/>
          </w:tcPr>
          <w:p w14:paraId="7C373F9E" w14:textId="77777777" w:rsidR="00753DAA" w:rsidRPr="00B64F95" w:rsidRDefault="00753DAA" w:rsidP="00753DAA">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Interest income will be higher</w:t>
            </w:r>
          </w:p>
        </w:tc>
        <w:tc>
          <w:tcPr>
            <w:tcW w:w="3081" w:type="dxa"/>
          </w:tcPr>
          <w:p w14:paraId="6E9098EA" w14:textId="77777777" w:rsidR="00753DAA" w:rsidRPr="00B64F95" w:rsidRDefault="00753DAA" w:rsidP="00A0283A">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Increased risk of losses from credit related defaults</w:t>
            </w:r>
            <w:r w:rsidR="00C35706" w:rsidRPr="00B64F95">
              <w:rPr>
                <w:rFonts w:ascii="Arial" w:eastAsia="Times New Roman" w:hAnsi="Arial" w:cs="Arial"/>
                <w:sz w:val="20"/>
                <w:szCs w:val="20"/>
                <w:lang w:eastAsia="en-GB"/>
              </w:rPr>
              <w:t xml:space="preserve">, but any such losses </w:t>
            </w:r>
            <w:r w:rsidR="00A0283A" w:rsidRPr="00B64F95">
              <w:rPr>
                <w:rFonts w:ascii="Arial" w:eastAsia="Times New Roman" w:hAnsi="Arial" w:cs="Arial"/>
                <w:sz w:val="20"/>
                <w:szCs w:val="20"/>
                <w:lang w:eastAsia="en-GB"/>
              </w:rPr>
              <w:t xml:space="preserve">may </w:t>
            </w:r>
            <w:r w:rsidR="00C35706" w:rsidRPr="00B64F95">
              <w:rPr>
                <w:rFonts w:ascii="Arial" w:eastAsia="Times New Roman" w:hAnsi="Arial" w:cs="Arial"/>
                <w:sz w:val="20"/>
                <w:szCs w:val="20"/>
                <w:lang w:eastAsia="en-GB"/>
              </w:rPr>
              <w:t>be smaller</w:t>
            </w:r>
          </w:p>
        </w:tc>
      </w:tr>
      <w:tr w:rsidR="00753DAA" w:rsidRPr="00B64F95" w14:paraId="3AF3ED22" w14:textId="77777777" w:rsidTr="001B5446">
        <w:tc>
          <w:tcPr>
            <w:tcW w:w="3080" w:type="dxa"/>
          </w:tcPr>
          <w:p w14:paraId="158B7178" w14:textId="77777777" w:rsidR="00753DAA" w:rsidRPr="00B64F95" w:rsidRDefault="00753DAA" w:rsidP="00753DAA">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Borrow additional sums at long-term fixed interest rates</w:t>
            </w:r>
          </w:p>
        </w:tc>
        <w:tc>
          <w:tcPr>
            <w:tcW w:w="3081" w:type="dxa"/>
          </w:tcPr>
          <w:p w14:paraId="218CD8C5" w14:textId="77777777" w:rsidR="00753DAA" w:rsidRPr="00B64F95" w:rsidRDefault="00753DAA" w:rsidP="00753DAA">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Debt interest costs will rise; this is unlikely to be offset by higher investment income</w:t>
            </w:r>
          </w:p>
        </w:tc>
        <w:tc>
          <w:tcPr>
            <w:tcW w:w="3081" w:type="dxa"/>
          </w:tcPr>
          <w:p w14:paraId="3364BEAE" w14:textId="77777777" w:rsidR="00753DAA" w:rsidRPr="00B64F95" w:rsidRDefault="00753DAA" w:rsidP="00A0283A">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 xml:space="preserve">Higher investment balance leading to a higher impact in the event of a default; however long-term interest costs </w:t>
            </w:r>
            <w:r w:rsidR="00A0283A" w:rsidRPr="00B64F95">
              <w:rPr>
                <w:rFonts w:ascii="Arial" w:eastAsia="Times New Roman" w:hAnsi="Arial" w:cs="Arial"/>
                <w:sz w:val="20"/>
                <w:szCs w:val="20"/>
                <w:lang w:eastAsia="en-GB"/>
              </w:rPr>
              <w:t>may</w:t>
            </w:r>
            <w:r w:rsidRPr="00B64F95">
              <w:rPr>
                <w:rFonts w:ascii="Arial" w:eastAsia="Times New Roman" w:hAnsi="Arial" w:cs="Arial"/>
                <w:sz w:val="20"/>
                <w:szCs w:val="20"/>
                <w:lang w:eastAsia="en-GB"/>
              </w:rPr>
              <w:t xml:space="preserve"> be more certain</w:t>
            </w:r>
          </w:p>
        </w:tc>
      </w:tr>
      <w:tr w:rsidR="00753DAA" w:rsidRPr="00B64F95" w14:paraId="7CC58128" w14:textId="77777777" w:rsidTr="001B5446">
        <w:tc>
          <w:tcPr>
            <w:tcW w:w="3080" w:type="dxa"/>
          </w:tcPr>
          <w:p w14:paraId="3ADCF59D" w14:textId="77777777" w:rsidR="00753DAA" w:rsidRPr="00B64F95" w:rsidRDefault="00753DAA" w:rsidP="00753DAA">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Borrow short-term or variable loans instead of long-term fixed rates</w:t>
            </w:r>
          </w:p>
        </w:tc>
        <w:tc>
          <w:tcPr>
            <w:tcW w:w="3081" w:type="dxa"/>
          </w:tcPr>
          <w:p w14:paraId="49C74DB8" w14:textId="77777777" w:rsidR="00753DAA" w:rsidRPr="00B64F95" w:rsidRDefault="00753DAA" w:rsidP="00753DAA">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Debt interest costs will initially be lower</w:t>
            </w:r>
          </w:p>
        </w:tc>
        <w:tc>
          <w:tcPr>
            <w:tcW w:w="3081" w:type="dxa"/>
          </w:tcPr>
          <w:p w14:paraId="7DFD62D5" w14:textId="77777777" w:rsidR="00753DAA" w:rsidRPr="00B64F95" w:rsidRDefault="00753DAA" w:rsidP="00A0283A">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Increases in debt interest costs will be broadly offset by rising investment inco</w:t>
            </w:r>
            <w:r w:rsidR="00A60644" w:rsidRPr="00B64F95">
              <w:rPr>
                <w:rFonts w:ascii="Arial" w:eastAsia="Times New Roman" w:hAnsi="Arial" w:cs="Arial"/>
                <w:sz w:val="20"/>
                <w:szCs w:val="20"/>
                <w:lang w:eastAsia="en-GB"/>
              </w:rPr>
              <w:t>me in the medium term, but long-</w:t>
            </w:r>
            <w:r w:rsidRPr="00B64F95">
              <w:rPr>
                <w:rFonts w:ascii="Arial" w:eastAsia="Times New Roman" w:hAnsi="Arial" w:cs="Arial"/>
                <w:sz w:val="20"/>
                <w:szCs w:val="20"/>
                <w:lang w:eastAsia="en-GB"/>
              </w:rPr>
              <w:t xml:space="preserve">term costs </w:t>
            </w:r>
            <w:r w:rsidR="00A0283A" w:rsidRPr="00B64F95">
              <w:rPr>
                <w:rFonts w:ascii="Arial" w:eastAsia="Times New Roman" w:hAnsi="Arial" w:cs="Arial"/>
                <w:sz w:val="20"/>
                <w:szCs w:val="20"/>
                <w:lang w:eastAsia="en-GB"/>
              </w:rPr>
              <w:t>may</w:t>
            </w:r>
            <w:r w:rsidRPr="00B64F95">
              <w:rPr>
                <w:rFonts w:ascii="Arial" w:eastAsia="Times New Roman" w:hAnsi="Arial" w:cs="Arial"/>
                <w:sz w:val="20"/>
                <w:szCs w:val="20"/>
                <w:lang w:eastAsia="en-GB"/>
              </w:rPr>
              <w:t xml:space="preserve"> be less certain </w:t>
            </w:r>
          </w:p>
        </w:tc>
      </w:tr>
      <w:tr w:rsidR="00753DAA" w:rsidRPr="00B64F95" w14:paraId="52AA1776" w14:textId="77777777" w:rsidTr="001B5446">
        <w:tc>
          <w:tcPr>
            <w:tcW w:w="3080" w:type="dxa"/>
          </w:tcPr>
          <w:p w14:paraId="3FF8DE6E" w14:textId="77777777" w:rsidR="00753DAA" w:rsidRPr="00B64F95" w:rsidRDefault="00753DAA" w:rsidP="00753DAA">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Reduce level of borrowing</w:t>
            </w:r>
            <w:r w:rsidR="00313A6E" w:rsidRPr="00B64F95">
              <w:rPr>
                <w:rFonts w:ascii="Arial" w:eastAsia="Times New Roman" w:hAnsi="Arial" w:cs="Arial"/>
                <w:sz w:val="20"/>
                <w:szCs w:val="20"/>
                <w:lang w:eastAsia="en-GB"/>
              </w:rPr>
              <w:t xml:space="preserve"> </w:t>
            </w:r>
          </w:p>
        </w:tc>
        <w:tc>
          <w:tcPr>
            <w:tcW w:w="3081" w:type="dxa"/>
          </w:tcPr>
          <w:p w14:paraId="497A0863" w14:textId="77777777" w:rsidR="00753DAA" w:rsidRPr="00B64F95" w:rsidRDefault="00753DAA" w:rsidP="00753DAA">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Saving on debt interest is likely to exceed lost investment income</w:t>
            </w:r>
          </w:p>
        </w:tc>
        <w:tc>
          <w:tcPr>
            <w:tcW w:w="3081" w:type="dxa"/>
          </w:tcPr>
          <w:p w14:paraId="69A0A36A" w14:textId="77777777" w:rsidR="00753DAA" w:rsidRPr="00B64F95" w:rsidRDefault="00753DAA" w:rsidP="00A0283A">
            <w:pPr>
              <w:spacing w:after="0" w:line="240" w:lineRule="auto"/>
              <w:rPr>
                <w:rFonts w:ascii="Arial" w:eastAsia="Times New Roman" w:hAnsi="Arial" w:cs="Arial"/>
                <w:sz w:val="20"/>
                <w:szCs w:val="20"/>
                <w:lang w:eastAsia="en-GB"/>
              </w:rPr>
            </w:pPr>
            <w:r w:rsidRPr="00B64F95">
              <w:rPr>
                <w:rFonts w:ascii="Arial" w:eastAsia="Times New Roman" w:hAnsi="Arial" w:cs="Arial"/>
                <w:sz w:val="20"/>
                <w:szCs w:val="20"/>
                <w:lang w:eastAsia="en-GB"/>
              </w:rPr>
              <w:t xml:space="preserve">Reduced investment balance leading to a lower impact in the event of a default; however long-term interest costs </w:t>
            </w:r>
            <w:r w:rsidR="00A0283A" w:rsidRPr="00B64F95">
              <w:rPr>
                <w:rFonts w:ascii="Arial" w:eastAsia="Times New Roman" w:hAnsi="Arial" w:cs="Arial"/>
                <w:sz w:val="20"/>
                <w:szCs w:val="20"/>
                <w:lang w:eastAsia="en-GB"/>
              </w:rPr>
              <w:t>may</w:t>
            </w:r>
            <w:r w:rsidRPr="00B64F95">
              <w:rPr>
                <w:rFonts w:ascii="Arial" w:eastAsia="Times New Roman" w:hAnsi="Arial" w:cs="Arial"/>
                <w:sz w:val="20"/>
                <w:szCs w:val="20"/>
                <w:lang w:eastAsia="en-GB"/>
              </w:rPr>
              <w:t xml:space="preserve"> be less certain</w:t>
            </w:r>
          </w:p>
        </w:tc>
      </w:tr>
    </w:tbl>
    <w:p w14:paraId="6252F0AB" w14:textId="77777777" w:rsidR="001B2B12" w:rsidRPr="00B64F95" w:rsidRDefault="001B2B12" w:rsidP="001B2B12">
      <w:pPr>
        <w:pStyle w:val="ListParagraph"/>
        <w:ind w:left="0"/>
        <w:contextualSpacing w:val="0"/>
        <w:jc w:val="both"/>
        <w:rPr>
          <w:rFonts w:ascii="Trebuchet MS" w:hAnsi="Trebuchet MS"/>
          <w:sz w:val="20"/>
          <w:szCs w:val="20"/>
        </w:rPr>
      </w:pPr>
      <w:r w:rsidRPr="00B64F95">
        <w:rPr>
          <w:rFonts w:ascii="Trebuchet MS" w:hAnsi="Trebuchet MS"/>
          <w:sz w:val="20"/>
          <w:szCs w:val="20"/>
        </w:rPr>
        <w:t xml:space="preserve"> </w:t>
      </w:r>
    </w:p>
    <w:p w14:paraId="22E7B20E" w14:textId="77777777" w:rsidR="00872CF5" w:rsidRPr="00B64F95" w:rsidRDefault="00872CF5" w:rsidP="001B2B12">
      <w:pPr>
        <w:pStyle w:val="ListParagraph"/>
        <w:ind w:left="0"/>
        <w:contextualSpacing w:val="0"/>
        <w:jc w:val="both"/>
        <w:rPr>
          <w:rFonts w:ascii="Trebuchet MS" w:hAnsi="Trebuchet MS"/>
          <w:sz w:val="20"/>
          <w:szCs w:val="20"/>
        </w:rPr>
      </w:pPr>
    </w:p>
    <w:p w14:paraId="236996D7" w14:textId="35D09A5C" w:rsidR="00AE7D57" w:rsidRPr="00B64F95" w:rsidRDefault="00AE7D57" w:rsidP="00536A04">
      <w:pPr>
        <w:spacing w:after="0"/>
        <w:jc w:val="both"/>
        <w:rPr>
          <w:rFonts w:ascii="Trebuchet MS" w:hAnsi="Trebuchet MS"/>
          <w:b/>
          <w:sz w:val="20"/>
          <w:szCs w:val="20"/>
        </w:rPr>
      </w:pPr>
      <w:r w:rsidRPr="00B64F95">
        <w:rPr>
          <w:rFonts w:ascii="Trebuchet MS" w:hAnsi="Trebuchet MS"/>
          <w:b/>
          <w:sz w:val="20"/>
          <w:szCs w:val="20"/>
        </w:rPr>
        <w:t>I confirm this is my Treasury Management Strategy for 202</w:t>
      </w:r>
      <w:r w:rsidR="00A80B89">
        <w:rPr>
          <w:rFonts w:ascii="Trebuchet MS" w:hAnsi="Trebuchet MS"/>
          <w:b/>
          <w:sz w:val="20"/>
          <w:szCs w:val="20"/>
        </w:rPr>
        <w:t>6</w:t>
      </w:r>
      <w:r w:rsidR="00187120" w:rsidRPr="00B64F95">
        <w:rPr>
          <w:rFonts w:ascii="Trebuchet MS" w:hAnsi="Trebuchet MS"/>
          <w:b/>
          <w:sz w:val="20"/>
          <w:szCs w:val="20"/>
        </w:rPr>
        <w:t>/2</w:t>
      </w:r>
      <w:r w:rsidR="00A80B89">
        <w:rPr>
          <w:rFonts w:ascii="Trebuchet MS" w:hAnsi="Trebuchet MS"/>
          <w:b/>
          <w:sz w:val="20"/>
          <w:szCs w:val="20"/>
        </w:rPr>
        <w:t>7</w:t>
      </w:r>
    </w:p>
    <w:p w14:paraId="24CC8262" w14:textId="0E0F54EA" w:rsidR="00AE7D57" w:rsidRDefault="00EF17AF" w:rsidP="00536A04">
      <w:pPr>
        <w:spacing w:after="0"/>
        <w:jc w:val="both"/>
        <w:rPr>
          <w:noProof/>
        </w:rPr>
      </w:pPr>
      <w:r>
        <w:rPr>
          <w:noProof/>
        </w:rPr>
        <mc:AlternateContent>
          <mc:Choice Requires="wps">
            <w:drawing>
              <wp:anchor distT="0" distB="0" distL="114300" distR="114300" simplePos="0" relativeHeight="251659264" behindDoc="0" locked="0" layoutInCell="1" allowOverlap="1" wp14:anchorId="6C319C75" wp14:editId="372ECE6D">
                <wp:simplePos x="0" y="0"/>
                <wp:positionH relativeFrom="margin">
                  <wp:align>left</wp:align>
                </wp:positionH>
                <wp:positionV relativeFrom="paragraph">
                  <wp:posOffset>95250</wp:posOffset>
                </wp:positionV>
                <wp:extent cx="1524000" cy="714375"/>
                <wp:effectExtent l="0" t="0" r="19050" b="28575"/>
                <wp:wrapNone/>
                <wp:docPr id="2093761088" name="Rectangle 1"/>
                <wp:cNvGraphicFramePr/>
                <a:graphic xmlns:a="http://schemas.openxmlformats.org/drawingml/2006/main">
                  <a:graphicData uri="http://schemas.microsoft.com/office/word/2010/wordprocessingShape">
                    <wps:wsp>
                      <wps:cNvSpPr/>
                      <wps:spPr>
                        <a:xfrm>
                          <a:off x="0" y="0"/>
                          <a:ext cx="1524000" cy="714375"/>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8CB98" id="Rectangle 1" o:spid="_x0000_s1026" style="position:absolute;margin-left:0;margin-top:7.5pt;width:120pt;height:56.2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" fillcolor="black [3213]" strokecolor="black [3213]" strokeweight="2pt">
                <w10:wrap anchorx="margin"/>
              </v:rect>
            </w:pict>
          </mc:Fallback>
        </mc:AlternateContent>
      </w:r>
    </w:p>
    <w:p w14:paraId="64EE8A6C" w14:textId="12E660E4" w:rsidR="00EF17AF" w:rsidRDefault="00EF17AF" w:rsidP="00536A04">
      <w:pPr>
        <w:spacing w:after="0"/>
        <w:jc w:val="both"/>
        <w:rPr>
          <w:noProof/>
        </w:rPr>
      </w:pPr>
    </w:p>
    <w:p w14:paraId="1833E922" w14:textId="7E1F33B3" w:rsidR="00EF17AF" w:rsidRDefault="00EF17AF" w:rsidP="00536A04">
      <w:pPr>
        <w:spacing w:after="0"/>
        <w:jc w:val="both"/>
        <w:rPr>
          <w:noProof/>
        </w:rPr>
      </w:pPr>
    </w:p>
    <w:p w14:paraId="43019EDB" w14:textId="77777777" w:rsidR="00EF17AF" w:rsidRDefault="00EF17AF" w:rsidP="00536A04">
      <w:pPr>
        <w:spacing w:after="0"/>
        <w:jc w:val="both"/>
        <w:rPr>
          <w:noProof/>
        </w:rPr>
      </w:pPr>
    </w:p>
    <w:p w14:paraId="71708E31" w14:textId="77777777" w:rsidR="00EF17AF" w:rsidRPr="00B64F95" w:rsidRDefault="00EF17AF" w:rsidP="00536A04">
      <w:pPr>
        <w:spacing w:after="0"/>
        <w:jc w:val="both"/>
        <w:rPr>
          <w:rFonts w:ascii="Trebuchet MS" w:hAnsi="Trebuchet MS"/>
          <w:b/>
          <w:sz w:val="20"/>
          <w:szCs w:val="20"/>
        </w:rPr>
      </w:pPr>
    </w:p>
    <w:p w14:paraId="54B2BFFE" w14:textId="77777777" w:rsidR="00AE7D57" w:rsidRPr="00B64F95" w:rsidRDefault="00AE7D57" w:rsidP="00536A04">
      <w:pPr>
        <w:spacing w:after="0"/>
        <w:jc w:val="both"/>
        <w:rPr>
          <w:rFonts w:ascii="Trebuchet MS" w:hAnsi="Trebuchet MS"/>
          <w:b/>
          <w:sz w:val="20"/>
          <w:szCs w:val="20"/>
        </w:rPr>
      </w:pPr>
      <w:r w:rsidRPr="00B64F95">
        <w:rPr>
          <w:rFonts w:ascii="Trebuchet MS" w:hAnsi="Trebuchet MS"/>
          <w:b/>
          <w:sz w:val="20"/>
          <w:szCs w:val="20"/>
        </w:rPr>
        <w:t>Matthew Scott</w:t>
      </w:r>
    </w:p>
    <w:p w14:paraId="4B32EFB7" w14:textId="5D1275BF" w:rsidR="00241A6A" w:rsidRPr="00B64F95" w:rsidRDefault="00AE7D57" w:rsidP="00AB1F99">
      <w:pPr>
        <w:jc w:val="both"/>
        <w:rPr>
          <w:rFonts w:ascii="Trebuchet MS" w:hAnsi="Trebuchet MS"/>
          <w:sz w:val="20"/>
          <w:szCs w:val="20"/>
        </w:rPr>
      </w:pPr>
      <w:r w:rsidRPr="00B64F95">
        <w:rPr>
          <w:rFonts w:ascii="Trebuchet MS" w:hAnsi="Trebuchet MS"/>
          <w:b/>
          <w:sz w:val="20"/>
          <w:szCs w:val="20"/>
        </w:rPr>
        <w:t>Police and Crime Commissioner</w:t>
      </w:r>
    </w:p>
    <w:p w14:paraId="6446704A" w14:textId="77777777" w:rsidR="0035203E" w:rsidRPr="00B64F95" w:rsidRDefault="0035203E" w:rsidP="0035203E">
      <w:pPr>
        <w:pStyle w:val="ListParagraph"/>
        <w:ind w:left="0"/>
        <w:jc w:val="both"/>
        <w:rPr>
          <w:rFonts w:ascii="Trebuchet MS" w:hAnsi="Trebuchet MS"/>
          <w:b/>
          <w:sz w:val="20"/>
          <w:szCs w:val="20"/>
        </w:rPr>
      </w:pPr>
    </w:p>
    <w:p w14:paraId="1251DF8D" w14:textId="00094155" w:rsidR="004229F7" w:rsidRPr="00B64F95" w:rsidRDefault="004229F7" w:rsidP="0035203E">
      <w:pPr>
        <w:rPr>
          <w:rFonts w:ascii="Trebuchet MS" w:hAnsi="Trebuchet MS"/>
          <w:sz w:val="20"/>
          <w:szCs w:val="20"/>
        </w:rPr>
      </w:pPr>
    </w:p>
    <w:p w14:paraId="69F9E0EA" w14:textId="77777777" w:rsidR="004229F7" w:rsidRPr="00B64F95" w:rsidRDefault="004229F7" w:rsidP="001B2B12">
      <w:pPr>
        <w:pStyle w:val="ListParagraph"/>
        <w:ind w:left="0"/>
        <w:contextualSpacing w:val="0"/>
        <w:jc w:val="both"/>
        <w:rPr>
          <w:rFonts w:ascii="Trebuchet MS" w:hAnsi="Trebuchet MS"/>
          <w:sz w:val="20"/>
          <w:szCs w:val="20"/>
        </w:rPr>
      </w:pPr>
    </w:p>
    <w:p w14:paraId="32364FCB" w14:textId="77777777" w:rsidR="004229F7" w:rsidRPr="00B64F95" w:rsidRDefault="004229F7" w:rsidP="001B2B12">
      <w:pPr>
        <w:pStyle w:val="ListParagraph"/>
        <w:ind w:left="0"/>
        <w:contextualSpacing w:val="0"/>
        <w:jc w:val="both"/>
        <w:rPr>
          <w:rFonts w:ascii="Trebuchet MS" w:hAnsi="Trebuchet MS"/>
          <w:sz w:val="20"/>
          <w:szCs w:val="20"/>
        </w:rPr>
      </w:pPr>
    </w:p>
    <w:sectPr w:rsidR="004229F7" w:rsidRPr="00B64F95" w:rsidSect="001150F1">
      <w:headerReference w:type="even" r:id="rId12"/>
      <w:headerReference w:type="default" r:id="rId13"/>
      <w:footerReference w:type="even" r:id="rId14"/>
      <w:footerReference w:type="default" r:id="rId15"/>
      <w:headerReference w:type="first" r:id="rId16"/>
      <w:footerReference w:type="first" r:id="rId17"/>
      <w:pgSz w:w="11906" w:h="16838"/>
      <w:pgMar w:top="1276"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E152" w14:textId="77777777" w:rsidR="00892347" w:rsidRDefault="00892347" w:rsidP="000445E6">
      <w:pPr>
        <w:spacing w:after="0" w:line="240" w:lineRule="auto"/>
      </w:pPr>
      <w:r>
        <w:separator/>
      </w:r>
    </w:p>
  </w:endnote>
  <w:endnote w:type="continuationSeparator" w:id="0">
    <w:p w14:paraId="27D9E36C" w14:textId="77777777" w:rsidR="00892347" w:rsidRDefault="00892347" w:rsidP="0004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F210" w14:textId="77777777" w:rsidR="001B6F1F" w:rsidRDefault="001B6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E0A1" w14:textId="77777777" w:rsidR="001B6F1F" w:rsidRPr="000F18A5" w:rsidRDefault="001B6F1F">
    <w:pPr>
      <w:pStyle w:val="Footer"/>
      <w:jc w:val="right"/>
      <w:rPr>
        <w:rFonts w:ascii="Trebuchet MS" w:hAnsi="Trebuchet MS"/>
      </w:rPr>
    </w:pPr>
    <w:r w:rsidRPr="000F18A5">
      <w:rPr>
        <w:rFonts w:ascii="Trebuchet MS" w:hAnsi="Trebuchet MS"/>
      </w:rPr>
      <w:fldChar w:fldCharType="begin"/>
    </w:r>
    <w:r w:rsidRPr="000F18A5">
      <w:rPr>
        <w:rFonts w:ascii="Trebuchet MS" w:hAnsi="Trebuchet MS"/>
      </w:rPr>
      <w:instrText xml:space="preserve"> PAGE   \* MERGEFORMAT </w:instrText>
    </w:r>
    <w:r w:rsidRPr="000F18A5">
      <w:rPr>
        <w:rFonts w:ascii="Trebuchet MS" w:hAnsi="Trebuchet MS"/>
      </w:rPr>
      <w:fldChar w:fldCharType="separate"/>
    </w:r>
    <w:r>
      <w:rPr>
        <w:rFonts w:ascii="Trebuchet MS" w:hAnsi="Trebuchet MS"/>
        <w:noProof/>
      </w:rPr>
      <w:t>1</w:t>
    </w:r>
    <w:r>
      <w:rPr>
        <w:rFonts w:ascii="Trebuchet MS" w:hAnsi="Trebuchet MS"/>
        <w:noProof/>
      </w:rPr>
      <w:t>0</w:t>
    </w:r>
    <w:r w:rsidRPr="000F18A5">
      <w:rPr>
        <w:rFonts w:ascii="Trebuchet MS" w:hAnsi="Trebuchet MS"/>
        <w:noProof/>
      </w:rPr>
      <w:fldChar w:fldCharType="end"/>
    </w:r>
  </w:p>
  <w:p w14:paraId="77385FB8" w14:textId="77777777" w:rsidR="001B6F1F" w:rsidRDefault="001B6F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3FA0" w14:textId="77777777" w:rsidR="001B6F1F" w:rsidRDefault="001B6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6AAD" w14:textId="77777777" w:rsidR="00892347" w:rsidRDefault="00892347" w:rsidP="000445E6">
      <w:pPr>
        <w:spacing w:after="0" w:line="240" w:lineRule="auto"/>
      </w:pPr>
      <w:r>
        <w:separator/>
      </w:r>
    </w:p>
  </w:footnote>
  <w:footnote w:type="continuationSeparator" w:id="0">
    <w:p w14:paraId="0A80B1AB" w14:textId="77777777" w:rsidR="00892347" w:rsidRDefault="00892347" w:rsidP="0004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4761" w14:textId="77777777" w:rsidR="001B6F1F" w:rsidRDefault="001B6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66CF" w14:textId="77777777" w:rsidR="001B6F1F" w:rsidRDefault="001B6F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451B" w14:textId="77777777" w:rsidR="001B6F1F" w:rsidRDefault="001B6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310"/>
    <w:multiLevelType w:val="hybridMultilevel"/>
    <w:tmpl w:val="FC2E3756"/>
    <w:lvl w:ilvl="0" w:tplc="340C0056">
      <w:start w:val="1"/>
      <w:numFmt w:val="bullet"/>
      <w:lvlText w:val=""/>
      <w:lvlJc w:val="left"/>
      <w:pPr>
        <w:tabs>
          <w:tab w:val="num" w:pos="720"/>
        </w:tabs>
        <w:ind w:left="720" w:hanging="360"/>
      </w:pPr>
      <w:rPr>
        <w:rFonts w:ascii="Wingdings" w:hAnsi="Wingdings" w:hint="default"/>
      </w:rPr>
    </w:lvl>
    <w:lvl w:ilvl="1" w:tplc="4E68856E" w:tentative="1">
      <w:start w:val="1"/>
      <w:numFmt w:val="bullet"/>
      <w:lvlText w:val=""/>
      <w:lvlJc w:val="left"/>
      <w:pPr>
        <w:tabs>
          <w:tab w:val="num" w:pos="1440"/>
        </w:tabs>
        <w:ind w:left="1440" w:hanging="360"/>
      </w:pPr>
      <w:rPr>
        <w:rFonts w:ascii="Wingdings" w:hAnsi="Wingdings" w:hint="default"/>
      </w:rPr>
    </w:lvl>
    <w:lvl w:ilvl="2" w:tplc="4920B3A6" w:tentative="1">
      <w:start w:val="1"/>
      <w:numFmt w:val="bullet"/>
      <w:lvlText w:val=""/>
      <w:lvlJc w:val="left"/>
      <w:pPr>
        <w:tabs>
          <w:tab w:val="num" w:pos="2160"/>
        </w:tabs>
        <w:ind w:left="2160" w:hanging="360"/>
      </w:pPr>
      <w:rPr>
        <w:rFonts w:ascii="Wingdings" w:hAnsi="Wingdings" w:hint="default"/>
      </w:rPr>
    </w:lvl>
    <w:lvl w:ilvl="3" w:tplc="73CE2E1C" w:tentative="1">
      <w:start w:val="1"/>
      <w:numFmt w:val="bullet"/>
      <w:lvlText w:val=""/>
      <w:lvlJc w:val="left"/>
      <w:pPr>
        <w:tabs>
          <w:tab w:val="num" w:pos="2880"/>
        </w:tabs>
        <w:ind w:left="2880" w:hanging="360"/>
      </w:pPr>
      <w:rPr>
        <w:rFonts w:ascii="Wingdings" w:hAnsi="Wingdings" w:hint="default"/>
      </w:rPr>
    </w:lvl>
    <w:lvl w:ilvl="4" w:tplc="699E30B6" w:tentative="1">
      <w:start w:val="1"/>
      <w:numFmt w:val="bullet"/>
      <w:lvlText w:val=""/>
      <w:lvlJc w:val="left"/>
      <w:pPr>
        <w:tabs>
          <w:tab w:val="num" w:pos="3600"/>
        </w:tabs>
        <w:ind w:left="3600" w:hanging="360"/>
      </w:pPr>
      <w:rPr>
        <w:rFonts w:ascii="Wingdings" w:hAnsi="Wingdings" w:hint="default"/>
      </w:rPr>
    </w:lvl>
    <w:lvl w:ilvl="5" w:tplc="35D2200C" w:tentative="1">
      <w:start w:val="1"/>
      <w:numFmt w:val="bullet"/>
      <w:lvlText w:val=""/>
      <w:lvlJc w:val="left"/>
      <w:pPr>
        <w:tabs>
          <w:tab w:val="num" w:pos="4320"/>
        </w:tabs>
        <w:ind w:left="4320" w:hanging="360"/>
      </w:pPr>
      <w:rPr>
        <w:rFonts w:ascii="Wingdings" w:hAnsi="Wingdings" w:hint="default"/>
      </w:rPr>
    </w:lvl>
    <w:lvl w:ilvl="6" w:tplc="C2666DCC" w:tentative="1">
      <w:start w:val="1"/>
      <w:numFmt w:val="bullet"/>
      <w:lvlText w:val=""/>
      <w:lvlJc w:val="left"/>
      <w:pPr>
        <w:tabs>
          <w:tab w:val="num" w:pos="5040"/>
        </w:tabs>
        <w:ind w:left="5040" w:hanging="360"/>
      </w:pPr>
      <w:rPr>
        <w:rFonts w:ascii="Wingdings" w:hAnsi="Wingdings" w:hint="default"/>
      </w:rPr>
    </w:lvl>
    <w:lvl w:ilvl="7" w:tplc="CA50E2E8" w:tentative="1">
      <w:start w:val="1"/>
      <w:numFmt w:val="bullet"/>
      <w:lvlText w:val=""/>
      <w:lvlJc w:val="left"/>
      <w:pPr>
        <w:tabs>
          <w:tab w:val="num" w:pos="5760"/>
        </w:tabs>
        <w:ind w:left="5760" w:hanging="360"/>
      </w:pPr>
      <w:rPr>
        <w:rFonts w:ascii="Wingdings" w:hAnsi="Wingdings" w:hint="default"/>
      </w:rPr>
    </w:lvl>
    <w:lvl w:ilvl="8" w:tplc="64DA85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F7312"/>
    <w:multiLevelType w:val="hybridMultilevel"/>
    <w:tmpl w:val="B49C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705C"/>
    <w:multiLevelType w:val="multilevel"/>
    <w:tmpl w:val="A8E60998"/>
    <w:lvl w:ilvl="0">
      <w:start w:val="1"/>
      <w:numFmt w:val="decimal"/>
      <w:pStyle w:val="NumberedAnnexParaCharChar"/>
      <w:lvlText w:val="%1."/>
      <w:lvlJc w:val="left"/>
      <w:pPr>
        <w:tabs>
          <w:tab w:val="num" w:pos="1277"/>
        </w:tabs>
        <w:ind w:left="710" w:firstLine="0"/>
      </w:pPr>
      <w:rPr>
        <w:rFonts w:ascii="Arial" w:hAnsi="Arial" w:cs="Times New Roman" w:hint="default"/>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7109C5"/>
    <w:multiLevelType w:val="hybridMultilevel"/>
    <w:tmpl w:val="0F6CEED8"/>
    <w:lvl w:ilvl="0" w:tplc="86CCB77A">
      <w:start w:val="1"/>
      <w:numFmt w:val="bullet"/>
      <w:lvlText w:val=""/>
      <w:lvlJc w:val="left"/>
      <w:pPr>
        <w:tabs>
          <w:tab w:val="num" w:pos="720"/>
        </w:tabs>
        <w:ind w:left="720" w:hanging="360"/>
      </w:pPr>
      <w:rPr>
        <w:rFonts w:ascii="Wingdings" w:hAnsi="Wingdings" w:hint="default"/>
      </w:rPr>
    </w:lvl>
    <w:lvl w:ilvl="1" w:tplc="3A2035AA" w:tentative="1">
      <w:start w:val="1"/>
      <w:numFmt w:val="bullet"/>
      <w:lvlText w:val=""/>
      <w:lvlJc w:val="left"/>
      <w:pPr>
        <w:tabs>
          <w:tab w:val="num" w:pos="1440"/>
        </w:tabs>
        <w:ind w:left="1440" w:hanging="360"/>
      </w:pPr>
      <w:rPr>
        <w:rFonts w:ascii="Wingdings" w:hAnsi="Wingdings" w:hint="default"/>
      </w:rPr>
    </w:lvl>
    <w:lvl w:ilvl="2" w:tplc="3FF64B9A" w:tentative="1">
      <w:start w:val="1"/>
      <w:numFmt w:val="bullet"/>
      <w:lvlText w:val=""/>
      <w:lvlJc w:val="left"/>
      <w:pPr>
        <w:tabs>
          <w:tab w:val="num" w:pos="2160"/>
        </w:tabs>
        <w:ind w:left="2160" w:hanging="360"/>
      </w:pPr>
      <w:rPr>
        <w:rFonts w:ascii="Wingdings" w:hAnsi="Wingdings" w:hint="default"/>
      </w:rPr>
    </w:lvl>
    <w:lvl w:ilvl="3" w:tplc="B89E118E" w:tentative="1">
      <w:start w:val="1"/>
      <w:numFmt w:val="bullet"/>
      <w:lvlText w:val=""/>
      <w:lvlJc w:val="left"/>
      <w:pPr>
        <w:tabs>
          <w:tab w:val="num" w:pos="2880"/>
        </w:tabs>
        <w:ind w:left="2880" w:hanging="360"/>
      </w:pPr>
      <w:rPr>
        <w:rFonts w:ascii="Wingdings" w:hAnsi="Wingdings" w:hint="default"/>
      </w:rPr>
    </w:lvl>
    <w:lvl w:ilvl="4" w:tplc="CE78786C" w:tentative="1">
      <w:start w:val="1"/>
      <w:numFmt w:val="bullet"/>
      <w:lvlText w:val=""/>
      <w:lvlJc w:val="left"/>
      <w:pPr>
        <w:tabs>
          <w:tab w:val="num" w:pos="3600"/>
        </w:tabs>
        <w:ind w:left="3600" w:hanging="360"/>
      </w:pPr>
      <w:rPr>
        <w:rFonts w:ascii="Wingdings" w:hAnsi="Wingdings" w:hint="default"/>
      </w:rPr>
    </w:lvl>
    <w:lvl w:ilvl="5" w:tplc="550E56C8" w:tentative="1">
      <w:start w:val="1"/>
      <w:numFmt w:val="bullet"/>
      <w:lvlText w:val=""/>
      <w:lvlJc w:val="left"/>
      <w:pPr>
        <w:tabs>
          <w:tab w:val="num" w:pos="4320"/>
        </w:tabs>
        <w:ind w:left="4320" w:hanging="360"/>
      </w:pPr>
      <w:rPr>
        <w:rFonts w:ascii="Wingdings" w:hAnsi="Wingdings" w:hint="default"/>
      </w:rPr>
    </w:lvl>
    <w:lvl w:ilvl="6" w:tplc="C4882936" w:tentative="1">
      <w:start w:val="1"/>
      <w:numFmt w:val="bullet"/>
      <w:lvlText w:val=""/>
      <w:lvlJc w:val="left"/>
      <w:pPr>
        <w:tabs>
          <w:tab w:val="num" w:pos="5040"/>
        </w:tabs>
        <w:ind w:left="5040" w:hanging="360"/>
      </w:pPr>
      <w:rPr>
        <w:rFonts w:ascii="Wingdings" w:hAnsi="Wingdings" w:hint="default"/>
      </w:rPr>
    </w:lvl>
    <w:lvl w:ilvl="7" w:tplc="5EA42C0C" w:tentative="1">
      <w:start w:val="1"/>
      <w:numFmt w:val="bullet"/>
      <w:lvlText w:val=""/>
      <w:lvlJc w:val="left"/>
      <w:pPr>
        <w:tabs>
          <w:tab w:val="num" w:pos="5760"/>
        </w:tabs>
        <w:ind w:left="5760" w:hanging="360"/>
      </w:pPr>
      <w:rPr>
        <w:rFonts w:ascii="Wingdings" w:hAnsi="Wingdings" w:hint="default"/>
      </w:rPr>
    </w:lvl>
    <w:lvl w:ilvl="8" w:tplc="51A20E7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C5392"/>
    <w:multiLevelType w:val="hybridMultilevel"/>
    <w:tmpl w:val="EB60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02A0B"/>
    <w:multiLevelType w:val="multilevel"/>
    <w:tmpl w:val="4468973A"/>
    <w:lvl w:ilvl="0">
      <w:start w:val="1"/>
      <w:numFmt w:val="decimal"/>
      <w:lvlText w:val="%1."/>
      <w:lvlJc w:val="center"/>
      <w:pPr>
        <w:tabs>
          <w:tab w:val="num" w:pos="360"/>
        </w:tabs>
        <w:ind w:left="360" w:hanging="360"/>
      </w:pPr>
      <w:rPr>
        <w:rFonts w:hint="default"/>
      </w:rPr>
    </w:lvl>
    <w:lvl w:ilvl="1">
      <w:start w:val="1"/>
      <w:numFmt w:val="decimal"/>
      <w:lvlText w:val="%1.%2"/>
      <w:lvlJc w:val="left"/>
      <w:pPr>
        <w:tabs>
          <w:tab w:val="num" w:pos="838"/>
        </w:tabs>
        <w:ind w:left="838" w:hanging="838"/>
      </w:pPr>
      <w:rPr>
        <w:rFonts w:hint="default"/>
        <w:b w:val="0"/>
        <w:i w:val="0"/>
        <w:sz w:val="24"/>
      </w:rPr>
    </w:lvl>
    <w:lvl w:ilvl="2">
      <w:start w:val="1"/>
      <w:numFmt w:val="decimal"/>
      <w:lvlText w:val="%1.%2.%3"/>
      <w:lvlJc w:val="left"/>
      <w:pPr>
        <w:tabs>
          <w:tab w:val="num" w:pos="1728"/>
        </w:tabs>
        <w:ind w:left="1728" w:hanging="720"/>
      </w:pPr>
      <w:rPr>
        <w:rFonts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7FB2C64"/>
    <w:multiLevelType w:val="hybridMultilevel"/>
    <w:tmpl w:val="497A5D54"/>
    <w:lvl w:ilvl="0" w:tplc="C6E0156C">
      <w:start w:val="1"/>
      <w:numFmt w:val="bullet"/>
      <w:lvlText w:val=""/>
      <w:lvlJc w:val="left"/>
      <w:pPr>
        <w:tabs>
          <w:tab w:val="num" w:pos="720"/>
        </w:tabs>
        <w:ind w:left="720" w:hanging="360"/>
      </w:pPr>
      <w:rPr>
        <w:rFonts w:ascii="Wingdings" w:hAnsi="Wingdings" w:hint="default"/>
      </w:rPr>
    </w:lvl>
    <w:lvl w:ilvl="1" w:tplc="14125B14" w:tentative="1">
      <w:start w:val="1"/>
      <w:numFmt w:val="bullet"/>
      <w:lvlText w:val=""/>
      <w:lvlJc w:val="left"/>
      <w:pPr>
        <w:tabs>
          <w:tab w:val="num" w:pos="1440"/>
        </w:tabs>
        <w:ind w:left="1440" w:hanging="360"/>
      </w:pPr>
      <w:rPr>
        <w:rFonts w:ascii="Wingdings" w:hAnsi="Wingdings" w:hint="default"/>
      </w:rPr>
    </w:lvl>
    <w:lvl w:ilvl="2" w:tplc="9C1446E6" w:tentative="1">
      <w:start w:val="1"/>
      <w:numFmt w:val="bullet"/>
      <w:lvlText w:val=""/>
      <w:lvlJc w:val="left"/>
      <w:pPr>
        <w:tabs>
          <w:tab w:val="num" w:pos="2160"/>
        </w:tabs>
        <w:ind w:left="2160" w:hanging="360"/>
      </w:pPr>
      <w:rPr>
        <w:rFonts w:ascii="Wingdings" w:hAnsi="Wingdings" w:hint="default"/>
      </w:rPr>
    </w:lvl>
    <w:lvl w:ilvl="3" w:tplc="780CFA4C" w:tentative="1">
      <w:start w:val="1"/>
      <w:numFmt w:val="bullet"/>
      <w:lvlText w:val=""/>
      <w:lvlJc w:val="left"/>
      <w:pPr>
        <w:tabs>
          <w:tab w:val="num" w:pos="2880"/>
        </w:tabs>
        <w:ind w:left="2880" w:hanging="360"/>
      </w:pPr>
      <w:rPr>
        <w:rFonts w:ascii="Wingdings" w:hAnsi="Wingdings" w:hint="default"/>
      </w:rPr>
    </w:lvl>
    <w:lvl w:ilvl="4" w:tplc="C8A283EC" w:tentative="1">
      <w:start w:val="1"/>
      <w:numFmt w:val="bullet"/>
      <w:lvlText w:val=""/>
      <w:lvlJc w:val="left"/>
      <w:pPr>
        <w:tabs>
          <w:tab w:val="num" w:pos="3600"/>
        </w:tabs>
        <w:ind w:left="3600" w:hanging="360"/>
      </w:pPr>
      <w:rPr>
        <w:rFonts w:ascii="Wingdings" w:hAnsi="Wingdings" w:hint="default"/>
      </w:rPr>
    </w:lvl>
    <w:lvl w:ilvl="5" w:tplc="59EC040A" w:tentative="1">
      <w:start w:val="1"/>
      <w:numFmt w:val="bullet"/>
      <w:lvlText w:val=""/>
      <w:lvlJc w:val="left"/>
      <w:pPr>
        <w:tabs>
          <w:tab w:val="num" w:pos="4320"/>
        </w:tabs>
        <w:ind w:left="4320" w:hanging="360"/>
      </w:pPr>
      <w:rPr>
        <w:rFonts w:ascii="Wingdings" w:hAnsi="Wingdings" w:hint="default"/>
      </w:rPr>
    </w:lvl>
    <w:lvl w:ilvl="6" w:tplc="2DBCD6CA" w:tentative="1">
      <w:start w:val="1"/>
      <w:numFmt w:val="bullet"/>
      <w:lvlText w:val=""/>
      <w:lvlJc w:val="left"/>
      <w:pPr>
        <w:tabs>
          <w:tab w:val="num" w:pos="5040"/>
        </w:tabs>
        <w:ind w:left="5040" w:hanging="360"/>
      </w:pPr>
      <w:rPr>
        <w:rFonts w:ascii="Wingdings" w:hAnsi="Wingdings" w:hint="default"/>
      </w:rPr>
    </w:lvl>
    <w:lvl w:ilvl="7" w:tplc="B8FC1DFA" w:tentative="1">
      <w:start w:val="1"/>
      <w:numFmt w:val="bullet"/>
      <w:lvlText w:val=""/>
      <w:lvlJc w:val="left"/>
      <w:pPr>
        <w:tabs>
          <w:tab w:val="num" w:pos="5760"/>
        </w:tabs>
        <w:ind w:left="5760" w:hanging="360"/>
      </w:pPr>
      <w:rPr>
        <w:rFonts w:ascii="Wingdings" w:hAnsi="Wingdings" w:hint="default"/>
      </w:rPr>
    </w:lvl>
    <w:lvl w:ilvl="8" w:tplc="54CCA7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4527B"/>
    <w:multiLevelType w:val="hybridMultilevel"/>
    <w:tmpl w:val="117059B8"/>
    <w:lvl w:ilvl="0" w:tplc="B0C645C8">
      <w:start w:val="5"/>
      <w:numFmt w:val="bullet"/>
      <w:lvlText w:val="•"/>
      <w:lvlJc w:val="left"/>
      <w:pPr>
        <w:ind w:left="1080" w:hanging="72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56E8E"/>
    <w:multiLevelType w:val="hybridMultilevel"/>
    <w:tmpl w:val="2E62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83F3E"/>
    <w:multiLevelType w:val="hybridMultilevel"/>
    <w:tmpl w:val="FAC62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64794"/>
    <w:multiLevelType w:val="hybridMultilevel"/>
    <w:tmpl w:val="5DC25D76"/>
    <w:lvl w:ilvl="0" w:tplc="0AD02E60">
      <w:start w:val="1"/>
      <w:numFmt w:val="bullet"/>
      <w:lvlText w:val=""/>
      <w:lvlJc w:val="left"/>
      <w:pPr>
        <w:tabs>
          <w:tab w:val="num" w:pos="720"/>
        </w:tabs>
        <w:ind w:left="720" w:hanging="360"/>
      </w:pPr>
      <w:rPr>
        <w:rFonts w:ascii="Wingdings" w:hAnsi="Wingdings" w:hint="default"/>
      </w:rPr>
    </w:lvl>
    <w:lvl w:ilvl="1" w:tplc="82A8DB2E" w:tentative="1">
      <w:start w:val="1"/>
      <w:numFmt w:val="bullet"/>
      <w:lvlText w:val=""/>
      <w:lvlJc w:val="left"/>
      <w:pPr>
        <w:tabs>
          <w:tab w:val="num" w:pos="1440"/>
        </w:tabs>
        <w:ind w:left="1440" w:hanging="360"/>
      </w:pPr>
      <w:rPr>
        <w:rFonts w:ascii="Wingdings" w:hAnsi="Wingdings" w:hint="default"/>
      </w:rPr>
    </w:lvl>
    <w:lvl w:ilvl="2" w:tplc="0A525884" w:tentative="1">
      <w:start w:val="1"/>
      <w:numFmt w:val="bullet"/>
      <w:lvlText w:val=""/>
      <w:lvlJc w:val="left"/>
      <w:pPr>
        <w:tabs>
          <w:tab w:val="num" w:pos="2160"/>
        </w:tabs>
        <w:ind w:left="2160" w:hanging="360"/>
      </w:pPr>
      <w:rPr>
        <w:rFonts w:ascii="Wingdings" w:hAnsi="Wingdings" w:hint="default"/>
      </w:rPr>
    </w:lvl>
    <w:lvl w:ilvl="3" w:tplc="15D4C19C" w:tentative="1">
      <w:start w:val="1"/>
      <w:numFmt w:val="bullet"/>
      <w:lvlText w:val=""/>
      <w:lvlJc w:val="left"/>
      <w:pPr>
        <w:tabs>
          <w:tab w:val="num" w:pos="2880"/>
        </w:tabs>
        <w:ind w:left="2880" w:hanging="360"/>
      </w:pPr>
      <w:rPr>
        <w:rFonts w:ascii="Wingdings" w:hAnsi="Wingdings" w:hint="default"/>
      </w:rPr>
    </w:lvl>
    <w:lvl w:ilvl="4" w:tplc="287EC14A" w:tentative="1">
      <w:start w:val="1"/>
      <w:numFmt w:val="bullet"/>
      <w:lvlText w:val=""/>
      <w:lvlJc w:val="left"/>
      <w:pPr>
        <w:tabs>
          <w:tab w:val="num" w:pos="3600"/>
        </w:tabs>
        <w:ind w:left="3600" w:hanging="360"/>
      </w:pPr>
      <w:rPr>
        <w:rFonts w:ascii="Wingdings" w:hAnsi="Wingdings" w:hint="default"/>
      </w:rPr>
    </w:lvl>
    <w:lvl w:ilvl="5" w:tplc="E5F69090" w:tentative="1">
      <w:start w:val="1"/>
      <w:numFmt w:val="bullet"/>
      <w:lvlText w:val=""/>
      <w:lvlJc w:val="left"/>
      <w:pPr>
        <w:tabs>
          <w:tab w:val="num" w:pos="4320"/>
        </w:tabs>
        <w:ind w:left="4320" w:hanging="360"/>
      </w:pPr>
      <w:rPr>
        <w:rFonts w:ascii="Wingdings" w:hAnsi="Wingdings" w:hint="default"/>
      </w:rPr>
    </w:lvl>
    <w:lvl w:ilvl="6" w:tplc="63C860B2" w:tentative="1">
      <w:start w:val="1"/>
      <w:numFmt w:val="bullet"/>
      <w:lvlText w:val=""/>
      <w:lvlJc w:val="left"/>
      <w:pPr>
        <w:tabs>
          <w:tab w:val="num" w:pos="5040"/>
        </w:tabs>
        <w:ind w:left="5040" w:hanging="360"/>
      </w:pPr>
      <w:rPr>
        <w:rFonts w:ascii="Wingdings" w:hAnsi="Wingdings" w:hint="default"/>
      </w:rPr>
    </w:lvl>
    <w:lvl w:ilvl="7" w:tplc="0CCC30C6" w:tentative="1">
      <w:start w:val="1"/>
      <w:numFmt w:val="bullet"/>
      <w:lvlText w:val=""/>
      <w:lvlJc w:val="left"/>
      <w:pPr>
        <w:tabs>
          <w:tab w:val="num" w:pos="5760"/>
        </w:tabs>
        <w:ind w:left="5760" w:hanging="360"/>
      </w:pPr>
      <w:rPr>
        <w:rFonts w:ascii="Wingdings" w:hAnsi="Wingdings" w:hint="default"/>
      </w:rPr>
    </w:lvl>
    <w:lvl w:ilvl="8" w:tplc="A2786D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B72B7A"/>
    <w:multiLevelType w:val="hybridMultilevel"/>
    <w:tmpl w:val="590A53E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D500E53"/>
    <w:multiLevelType w:val="hybridMultilevel"/>
    <w:tmpl w:val="5D8E941A"/>
    <w:lvl w:ilvl="0" w:tplc="12628924">
      <w:start w:val="1"/>
      <w:numFmt w:val="bullet"/>
      <w:lvlText w:val=""/>
      <w:lvlJc w:val="left"/>
      <w:pPr>
        <w:tabs>
          <w:tab w:val="num" w:pos="720"/>
        </w:tabs>
        <w:ind w:left="720" w:hanging="360"/>
      </w:pPr>
      <w:rPr>
        <w:rFonts w:ascii="Wingdings" w:hAnsi="Wingdings" w:hint="default"/>
      </w:rPr>
    </w:lvl>
    <w:lvl w:ilvl="1" w:tplc="C8D29CD2" w:tentative="1">
      <w:start w:val="1"/>
      <w:numFmt w:val="bullet"/>
      <w:lvlText w:val=""/>
      <w:lvlJc w:val="left"/>
      <w:pPr>
        <w:tabs>
          <w:tab w:val="num" w:pos="1440"/>
        </w:tabs>
        <w:ind w:left="1440" w:hanging="360"/>
      </w:pPr>
      <w:rPr>
        <w:rFonts w:ascii="Wingdings" w:hAnsi="Wingdings" w:hint="default"/>
      </w:rPr>
    </w:lvl>
    <w:lvl w:ilvl="2" w:tplc="B450E346" w:tentative="1">
      <w:start w:val="1"/>
      <w:numFmt w:val="bullet"/>
      <w:lvlText w:val=""/>
      <w:lvlJc w:val="left"/>
      <w:pPr>
        <w:tabs>
          <w:tab w:val="num" w:pos="2160"/>
        </w:tabs>
        <w:ind w:left="2160" w:hanging="360"/>
      </w:pPr>
      <w:rPr>
        <w:rFonts w:ascii="Wingdings" w:hAnsi="Wingdings" w:hint="default"/>
      </w:rPr>
    </w:lvl>
    <w:lvl w:ilvl="3" w:tplc="A2F067C8" w:tentative="1">
      <w:start w:val="1"/>
      <w:numFmt w:val="bullet"/>
      <w:lvlText w:val=""/>
      <w:lvlJc w:val="left"/>
      <w:pPr>
        <w:tabs>
          <w:tab w:val="num" w:pos="2880"/>
        </w:tabs>
        <w:ind w:left="2880" w:hanging="360"/>
      </w:pPr>
      <w:rPr>
        <w:rFonts w:ascii="Wingdings" w:hAnsi="Wingdings" w:hint="default"/>
      </w:rPr>
    </w:lvl>
    <w:lvl w:ilvl="4" w:tplc="E89C5748" w:tentative="1">
      <w:start w:val="1"/>
      <w:numFmt w:val="bullet"/>
      <w:lvlText w:val=""/>
      <w:lvlJc w:val="left"/>
      <w:pPr>
        <w:tabs>
          <w:tab w:val="num" w:pos="3600"/>
        </w:tabs>
        <w:ind w:left="3600" w:hanging="360"/>
      </w:pPr>
      <w:rPr>
        <w:rFonts w:ascii="Wingdings" w:hAnsi="Wingdings" w:hint="default"/>
      </w:rPr>
    </w:lvl>
    <w:lvl w:ilvl="5" w:tplc="C5EC9232" w:tentative="1">
      <w:start w:val="1"/>
      <w:numFmt w:val="bullet"/>
      <w:lvlText w:val=""/>
      <w:lvlJc w:val="left"/>
      <w:pPr>
        <w:tabs>
          <w:tab w:val="num" w:pos="4320"/>
        </w:tabs>
        <w:ind w:left="4320" w:hanging="360"/>
      </w:pPr>
      <w:rPr>
        <w:rFonts w:ascii="Wingdings" w:hAnsi="Wingdings" w:hint="default"/>
      </w:rPr>
    </w:lvl>
    <w:lvl w:ilvl="6" w:tplc="1D92BBDE" w:tentative="1">
      <w:start w:val="1"/>
      <w:numFmt w:val="bullet"/>
      <w:lvlText w:val=""/>
      <w:lvlJc w:val="left"/>
      <w:pPr>
        <w:tabs>
          <w:tab w:val="num" w:pos="5040"/>
        </w:tabs>
        <w:ind w:left="5040" w:hanging="360"/>
      </w:pPr>
      <w:rPr>
        <w:rFonts w:ascii="Wingdings" w:hAnsi="Wingdings" w:hint="default"/>
      </w:rPr>
    </w:lvl>
    <w:lvl w:ilvl="7" w:tplc="BC00E824" w:tentative="1">
      <w:start w:val="1"/>
      <w:numFmt w:val="bullet"/>
      <w:lvlText w:val=""/>
      <w:lvlJc w:val="left"/>
      <w:pPr>
        <w:tabs>
          <w:tab w:val="num" w:pos="5760"/>
        </w:tabs>
        <w:ind w:left="5760" w:hanging="360"/>
      </w:pPr>
      <w:rPr>
        <w:rFonts w:ascii="Wingdings" w:hAnsi="Wingdings" w:hint="default"/>
      </w:rPr>
    </w:lvl>
    <w:lvl w:ilvl="8" w:tplc="460A73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D53BA"/>
    <w:multiLevelType w:val="hybridMultilevel"/>
    <w:tmpl w:val="801E7EDA"/>
    <w:lvl w:ilvl="0" w:tplc="CD582F7C">
      <w:start w:val="1"/>
      <w:numFmt w:val="bullet"/>
      <w:lvlText w:val=""/>
      <w:lvlJc w:val="left"/>
      <w:pPr>
        <w:tabs>
          <w:tab w:val="num" w:pos="720"/>
        </w:tabs>
        <w:ind w:left="720" w:hanging="360"/>
      </w:pPr>
      <w:rPr>
        <w:rFonts w:ascii="Wingdings" w:hAnsi="Wingdings" w:hint="default"/>
      </w:rPr>
    </w:lvl>
    <w:lvl w:ilvl="1" w:tplc="0130C6D2" w:tentative="1">
      <w:start w:val="1"/>
      <w:numFmt w:val="bullet"/>
      <w:lvlText w:val=""/>
      <w:lvlJc w:val="left"/>
      <w:pPr>
        <w:tabs>
          <w:tab w:val="num" w:pos="1440"/>
        </w:tabs>
        <w:ind w:left="1440" w:hanging="360"/>
      </w:pPr>
      <w:rPr>
        <w:rFonts w:ascii="Wingdings" w:hAnsi="Wingdings" w:hint="default"/>
      </w:rPr>
    </w:lvl>
    <w:lvl w:ilvl="2" w:tplc="0D5AA1F6" w:tentative="1">
      <w:start w:val="1"/>
      <w:numFmt w:val="bullet"/>
      <w:lvlText w:val=""/>
      <w:lvlJc w:val="left"/>
      <w:pPr>
        <w:tabs>
          <w:tab w:val="num" w:pos="2160"/>
        </w:tabs>
        <w:ind w:left="2160" w:hanging="360"/>
      </w:pPr>
      <w:rPr>
        <w:rFonts w:ascii="Wingdings" w:hAnsi="Wingdings" w:hint="default"/>
      </w:rPr>
    </w:lvl>
    <w:lvl w:ilvl="3" w:tplc="DEEE0E86" w:tentative="1">
      <w:start w:val="1"/>
      <w:numFmt w:val="bullet"/>
      <w:lvlText w:val=""/>
      <w:lvlJc w:val="left"/>
      <w:pPr>
        <w:tabs>
          <w:tab w:val="num" w:pos="2880"/>
        </w:tabs>
        <w:ind w:left="2880" w:hanging="360"/>
      </w:pPr>
      <w:rPr>
        <w:rFonts w:ascii="Wingdings" w:hAnsi="Wingdings" w:hint="default"/>
      </w:rPr>
    </w:lvl>
    <w:lvl w:ilvl="4" w:tplc="749AA180" w:tentative="1">
      <w:start w:val="1"/>
      <w:numFmt w:val="bullet"/>
      <w:lvlText w:val=""/>
      <w:lvlJc w:val="left"/>
      <w:pPr>
        <w:tabs>
          <w:tab w:val="num" w:pos="3600"/>
        </w:tabs>
        <w:ind w:left="3600" w:hanging="360"/>
      </w:pPr>
      <w:rPr>
        <w:rFonts w:ascii="Wingdings" w:hAnsi="Wingdings" w:hint="default"/>
      </w:rPr>
    </w:lvl>
    <w:lvl w:ilvl="5" w:tplc="3664F10C" w:tentative="1">
      <w:start w:val="1"/>
      <w:numFmt w:val="bullet"/>
      <w:lvlText w:val=""/>
      <w:lvlJc w:val="left"/>
      <w:pPr>
        <w:tabs>
          <w:tab w:val="num" w:pos="4320"/>
        </w:tabs>
        <w:ind w:left="4320" w:hanging="360"/>
      </w:pPr>
      <w:rPr>
        <w:rFonts w:ascii="Wingdings" w:hAnsi="Wingdings" w:hint="default"/>
      </w:rPr>
    </w:lvl>
    <w:lvl w:ilvl="6" w:tplc="215E56B0" w:tentative="1">
      <w:start w:val="1"/>
      <w:numFmt w:val="bullet"/>
      <w:lvlText w:val=""/>
      <w:lvlJc w:val="left"/>
      <w:pPr>
        <w:tabs>
          <w:tab w:val="num" w:pos="5040"/>
        </w:tabs>
        <w:ind w:left="5040" w:hanging="360"/>
      </w:pPr>
      <w:rPr>
        <w:rFonts w:ascii="Wingdings" w:hAnsi="Wingdings" w:hint="default"/>
      </w:rPr>
    </w:lvl>
    <w:lvl w:ilvl="7" w:tplc="03C85ED6" w:tentative="1">
      <w:start w:val="1"/>
      <w:numFmt w:val="bullet"/>
      <w:lvlText w:val=""/>
      <w:lvlJc w:val="left"/>
      <w:pPr>
        <w:tabs>
          <w:tab w:val="num" w:pos="5760"/>
        </w:tabs>
        <w:ind w:left="5760" w:hanging="360"/>
      </w:pPr>
      <w:rPr>
        <w:rFonts w:ascii="Wingdings" w:hAnsi="Wingdings" w:hint="default"/>
      </w:rPr>
    </w:lvl>
    <w:lvl w:ilvl="8" w:tplc="9D1E25E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C3D75"/>
    <w:multiLevelType w:val="hybridMultilevel"/>
    <w:tmpl w:val="3C92049E"/>
    <w:lvl w:ilvl="0" w:tplc="EE4432B8">
      <w:numFmt w:val="bullet"/>
      <w:lvlText w:val="–"/>
      <w:lvlJc w:val="left"/>
      <w:pPr>
        <w:ind w:left="420" w:hanging="360"/>
      </w:pPr>
      <w:rPr>
        <w:rFonts w:ascii="Trebuchet MS" w:eastAsia="Calibri" w:hAnsi="Trebuchet M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3C484EDD"/>
    <w:multiLevelType w:val="hybridMultilevel"/>
    <w:tmpl w:val="9A2C1C64"/>
    <w:lvl w:ilvl="0" w:tplc="71CAF53C">
      <w:start w:val="1"/>
      <w:numFmt w:val="bullet"/>
      <w:lvlText w:val=""/>
      <w:lvlJc w:val="left"/>
      <w:pPr>
        <w:tabs>
          <w:tab w:val="num" w:pos="720"/>
        </w:tabs>
        <w:ind w:left="720" w:hanging="360"/>
      </w:pPr>
      <w:rPr>
        <w:rFonts w:ascii="Wingdings" w:hAnsi="Wingdings" w:hint="default"/>
      </w:rPr>
    </w:lvl>
    <w:lvl w:ilvl="1" w:tplc="8D1E5948" w:tentative="1">
      <w:start w:val="1"/>
      <w:numFmt w:val="bullet"/>
      <w:lvlText w:val=""/>
      <w:lvlJc w:val="left"/>
      <w:pPr>
        <w:tabs>
          <w:tab w:val="num" w:pos="1440"/>
        </w:tabs>
        <w:ind w:left="1440" w:hanging="360"/>
      </w:pPr>
      <w:rPr>
        <w:rFonts w:ascii="Wingdings" w:hAnsi="Wingdings" w:hint="default"/>
      </w:rPr>
    </w:lvl>
    <w:lvl w:ilvl="2" w:tplc="A2CA8F18" w:tentative="1">
      <w:start w:val="1"/>
      <w:numFmt w:val="bullet"/>
      <w:lvlText w:val=""/>
      <w:lvlJc w:val="left"/>
      <w:pPr>
        <w:tabs>
          <w:tab w:val="num" w:pos="2160"/>
        </w:tabs>
        <w:ind w:left="2160" w:hanging="360"/>
      </w:pPr>
      <w:rPr>
        <w:rFonts w:ascii="Wingdings" w:hAnsi="Wingdings" w:hint="default"/>
      </w:rPr>
    </w:lvl>
    <w:lvl w:ilvl="3" w:tplc="2E526A42" w:tentative="1">
      <w:start w:val="1"/>
      <w:numFmt w:val="bullet"/>
      <w:lvlText w:val=""/>
      <w:lvlJc w:val="left"/>
      <w:pPr>
        <w:tabs>
          <w:tab w:val="num" w:pos="2880"/>
        </w:tabs>
        <w:ind w:left="2880" w:hanging="360"/>
      </w:pPr>
      <w:rPr>
        <w:rFonts w:ascii="Wingdings" w:hAnsi="Wingdings" w:hint="default"/>
      </w:rPr>
    </w:lvl>
    <w:lvl w:ilvl="4" w:tplc="BD96BA70" w:tentative="1">
      <w:start w:val="1"/>
      <w:numFmt w:val="bullet"/>
      <w:lvlText w:val=""/>
      <w:lvlJc w:val="left"/>
      <w:pPr>
        <w:tabs>
          <w:tab w:val="num" w:pos="3600"/>
        </w:tabs>
        <w:ind w:left="3600" w:hanging="360"/>
      </w:pPr>
      <w:rPr>
        <w:rFonts w:ascii="Wingdings" w:hAnsi="Wingdings" w:hint="default"/>
      </w:rPr>
    </w:lvl>
    <w:lvl w:ilvl="5" w:tplc="DEAE3618" w:tentative="1">
      <w:start w:val="1"/>
      <w:numFmt w:val="bullet"/>
      <w:lvlText w:val=""/>
      <w:lvlJc w:val="left"/>
      <w:pPr>
        <w:tabs>
          <w:tab w:val="num" w:pos="4320"/>
        </w:tabs>
        <w:ind w:left="4320" w:hanging="360"/>
      </w:pPr>
      <w:rPr>
        <w:rFonts w:ascii="Wingdings" w:hAnsi="Wingdings" w:hint="default"/>
      </w:rPr>
    </w:lvl>
    <w:lvl w:ilvl="6" w:tplc="B7667A1A" w:tentative="1">
      <w:start w:val="1"/>
      <w:numFmt w:val="bullet"/>
      <w:lvlText w:val=""/>
      <w:lvlJc w:val="left"/>
      <w:pPr>
        <w:tabs>
          <w:tab w:val="num" w:pos="5040"/>
        </w:tabs>
        <w:ind w:left="5040" w:hanging="360"/>
      </w:pPr>
      <w:rPr>
        <w:rFonts w:ascii="Wingdings" w:hAnsi="Wingdings" w:hint="default"/>
      </w:rPr>
    </w:lvl>
    <w:lvl w:ilvl="7" w:tplc="C47C6B12" w:tentative="1">
      <w:start w:val="1"/>
      <w:numFmt w:val="bullet"/>
      <w:lvlText w:val=""/>
      <w:lvlJc w:val="left"/>
      <w:pPr>
        <w:tabs>
          <w:tab w:val="num" w:pos="5760"/>
        </w:tabs>
        <w:ind w:left="5760" w:hanging="360"/>
      </w:pPr>
      <w:rPr>
        <w:rFonts w:ascii="Wingdings" w:hAnsi="Wingdings" w:hint="default"/>
      </w:rPr>
    </w:lvl>
    <w:lvl w:ilvl="8" w:tplc="05B8BBD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924A9"/>
    <w:multiLevelType w:val="hybridMultilevel"/>
    <w:tmpl w:val="2178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807B5"/>
    <w:multiLevelType w:val="hybridMultilevel"/>
    <w:tmpl w:val="98963BB0"/>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8" w15:restartNumberingAfterBreak="0">
    <w:nsid w:val="48E95225"/>
    <w:multiLevelType w:val="hybridMultilevel"/>
    <w:tmpl w:val="7626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40A87"/>
    <w:multiLevelType w:val="hybridMultilevel"/>
    <w:tmpl w:val="1844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171FAA"/>
    <w:multiLevelType w:val="hybridMultilevel"/>
    <w:tmpl w:val="D0AA99DC"/>
    <w:lvl w:ilvl="0" w:tplc="B0C645C8">
      <w:start w:val="5"/>
      <w:numFmt w:val="bullet"/>
      <w:lvlText w:val="•"/>
      <w:lvlJc w:val="left"/>
      <w:pPr>
        <w:ind w:left="1080" w:hanging="720"/>
      </w:pPr>
      <w:rPr>
        <w:rFonts w:ascii="Trebuchet MS" w:eastAsia="Calibr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2F145A"/>
    <w:multiLevelType w:val="hybridMultilevel"/>
    <w:tmpl w:val="D916AC2E"/>
    <w:lvl w:ilvl="0" w:tplc="DD4C6FA6">
      <w:start w:val="1"/>
      <w:numFmt w:val="bullet"/>
      <w:lvlText w:val=""/>
      <w:lvlJc w:val="left"/>
      <w:pPr>
        <w:tabs>
          <w:tab w:val="num" w:pos="720"/>
        </w:tabs>
        <w:ind w:left="720" w:hanging="360"/>
      </w:pPr>
      <w:rPr>
        <w:rFonts w:ascii="Wingdings" w:hAnsi="Wingdings" w:hint="default"/>
      </w:rPr>
    </w:lvl>
    <w:lvl w:ilvl="1" w:tplc="CA440A46" w:tentative="1">
      <w:start w:val="1"/>
      <w:numFmt w:val="bullet"/>
      <w:lvlText w:val=""/>
      <w:lvlJc w:val="left"/>
      <w:pPr>
        <w:tabs>
          <w:tab w:val="num" w:pos="1440"/>
        </w:tabs>
        <w:ind w:left="1440" w:hanging="360"/>
      </w:pPr>
      <w:rPr>
        <w:rFonts w:ascii="Wingdings" w:hAnsi="Wingdings" w:hint="default"/>
      </w:rPr>
    </w:lvl>
    <w:lvl w:ilvl="2" w:tplc="8F145696" w:tentative="1">
      <w:start w:val="1"/>
      <w:numFmt w:val="bullet"/>
      <w:lvlText w:val=""/>
      <w:lvlJc w:val="left"/>
      <w:pPr>
        <w:tabs>
          <w:tab w:val="num" w:pos="2160"/>
        </w:tabs>
        <w:ind w:left="2160" w:hanging="360"/>
      </w:pPr>
      <w:rPr>
        <w:rFonts w:ascii="Wingdings" w:hAnsi="Wingdings" w:hint="default"/>
      </w:rPr>
    </w:lvl>
    <w:lvl w:ilvl="3" w:tplc="462C64B2" w:tentative="1">
      <w:start w:val="1"/>
      <w:numFmt w:val="bullet"/>
      <w:lvlText w:val=""/>
      <w:lvlJc w:val="left"/>
      <w:pPr>
        <w:tabs>
          <w:tab w:val="num" w:pos="2880"/>
        </w:tabs>
        <w:ind w:left="2880" w:hanging="360"/>
      </w:pPr>
      <w:rPr>
        <w:rFonts w:ascii="Wingdings" w:hAnsi="Wingdings" w:hint="default"/>
      </w:rPr>
    </w:lvl>
    <w:lvl w:ilvl="4" w:tplc="99DC259A" w:tentative="1">
      <w:start w:val="1"/>
      <w:numFmt w:val="bullet"/>
      <w:lvlText w:val=""/>
      <w:lvlJc w:val="left"/>
      <w:pPr>
        <w:tabs>
          <w:tab w:val="num" w:pos="3600"/>
        </w:tabs>
        <w:ind w:left="3600" w:hanging="360"/>
      </w:pPr>
      <w:rPr>
        <w:rFonts w:ascii="Wingdings" w:hAnsi="Wingdings" w:hint="default"/>
      </w:rPr>
    </w:lvl>
    <w:lvl w:ilvl="5" w:tplc="EAA8C976" w:tentative="1">
      <w:start w:val="1"/>
      <w:numFmt w:val="bullet"/>
      <w:lvlText w:val=""/>
      <w:lvlJc w:val="left"/>
      <w:pPr>
        <w:tabs>
          <w:tab w:val="num" w:pos="4320"/>
        </w:tabs>
        <w:ind w:left="4320" w:hanging="360"/>
      </w:pPr>
      <w:rPr>
        <w:rFonts w:ascii="Wingdings" w:hAnsi="Wingdings" w:hint="default"/>
      </w:rPr>
    </w:lvl>
    <w:lvl w:ilvl="6" w:tplc="67D00074" w:tentative="1">
      <w:start w:val="1"/>
      <w:numFmt w:val="bullet"/>
      <w:lvlText w:val=""/>
      <w:lvlJc w:val="left"/>
      <w:pPr>
        <w:tabs>
          <w:tab w:val="num" w:pos="5040"/>
        </w:tabs>
        <w:ind w:left="5040" w:hanging="360"/>
      </w:pPr>
      <w:rPr>
        <w:rFonts w:ascii="Wingdings" w:hAnsi="Wingdings" w:hint="default"/>
      </w:rPr>
    </w:lvl>
    <w:lvl w:ilvl="7" w:tplc="B442DCCA" w:tentative="1">
      <w:start w:val="1"/>
      <w:numFmt w:val="bullet"/>
      <w:lvlText w:val=""/>
      <w:lvlJc w:val="left"/>
      <w:pPr>
        <w:tabs>
          <w:tab w:val="num" w:pos="5760"/>
        </w:tabs>
        <w:ind w:left="5760" w:hanging="360"/>
      </w:pPr>
      <w:rPr>
        <w:rFonts w:ascii="Wingdings" w:hAnsi="Wingdings" w:hint="default"/>
      </w:rPr>
    </w:lvl>
    <w:lvl w:ilvl="8" w:tplc="B908FB7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FF21B7"/>
    <w:multiLevelType w:val="hybridMultilevel"/>
    <w:tmpl w:val="3FE8211C"/>
    <w:lvl w:ilvl="0" w:tplc="B9D23E1A">
      <w:start w:val="1"/>
      <w:numFmt w:val="bullet"/>
      <w:lvlText w:val=""/>
      <w:lvlJc w:val="left"/>
      <w:pPr>
        <w:tabs>
          <w:tab w:val="num" w:pos="720"/>
        </w:tabs>
        <w:ind w:left="720" w:hanging="360"/>
      </w:pPr>
      <w:rPr>
        <w:rFonts w:ascii="Wingdings" w:hAnsi="Wingdings" w:hint="default"/>
      </w:rPr>
    </w:lvl>
    <w:lvl w:ilvl="1" w:tplc="F600E522" w:tentative="1">
      <w:start w:val="1"/>
      <w:numFmt w:val="bullet"/>
      <w:lvlText w:val=""/>
      <w:lvlJc w:val="left"/>
      <w:pPr>
        <w:tabs>
          <w:tab w:val="num" w:pos="1440"/>
        </w:tabs>
        <w:ind w:left="1440" w:hanging="360"/>
      </w:pPr>
      <w:rPr>
        <w:rFonts w:ascii="Wingdings" w:hAnsi="Wingdings" w:hint="default"/>
      </w:rPr>
    </w:lvl>
    <w:lvl w:ilvl="2" w:tplc="080E4216" w:tentative="1">
      <w:start w:val="1"/>
      <w:numFmt w:val="bullet"/>
      <w:lvlText w:val=""/>
      <w:lvlJc w:val="left"/>
      <w:pPr>
        <w:tabs>
          <w:tab w:val="num" w:pos="2160"/>
        </w:tabs>
        <w:ind w:left="2160" w:hanging="360"/>
      </w:pPr>
      <w:rPr>
        <w:rFonts w:ascii="Wingdings" w:hAnsi="Wingdings" w:hint="default"/>
      </w:rPr>
    </w:lvl>
    <w:lvl w:ilvl="3" w:tplc="BC84B576" w:tentative="1">
      <w:start w:val="1"/>
      <w:numFmt w:val="bullet"/>
      <w:lvlText w:val=""/>
      <w:lvlJc w:val="left"/>
      <w:pPr>
        <w:tabs>
          <w:tab w:val="num" w:pos="2880"/>
        </w:tabs>
        <w:ind w:left="2880" w:hanging="360"/>
      </w:pPr>
      <w:rPr>
        <w:rFonts w:ascii="Wingdings" w:hAnsi="Wingdings" w:hint="default"/>
      </w:rPr>
    </w:lvl>
    <w:lvl w:ilvl="4" w:tplc="06F6509C" w:tentative="1">
      <w:start w:val="1"/>
      <w:numFmt w:val="bullet"/>
      <w:lvlText w:val=""/>
      <w:lvlJc w:val="left"/>
      <w:pPr>
        <w:tabs>
          <w:tab w:val="num" w:pos="3600"/>
        </w:tabs>
        <w:ind w:left="3600" w:hanging="360"/>
      </w:pPr>
      <w:rPr>
        <w:rFonts w:ascii="Wingdings" w:hAnsi="Wingdings" w:hint="default"/>
      </w:rPr>
    </w:lvl>
    <w:lvl w:ilvl="5" w:tplc="C6A2D7AA" w:tentative="1">
      <w:start w:val="1"/>
      <w:numFmt w:val="bullet"/>
      <w:lvlText w:val=""/>
      <w:lvlJc w:val="left"/>
      <w:pPr>
        <w:tabs>
          <w:tab w:val="num" w:pos="4320"/>
        </w:tabs>
        <w:ind w:left="4320" w:hanging="360"/>
      </w:pPr>
      <w:rPr>
        <w:rFonts w:ascii="Wingdings" w:hAnsi="Wingdings" w:hint="default"/>
      </w:rPr>
    </w:lvl>
    <w:lvl w:ilvl="6" w:tplc="4C000A54" w:tentative="1">
      <w:start w:val="1"/>
      <w:numFmt w:val="bullet"/>
      <w:lvlText w:val=""/>
      <w:lvlJc w:val="left"/>
      <w:pPr>
        <w:tabs>
          <w:tab w:val="num" w:pos="5040"/>
        </w:tabs>
        <w:ind w:left="5040" w:hanging="360"/>
      </w:pPr>
      <w:rPr>
        <w:rFonts w:ascii="Wingdings" w:hAnsi="Wingdings" w:hint="default"/>
      </w:rPr>
    </w:lvl>
    <w:lvl w:ilvl="7" w:tplc="968A99F6" w:tentative="1">
      <w:start w:val="1"/>
      <w:numFmt w:val="bullet"/>
      <w:lvlText w:val=""/>
      <w:lvlJc w:val="left"/>
      <w:pPr>
        <w:tabs>
          <w:tab w:val="num" w:pos="5760"/>
        </w:tabs>
        <w:ind w:left="5760" w:hanging="360"/>
      </w:pPr>
      <w:rPr>
        <w:rFonts w:ascii="Wingdings" w:hAnsi="Wingdings" w:hint="default"/>
      </w:rPr>
    </w:lvl>
    <w:lvl w:ilvl="8" w:tplc="008C72B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CE29CE"/>
    <w:multiLevelType w:val="hybridMultilevel"/>
    <w:tmpl w:val="1FF8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096486"/>
    <w:multiLevelType w:val="hybridMultilevel"/>
    <w:tmpl w:val="6276BF58"/>
    <w:lvl w:ilvl="0" w:tplc="B0C645C8">
      <w:start w:val="5"/>
      <w:numFmt w:val="bullet"/>
      <w:lvlText w:val="•"/>
      <w:lvlJc w:val="left"/>
      <w:pPr>
        <w:ind w:left="1080" w:hanging="720"/>
      </w:pPr>
      <w:rPr>
        <w:rFonts w:ascii="Trebuchet MS" w:eastAsia="Calibri" w:hAnsi="Trebuchet MS" w:cs="Times New Roman" w:hint="default"/>
      </w:rPr>
    </w:lvl>
    <w:lvl w:ilvl="1" w:tplc="0B2C1400">
      <w:numFmt w:val="bullet"/>
      <w:lvlText w:val=""/>
      <w:lvlJc w:val="left"/>
      <w:pPr>
        <w:ind w:left="1800" w:hanging="720"/>
      </w:pPr>
      <w:rPr>
        <w:rFonts w:ascii="Symbol" w:eastAsia="Calibr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263627"/>
    <w:multiLevelType w:val="hybridMultilevel"/>
    <w:tmpl w:val="7EF4D00C"/>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5610344"/>
    <w:multiLevelType w:val="hybridMultilevel"/>
    <w:tmpl w:val="F6F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56FFF"/>
    <w:multiLevelType w:val="hybridMultilevel"/>
    <w:tmpl w:val="D6621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E70E55"/>
    <w:multiLevelType w:val="hybridMultilevel"/>
    <w:tmpl w:val="1E52A4C6"/>
    <w:lvl w:ilvl="0" w:tplc="C520F63E">
      <w:start w:val="1"/>
      <w:numFmt w:val="bullet"/>
      <w:lvlText w:val=""/>
      <w:lvlJc w:val="left"/>
      <w:pPr>
        <w:tabs>
          <w:tab w:val="num" w:pos="720"/>
        </w:tabs>
        <w:ind w:left="720" w:hanging="360"/>
      </w:pPr>
      <w:rPr>
        <w:rFonts w:ascii="Wingdings" w:hAnsi="Wingdings" w:hint="default"/>
      </w:rPr>
    </w:lvl>
    <w:lvl w:ilvl="1" w:tplc="2D12845E" w:tentative="1">
      <w:start w:val="1"/>
      <w:numFmt w:val="bullet"/>
      <w:lvlText w:val=""/>
      <w:lvlJc w:val="left"/>
      <w:pPr>
        <w:tabs>
          <w:tab w:val="num" w:pos="1440"/>
        </w:tabs>
        <w:ind w:left="1440" w:hanging="360"/>
      </w:pPr>
      <w:rPr>
        <w:rFonts w:ascii="Wingdings" w:hAnsi="Wingdings" w:hint="default"/>
      </w:rPr>
    </w:lvl>
    <w:lvl w:ilvl="2" w:tplc="7B26E85C" w:tentative="1">
      <w:start w:val="1"/>
      <w:numFmt w:val="bullet"/>
      <w:lvlText w:val=""/>
      <w:lvlJc w:val="left"/>
      <w:pPr>
        <w:tabs>
          <w:tab w:val="num" w:pos="2160"/>
        </w:tabs>
        <w:ind w:left="2160" w:hanging="360"/>
      </w:pPr>
      <w:rPr>
        <w:rFonts w:ascii="Wingdings" w:hAnsi="Wingdings" w:hint="default"/>
      </w:rPr>
    </w:lvl>
    <w:lvl w:ilvl="3" w:tplc="C452F36E" w:tentative="1">
      <w:start w:val="1"/>
      <w:numFmt w:val="bullet"/>
      <w:lvlText w:val=""/>
      <w:lvlJc w:val="left"/>
      <w:pPr>
        <w:tabs>
          <w:tab w:val="num" w:pos="2880"/>
        </w:tabs>
        <w:ind w:left="2880" w:hanging="360"/>
      </w:pPr>
      <w:rPr>
        <w:rFonts w:ascii="Wingdings" w:hAnsi="Wingdings" w:hint="default"/>
      </w:rPr>
    </w:lvl>
    <w:lvl w:ilvl="4" w:tplc="467EA0CE" w:tentative="1">
      <w:start w:val="1"/>
      <w:numFmt w:val="bullet"/>
      <w:lvlText w:val=""/>
      <w:lvlJc w:val="left"/>
      <w:pPr>
        <w:tabs>
          <w:tab w:val="num" w:pos="3600"/>
        </w:tabs>
        <w:ind w:left="3600" w:hanging="360"/>
      </w:pPr>
      <w:rPr>
        <w:rFonts w:ascii="Wingdings" w:hAnsi="Wingdings" w:hint="default"/>
      </w:rPr>
    </w:lvl>
    <w:lvl w:ilvl="5" w:tplc="9816EA28" w:tentative="1">
      <w:start w:val="1"/>
      <w:numFmt w:val="bullet"/>
      <w:lvlText w:val=""/>
      <w:lvlJc w:val="left"/>
      <w:pPr>
        <w:tabs>
          <w:tab w:val="num" w:pos="4320"/>
        </w:tabs>
        <w:ind w:left="4320" w:hanging="360"/>
      </w:pPr>
      <w:rPr>
        <w:rFonts w:ascii="Wingdings" w:hAnsi="Wingdings" w:hint="default"/>
      </w:rPr>
    </w:lvl>
    <w:lvl w:ilvl="6" w:tplc="9A5C6824" w:tentative="1">
      <w:start w:val="1"/>
      <w:numFmt w:val="bullet"/>
      <w:lvlText w:val=""/>
      <w:lvlJc w:val="left"/>
      <w:pPr>
        <w:tabs>
          <w:tab w:val="num" w:pos="5040"/>
        </w:tabs>
        <w:ind w:left="5040" w:hanging="360"/>
      </w:pPr>
      <w:rPr>
        <w:rFonts w:ascii="Wingdings" w:hAnsi="Wingdings" w:hint="default"/>
      </w:rPr>
    </w:lvl>
    <w:lvl w:ilvl="7" w:tplc="9BE4ED50" w:tentative="1">
      <w:start w:val="1"/>
      <w:numFmt w:val="bullet"/>
      <w:lvlText w:val=""/>
      <w:lvlJc w:val="left"/>
      <w:pPr>
        <w:tabs>
          <w:tab w:val="num" w:pos="5760"/>
        </w:tabs>
        <w:ind w:left="5760" w:hanging="360"/>
      </w:pPr>
      <w:rPr>
        <w:rFonts w:ascii="Wingdings" w:hAnsi="Wingdings" w:hint="default"/>
      </w:rPr>
    </w:lvl>
    <w:lvl w:ilvl="8" w:tplc="A11429D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DB1466"/>
    <w:multiLevelType w:val="hybridMultilevel"/>
    <w:tmpl w:val="A2C26096"/>
    <w:lvl w:ilvl="0" w:tplc="0CDCB90C">
      <w:start w:val="1"/>
      <w:numFmt w:val="upp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72DA57EE"/>
    <w:multiLevelType w:val="hybridMultilevel"/>
    <w:tmpl w:val="FAF895C2"/>
    <w:lvl w:ilvl="0" w:tplc="C302D7D0">
      <w:start w:val="1"/>
      <w:numFmt w:val="bullet"/>
      <w:lvlText w:val=""/>
      <w:lvlJc w:val="left"/>
      <w:pPr>
        <w:tabs>
          <w:tab w:val="num" w:pos="720"/>
        </w:tabs>
        <w:ind w:left="720" w:hanging="360"/>
      </w:pPr>
      <w:rPr>
        <w:rFonts w:ascii="Wingdings" w:hAnsi="Wingdings" w:hint="default"/>
      </w:rPr>
    </w:lvl>
    <w:lvl w:ilvl="1" w:tplc="E12E50BA" w:tentative="1">
      <w:start w:val="1"/>
      <w:numFmt w:val="bullet"/>
      <w:lvlText w:val=""/>
      <w:lvlJc w:val="left"/>
      <w:pPr>
        <w:tabs>
          <w:tab w:val="num" w:pos="1440"/>
        </w:tabs>
        <w:ind w:left="1440" w:hanging="360"/>
      </w:pPr>
      <w:rPr>
        <w:rFonts w:ascii="Wingdings" w:hAnsi="Wingdings" w:hint="default"/>
      </w:rPr>
    </w:lvl>
    <w:lvl w:ilvl="2" w:tplc="716A6CEE" w:tentative="1">
      <w:start w:val="1"/>
      <w:numFmt w:val="bullet"/>
      <w:lvlText w:val=""/>
      <w:lvlJc w:val="left"/>
      <w:pPr>
        <w:tabs>
          <w:tab w:val="num" w:pos="2160"/>
        </w:tabs>
        <w:ind w:left="2160" w:hanging="360"/>
      </w:pPr>
      <w:rPr>
        <w:rFonts w:ascii="Wingdings" w:hAnsi="Wingdings" w:hint="default"/>
      </w:rPr>
    </w:lvl>
    <w:lvl w:ilvl="3" w:tplc="7B365C6A" w:tentative="1">
      <w:start w:val="1"/>
      <w:numFmt w:val="bullet"/>
      <w:lvlText w:val=""/>
      <w:lvlJc w:val="left"/>
      <w:pPr>
        <w:tabs>
          <w:tab w:val="num" w:pos="2880"/>
        </w:tabs>
        <w:ind w:left="2880" w:hanging="360"/>
      </w:pPr>
      <w:rPr>
        <w:rFonts w:ascii="Wingdings" w:hAnsi="Wingdings" w:hint="default"/>
      </w:rPr>
    </w:lvl>
    <w:lvl w:ilvl="4" w:tplc="AD064A98" w:tentative="1">
      <w:start w:val="1"/>
      <w:numFmt w:val="bullet"/>
      <w:lvlText w:val=""/>
      <w:lvlJc w:val="left"/>
      <w:pPr>
        <w:tabs>
          <w:tab w:val="num" w:pos="3600"/>
        </w:tabs>
        <w:ind w:left="3600" w:hanging="360"/>
      </w:pPr>
      <w:rPr>
        <w:rFonts w:ascii="Wingdings" w:hAnsi="Wingdings" w:hint="default"/>
      </w:rPr>
    </w:lvl>
    <w:lvl w:ilvl="5" w:tplc="FBB05CFE" w:tentative="1">
      <w:start w:val="1"/>
      <w:numFmt w:val="bullet"/>
      <w:lvlText w:val=""/>
      <w:lvlJc w:val="left"/>
      <w:pPr>
        <w:tabs>
          <w:tab w:val="num" w:pos="4320"/>
        </w:tabs>
        <w:ind w:left="4320" w:hanging="360"/>
      </w:pPr>
      <w:rPr>
        <w:rFonts w:ascii="Wingdings" w:hAnsi="Wingdings" w:hint="default"/>
      </w:rPr>
    </w:lvl>
    <w:lvl w:ilvl="6" w:tplc="073029E6" w:tentative="1">
      <w:start w:val="1"/>
      <w:numFmt w:val="bullet"/>
      <w:lvlText w:val=""/>
      <w:lvlJc w:val="left"/>
      <w:pPr>
        <w:tabs>
          <w:tab w:val="num" w:pos="5040"/>
        </w:tabs>
        <w:ind w:left="5040" w:hanging="360"/>
      </w:pPr>
      <w:rPr>
        <w:rFonts w:ascii="Wingdings" w:hAnsi="Wingdings" w:hint="default"/>
      </w:rPr>
    </w:lvl>
    <w:lvl w:ilvl="7" w:tplc="B61E48EE" w:tentative="1">
      <w:start w:val="1"/>
      <w:numFmt w:val="bullet"/>
      <w:lvlText w:val=""/>
      <w:lvlJc w:val="left"/>
      <w:pPr>
        <w:tabs>
          <w:tab w:val="num" w:pos="5760"/>
        </w:tabs>
        <w:ind w:left="5760" w:hanging="360"/>
      </w:pPr>
      <w:rPr>
        <w:rFonts w:ascii="Wingdings" w:hAnsi="Wingdings" w:hint="default"/>
      </w:rPr>
    </w:lvl>
    <w:lvl w:ilvl="8" w:tplc="4EEC36F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600B5D"/>
    <w:multiLevelType w:val="hybridMultilevel"/>
    <w:tmpl w:val="3E408ABE"/>
    <w:lvl w:ilvl="0" w:tplc="063C9A62">
      <w:start w:val="1"/>
      <w:numFmt w:val="bullet"/>
      <w:lvlText w:val=""/>
      <w:lvlJc w:val="left"/>
      <w:pPr>
        <w:tabs>
          <w:tab w:val="num" w:pos="720"/>
        </w:tabs>
        <w:ind w:left="720" w:hanging="360"/>
      </w:pPr>
      <w:rPr>
        <w:rFonts w:ascii="Wingdings" w:hAnsi="Wingdings" w:hint="default"/>
      </w:rPr>
    </w:lvl>
    <w:lvl w:ilvl="1" w:tplc="133C50CA" w:tentative="1">
      <w:start w:val="1"/>
      <w:numFmt w:val="bullet"/>
      <w:lvlText w:val=""/>
      <w:lvlJc w:val="left"/>
      <w:pPr>
        <w:tabs>
          <w:tab w:val="num" w:pos="1440"/>
        </w:tabs>
        <w:ind w:left="1440" w:hanging="360"/>
      </w:pPr>
      <w:rPr>
        <w:rFonts w:ascii="Wingdings" w:hAnsi="Wingdings" w:hint="default"/>
      </w:rPr>
    </w:lvl>
    <w:lvl w:ilvl="2" w:tplc="D0FE1A28" w:tentative="1">
      <w:start w:val="1"/>
      <w:numFmt w:val="bullet"/>
      <w:lvlText w:val=""/>
      <w:lvlJc w:val="left"/>
      <w:pPr>
        <w:tabs>
          <w:tab w:val="num" w:pos="2160"/>
        </w:tabs>
        <w:ind w:left="2160" w:hanging="360"/>
      </w:pPr>
      <w:rPr>
        <w:rFonts w:ascii="Wingdings" w:hAnsi="Wingdings" w:hint="default"/>
      </w:rPr>
    </w:lvl>
    <w:lvl w:ilvl="3" w:tplc="BC521022" w:tentative="1">
      <w:start w:val="1"/>
      <w:numFmt w:val="bullet"/>
      <w:lvlText w:val=""/>
      <w:lvlJc w:val="left"/>
      <w:pPr>
        <w:tabs>
          <w:tab w:val="num" w:pos="2880"/>
        </w:tabs>
        <w:ind w:left="2880" w:hanging="360"/>
      </w:pPr>
      <w:rPr>
        <w:rFonts w:ascii="Wingdings" w:hAnsi="Wingdings" w:hint="default"/>
      </w:rPr>
    </w:lvl>
    <w:lvl w:ilvl="4" w:tplc="5EDEE18C" w:tentative="1">
      <w:start w:val="1"/>
      <w:numFmt w:val="bullet"/>
      <w:lvlText w:val=""/>
      <w:lvlJc w:val="left"/>
      <w:pPr>
        <w:tabs>
          <w:tab w:val="num" w:pos="3600"/>
        </w:tabs>
        <w:ind w:left="3600" w:hanging="360"/>
      </w:pPr>
      <w:rPr>
        <w:rFonts w:ascii="Wingdings" w:hAnsi="Wingdings" w:hint="default"/>
      </w:rPr>
    </w:lvl>
    <w:lvl w:ilvl="5" w:tplc="49EC7036" w:tentative="1">
      <w:start w:val="1"/>
      <w:numFmt w:val="bullet"/>
      <w:lvlText w:val=""/>
      <w:lvlJc w:val="left"/>
      <w:pPr>
        <w:tabs>
          <w:tab w:val="num" w:pos="4320"/>
        </w:tabs>
        <w:ind w:left="4320" w:hanging="360"/>
      </w:pPr>
      <w:rPr>
        <w:rFonts w:ascii="Wingdings" w:hAnsi="Wingdings" w:hint="default"/>
      </w:rPr>
    </w:lvl>
    <w:lvl w:ilvl="6" w:tplc="2A520166" w:tentative="1">
      <w:start w:val="1"/>
      <w:numFmt w:val="bullet"/>
      <w:lvlText w:val=""/>
      <w:lvlJc w:val="left"/>
      <w:pPr>
        <w:tabs>
          <w:tab w:val="num" w:pos="5040"/>
        </w:tabs>
        <w:ind w:left="5040" w:hanging="360"/>
      </w:pPr>
      <w:rPr>
        <w:rFonts w:ascii="Wingdings" w:hAnsi="Wingdings" w:hint="default"/>
      </w:rPr>
    </w:lvl>
    <w:lvl w:ilvl="7" w:tplc="1D828918" w:tentative="1">
      <w:start w:val="1"/>
      <w:numFmt w:val="bullet"/>
      <w:lvlText w:val=""/>
      <w:lvlJc w:val="left"/>
      <w:pPr>
        <w:tabs>
          <w:tab w:val="num" w:pos="5760"/>
        </w:tabs>
        <w:ind w:left="5760" w:hanging="360"/>
      </w:pPr>
      <w:rPr>
        <w:rFonts w:ascii="Wingdings" w:hAnsi="Wingdings" w:hint="default"/>
      </w:rPr>
    </w:lvl>
    <w:lvl w:ilvl="8" w:tplc="E1B0D34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66A92"/>
    <w:multiLevelType w:val="hybridMultilevel"/>
    <w:tmpl w:val="5E90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F33FD6"/>
    <w:multiLevelType w:val="hybridMultilevel"/>
    <w:tmpl w:val="4E4AFF2E"/>
    <w:lvl w:ilvl="0" w:tplc="B0C645C8">
      <w:start w:val="5"/>
      <w:numFmt w:val="bullet"/>
      <w:lvlText w:val="•"/>
      <w:lvlJc w:val="left"/>
      <w:pPr>
        <w:ind w:left="1080" w:hanging="720"/>
      </w:pPr>
      <w:rPr>
        <w:rFonts w:ascii="Trebuchet MS" w:eastAsia="Calibr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D36E2B"/>
    <w:multiLevelType w:val="hybridMultilevel"/>
    <w:tmpl w:val="585E7A38"/>
    <w:lvl w:ilvl="0" w:tplc="0809000F">
      <w:start w:val="1"/>
      <w:numFmt w:val="decimal"/>
      <w:lvlText w:val="%1."/>
      <w:lvlJc w:val="left"/>
      <w:pPr>
        <w:tabs>
          <w:tab w:val="num" w:pos="7732"/>
        </w:tabs>
        <w:ind w:left="7732" w:hanging="360"/>
      </w:pPr>
      <w:rPr>
        <w:b w:val="0"/>
      </w:rPr>
    </w:lvl>
    <w:lvl w:ilvl="1" w:tplc="08090019">
      <w:start w:val="1"/>
      <w:numFmt w:val="lowerLetter"/>
      <w:lvlText w:val="%2."/>
      <w:lvlJc w:val="left"/>
      <w:pPr>
        <w:tabs>
          <w:tab w:val="num" w:pos="8168"/>
        </w:tabs>
        <w:ind w:left="8168" w:hanging="360"/>
      </w:pPr>
    </w:lvl>
    <w:lvl w:ilvl="2" w:tplc="08090017">
      <w:start w:val="1"/>
      <w:numFmt w:val="lowerLetter"/>
      <w:lvlText w:val="%3)"/>
      <w:lvlJc w:val="left"/>
      <w:pPr>
        <w:tabs>
          <w:tab w:val="num" w:pos="9068"/>
        </w:tabs>
        <w:ind w:left="9068" w:hanging="360"/>
      </w:pPr>
    </w:lvl>
    <w:lvl w:ilvl="3" w:tplc="08090017">
      <w:start w:val="1"/>
      <w:numFmt w:val="lowerLetter"/>
      <w:lvlText w:val="%4)"/>
      <w:lvlJc w:val="left"/>
      <w:pPr>
        <w:tabs>
          <w:tab w:val="num" w:pos="9608"/>
        </w:tabs>
        <w:ind w:left="9608" w:hanging="360"/>
      </w:pPr>
    </w:lvl>
    <w:lvl w:ilvl="4" w:tplc="08090019" w:tentative="1">
      <w:start w:val="1"/>
      <w:numFmt w:val="lowerLetter"/>
      <w:lvlText w:val="%5."/>
      <w:lvlJc w:val="left"/>
      <w:pPr>
        <w:tabs>
          <w:tab w:val="num" w:pos="10328"/>
        </w:tabs>
        <w:ind w:left="10328" w:hanging="360"/>
      </w:pPr>
    </w:lvl>
    <w:lvl w:ilvl="5" w:tplc="0809001B" w:tentative="1">
      <w:start w:val="1"/>
      <w:numFmt w:val="lowerRoman"/>
      <w:lvlText w:val="%6."/>
      <w:lvlJc w:val="right"/>
      <w:pPr>
        <w:tabs>
          <w:tab w:val="num" w:pos="11048"/>
        </w:tabs>
        <w:ind w:left="11048" w:hanging="180"/>
      </w:pPr>
    </w:lvl>
    <w:lvl w:ilvl="6" w:tplc="0809000F" w:tentative="1">
      <w:start w:val="1"/>
      <w:numFmt w:val="decimal"/>
      <w:lvlText w:val="%7."/>
      <w:lvlJc w:val="left"/>
      <w:pPr>
        <w:tabs>
          <w:tab w:val="num" w:pos="11768"/>
        </w:tabs>
        <w:ind w:left="11768" w:hanging="360"/>
      </w:pPr>
    </w:lvl>
    <w:lvl w:ilvl="7" w:tplc="08090019" w:tentative="1">
      <w:start w:val="1"/>
      <w:numFmt w:val="lowerLetter"/>
      <w:lvlText w:val="%8."/>
      <w:lvlJc w:val="left"/>
      <w:pPr>
        <w:tabs>
          <w:tab w:val="num" w:pos="12488"/>
        </w:tabs>
        <w:ind w:left="12488" w:hanging="360"/>
      </w:pPr>
    </w:lvl>
    <w:lvl w:ilvl="8" w:tplc="0809001B" w:tentative="1">
      <w:start w:val="1"/>
      <w:numFmt w:val="lowerRoman"/>
      <w:lvlText w:val="%9."/>
      <w:lvlJc w:val="right"/>
      <w:pPr>
        <w:tabs>
          <w:tab w:val="num" w:pos="13208"/>
        </w:tabs>
        <w:ind w:left="13208" w:hanging="180"/>
      </w:pPr>
    </w:lvl>
  </w:abstractNum>
  <w:abstractNum w:abstractNumId="35" w15:restartNumberingAfterBreak="0">
    <w:nsid w:val="7F860DD6"/>
    <w:multiLevelType w:val="hybridMultilevel"/>
    <w:tmpl w:val="FBA0EED4"/>
    <w:lvl w:ilvl="0" w:tplc="F662A156">
      <w:start w:val="1"/>
      <w:numFmt w:val="bullet"/>
      <w:lvlText w:val=""/>
      <w:lvlJc w:val="left"/>
      <w:pPr>
        <w:tabs>
          <w:tab w:val="num" w:pos="720"/>
        </w:tabs>
        <w:ind w:left="720" w:hanging="360"/>
      </w:pPr>
      <w:rPr>
        <w:rFonts w:ascii="Wingdings" w:hAnsi="Wingdings" w:hint="default"/>
      </w:rPr>
    </w:lvl>
    <w:lvl w:ilvl="1" w:tplc="07C8E0AE" w:tentative="1">
      <w:start w:val="1"/>
      <w:numFmt w:val="bullet"/>
      <w:lvlText w:val=""/>
      <w:lvlJc w:val="left"/>
      <w:pPr>
        <w:tabs>
          <w:tab w:val="num" w:pos="1440"/>
        </w:tabs>
        <w:ind w:left="1440" w:hanging="360"/>
      </w:pPr>
      <w:rPr>
        <w:rFonts w:ascii="Wingdings" w:hAnsi="Wingdings" w:hint="default"/>
      </w:rPr>
    </w:lvl>
    <w:lvl w:ilvl="2" w:tplc="0BEA4EA2" w:tentative="1">
      <w:start w:val="1"/>
      <w:numFmt w:val="bullet"/>
      <w:lvlText w:val=""/>
      <w:lvlJc w:val="left"/>
      <w:pPr>
        <w:tabs>
          <w:tab w:val="num" w:pos="2160"/>
        </w:tabs>
        <w:ind w:left="2160" w:hanging="360"/>
      </w:pPr>
      <w:rPr>
        <w:rFonts w:ascii="Wingdings" w:hAnsi="Wingdings" w:hint="default"/>
      </w:rPr>
    </w:lvl>
    <w:lvl w:ilvl="3" w:tplc="F072D2DA" w:tentative="1">
      <w:start w:val="1"/>
      <w:numFmt w:val="bullet"/>
      <w:lvlText w:val=""/>
      <w:lvlJc w:val="left"/>
      <w:pPr>
        <w:tabs>
          <w:tab w:val="num" w:pos="2880"/>
        </w:tabs>
        <w:ind w:left="2880" w:hanging="360"/>
      </w:pPr>
      <w:rPr>
        <w:rFonts w:ascii="Wingdings" w:hAnsi="Wingdings" w:hint="default"/>
      </w:rPr>
    </w:lvl>
    <w:lvl w:ilvl="4" w:tplc="6FA22A08" w:tentative="1">
      <w:start w:val="1"/>
      <w:numFmt w:val="bullet"/>
      <w:lvlText w:val=""/>
      <w:lvlJc w:val="left"/>
      <w:pPr>
        <w:tabs>
          <w:tab w:val="num" w:pos="3600"/>
        </w:tabs>
        <w:ind w:left="3600" w:hanging="360"/>
      </w:pPr>
      <w:rPr>
        <w:rFonts w:ascii="Wingdings" w:hAnsi="Wingdings" w:hint="default"/>
      </w:rPr>
    </w:lvl>
    <w:lvl w:ilvl="5" w:tplc="E8CA3FEA" w:tentative="1">
      <w:start w:val="1"/>
      <w:numFmt w:val="bullet"/>
      <w:lvlText w:val=""/>
      <w:lvlJc w:val="left"/>
      <w:pPr>
        <w:tabs>
          <w:tab w:val="num" w:pos="4320"/>
        </w:tabs>
        <w:ind w:left="4320" w:hanging="360"/>
      </w:pPr>
      <w:rPr>
        <w:rFonts w:ascii="Wingdings" w:hAnsi="Wingdings" w:hint="default"/>
      </w:rPr>
    </w:lvl>
    <w:lvl w:ilvl="6" w:tplc="6E98418E" w:tentative="1">
      <w:start w:val="1"/>
      <w:numFmt w:val="bullet"/>
      <w:lvlText w:val=""/>
      <w:lvlJc w:val="left"/>
      <w:pPr>
        <w:tabs>
          <w:tab w:val="num" w:pos="5040"/>
        </w:tabs>
        <w:ind w:left="5040" w:hanging="360"/>
      </w:pPr>
      <w:rPr>
        <w:rFonts w:ascii="Wingdings" w:hAnsi="Wingdings" w:hint="default"/>
      </w:rPr>
    </w:lvl>
    <w:lvl w:ilvl="7" w:tplc="565EC5F2" w:tentative="1">
      <w:start w:val="1"/>
      <w:numFmt w:val="bullet"/>
      <w:lvlText w:val=""/>
      <w:lvlJc w:val="left"/>
      <w:pPr>
        <w:tabs>
          <w:tab w:val="num" w:pos="5760"/>
        </w:tabs>
        <w:ind w:left="5760" w:hanging="360"/>
      </w:pPr>
      <w:rPr>
        <w:rFonts w:ascii="Wingdings" w:hAnsi="Wingdings" w:hint="default"/>
      </w:rPr>
    </w:lvl>
    <w:lvl w:ilvl="8" w:tplc="629A18C6" w:tentative="1">
      <w:start w:val="1"/>
      <w:numFmt w:val="bullet"/>
      <w:lvlText w:val=""/>
      <w:lvlJc w:val="left"/>
      <w:pPr>
        <w:tabs>
          <w:tab w:val="num" w:pos="6480"/>
        </w:tabs>
        <w:ind w:left="6480" w:hanging="360"/>
      </w:pPr>
      <w:rPr>
        <w:rFonts w:ascii="Wingdings" w:hAnsi="Wingdings" w:hint="default"/>
      </w:rPr>
    </w:lvl>
  </w:abstractNum>
  <w:num w:numId="1" w16cid:durableId="2101295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3009214">
    <w:abstractNumId w:val="20"/>
  </w:num>
  <w:num w:numId="3" w16cid:durableId="1690527488">
    <w:abstractNumId w:val="24"/>
  </w:num>
  <w:num w:numId="4" w16cid:durableId="1671181460">
    <w:abstractNumId w:val="33"/>
  </w:num>
  <w:num w:numId="5" w16cid:durableId="1296179574">
    <w:abstractNumId w:val="23"/>
  </w:num>
  <w:num w:numId="6" w16cid:durableId="1485244989">
    <w:abstractNumId w:val="7"/>
  </w:num>
  <w:num w:numId="7" w16cid:durableId="1582835130">
    <w:abstractNumId w:val="26"/>
  </w:num>
  <w:num w:numId="8" w16cid:durableId="1459058469">
    <w:abstractNumId w:val="1"/>
  </w:num>
  <w:num w:numId="9" w16cid:durableId="1965192586">
    <w:abstractNumId w:val="17"/>
  </w:num>
  <w:num w:numId="10" w16cid:durableId="1825049354">
    <w:abstractNumId w:val="14"/>
  </w:num>
  <w:num w:numId="11" w16cid:durableId="456875260">
    <w:abstractNumId w:val="25"/>
  </w:num>
  <w:num w:numId="12" w16cid:durableId="1366754315">
    <w:abstractNumId w:val="29"/>
  </w:num>
  <w:num w:numId="13" w16cid:durableId="1019504687">
    <w:abstractNumId w:val="30"/>
  </w:num>
  <w:num w:numId="14" w16cid:durableId="346372495">
    <w:abstractNumId w:val="6"/>
  </w:num>
  <w:num w:numId="15" w16cid:durableId="1964729438">
    <w:abstractNumId w:val="22"/>
  </w:num>
  <w:num w:numId="16" w16cid:durableId="944729170">
    <w:abstractNumId w:val="21"/>
  </w:num>
  <w:num w:numId="17" w16cid:durableId="421221366">
    <w:abstractNumId w:val="3"/>
  </w:num>
  <w:num w:numId="18" w16cid:durableId="736977580">
    <w:abstractNumId w:val="28"/>
  </w:num>
  <w:num w:numId="19" w16cid:durableId="1920560763">
    <w:abstractNumId w:val="0"/>
  </w:num>
  <w:num w:numId="20" w16cid:durableId="1709260348">
    <w:abstractNumId w:val="12"/>
  </w:num>
  <w:num w:numId="21" w16cid:durableId="1017000253">
    <w:abstractNumId w:val="13"/>
  </w:num>
  <w:num w:numId="22" w16cid:durableId="2043086559">
    <w:abstractNumId w:val="31"/>
  </w:num>
  <w:num w:numId="23" w16cid:durableId="1232277819">
    <w:abstractNumId w:val="15"/>
  </w:num>
  <w:num w:numId="24" w16cid:durableId="677805272">
    <w:abstractNumId w:val="19"/>
  </w:num>
  <w:num w:numId="25" w16cid:durableId="504593086">
    <w:abstractNumId w:val="10"/>
  </w:num>
  <w:num w:numId="26" w16cid:durableId="921379102">
    <w:abstractNumId w:val="35"/>
  </w:num>
  <w:num w:numId="27" w16cid:durableId="1836260971">
    <w:abstractNumId w:val="16"/>
  </w:num>
  <w:num w:numId="28" w16cid:durableId="1065647355">
    <w:abstractNumId w:val="8"/>
  </w:num>
  <w:num w:numId="29" w16cid:durableId="1447843666">
    <w:abstractNumId w:val="34"/>
  </w:num>
  <w:num w:numId="30" w16cid:durableId="262029791">
    <w:abstractNumId w:val="11"/>
  </w:num>
  <w:num w:numId="31" w16cid:durableId="1737048982">
    <w:abstractNumId w:val="4"/>
  </w:num>
  <w:num w:numId="32" w16cid:durableId="1315377528">
    <w:abstractNumId w:val="32"/>
  </w:num>
  <w:num w:numId="33" w16cid:durableId="1872716668">
    <w:abstractNumId w:val="18"/>
  </w:num>
  <w:num w:numId="34" w16cid:durableId="2121336679">
    <w:abstractNumId w:val="9"/>
  </w:num>
  <w:num w:numId="35" w16cid:durableId="1743797248">
    <w:abstractNumId w:val="27"/>
  </w:num>
  <w:num w:numId="36" w16cid:durableId="1062868093">
    <w:abstractNumId w:val="20"/>
  </w:num>
  <w:num w:numId="37" w16cid:durableId="889221901">
    <w:abstractNumId w:val="5"/>
    <w:lvlOverride w:ilvl="0">
      <w:lvl w:ilvl="0">
        <w:start w:val="1"/>
        <w:numFmt w:val="decimal"/>
        <w:lvlText w:val="%1."/>
        <w:lvlJc w:val="center"/>
        <w:pPr>
          <w:tabs>
            <w:tab w:val="num" w:pos="360"/>
          </w:tabs>
          <w:ind w:left="360" w:hanging="360"/>
        </w:pPr>
        <w:rPr>
          <w:rFonts w:hint="default"/>
        </w:rPr>
      </w:lvl>
    </w:lvlOverride>
    <w:lvlOverride w:ilvl="1">
      <w:lvl w:ilvl="1">
        <w:start w:val="1"/>
        <w:numFmt w:val="decimal"/>
        <w:lvlText w:val="%1.%2"/>
        <w:lvlJc w:val="left"/>
        <w:pPr>
          <w:tabs>
            <w:tab w:val="num" w:pos="838"/>
          </w:tabs>
          <w:ind w:left="838" w:hanging="838"/>
        </w:pPr>
        <w:rPr>
          <w:rFonts w:hint="default"/>
          <w:b w:val="0"/>
          <w:i w:val="0"/>
          <w:sz w:val="24"/>
        </w:rPr>
      </w:lvl>
    </w:lvlOverride>
    <w:lvlOverride w:ilvl="2">
      <w:lvl w:ilvl="2">
        <w:start w:val="1"/>
        <w:numFmt w:val="decimal"/>
        <w:lvlText w:val="%1.%2.%3"/>
        <w:lvlJc w:val="left"/>
        <w:pPr>
          <w:tabs>
            <w:tab w:val="num" w:pos="1728"/>
          </w:tabs>
          <w:ind w:left="1728" w:hanging="720"/>
        </w:pPr>
        <w:rPr>
          <w:rFonts w:hint="default"/>
        </w:rPr>
      </w:lvl>
    </w:lvlOverride>
    <w:lvlOverride w:ilvl="3">
      <w:lvl w:ilvl="3">
        <w:start w:val="1"/>
        <w:numFmt w:val="decimal"/>
        <w:lvlText w:val="%1.%2.%3.%4"/>
        <w:lvlJc w:val="left"/>
        <w:pPr>
          <w:tabs>
            <w:tab w:val="num" w:pos="2592"/>
          </w:tabs>
          <w:ind w:left="2592" w:hanging="864"/>
        </w:pPr>
        <w:rPr>
          <w:rFonts w:hint="default"/>
        </w:rPr>
      </w:lvl>
    </w:lvlOverride>
    <w:lvlOverride w:ilvl="4">
      <w:lvl w:ilvl="4">
        <w:start w:val="1"/>
        <w:numFmt w:val="decimal"/>
        <w:lvlText w:val="%1.%2.%3.%4.%5"/>
        <w:lvlJc w:val="left"/>
        <w:pPr>
          <w:tabs>
            <w:tab w:val="num" w:pos="2520"/>
          </w:tabs>
          <w:ind w:left="2520" w:hanging="1080"/>
        </w:pPr>
        <w:rPr>
          <w:rFonts w:hint="default"/>
        </w:rPr>
      </w:lvl>
    </w:lvlOverride>
    <w:lvlOverride w:ilvl="5">
      <w:lvl w:ilvl="5">
        <w:start w:val="1"/>
        <w:numFmt w:val="decimal"/>
        <w:lvlText w:val="%1.%2.%3.%4.%5.%6"/>
        <w:lvlJc w:val="left"/>
        <w:pPr>
          <w:tabs>
            <w:tab w:val="num" w:pos="3024"/>
          </w:tabs>
          <w:ind w:left="3024" w:hanging="1224"/>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4176"/>
          </w:tabs>
          <w:ind w:left="4176" w:hanging="1656"/>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53"/>
    <w:rsid w:val="00000706"/>
    <w:rsid w:val="000013C8"/>
    <w:rsid w:val="00001443"/>
    <w:rsid w:val="0000199E"/>
    <w:rsid w:val="0000207E"/>
    <w:rsid w:val="00002082"/>
    <w:rsid w:val="000027B2"/>
    <w:rsid w:val="00004683"/>
    <w:rsid w:val="00004CB1"/>
    <w:rsid w:val="0000758A"/>
    <w:rsid w:val="000075C6"/>
    <w:rsid w:val="000123E8"/>
    <w:rsid w:val="00012AE0"/>
    <w:rsid w:val="000136F8"/>
    <w:rsid w:val="0001686F"/>
    <w:rsid w:val="000168CC"/>
    <w:rsid w:val="00017EAF"/>
    <w:rsid w:val="00021429"/>
    <w:rsid w:val="00023CC9"/>
    <w:rsid w:val="0002411A"/>
    <w:rsid w:val="000244EA"/>
    <w:rsid w:val="00026248"/>
    <w:rsid w:val="00030183"/>
    <w:rsid w:val="000314E3"/>
    <w:rsid w:val="00031B49"/>
    <w:rsid w:val="00032328"/>
    <w:rsid w:val="00032B94"/>
    <w:rsid w:val="000334FC"/>
    <w:rsid w:val="00033DCC"/>
    <w:rsid w:val="00036C60"/>
    <w:rsid w:val="00042D83"/>
    <w:rsid w:val="00043839"/>
    <w:rsid w:val="000445E6"/>
    <w:rsid w:val="00045313"/>
    <w:rsid w:val="00045A6C"/>
    <w:rsid w:val="00046E24"/>
    <w:rsid w:val="000473C4"/>
    <w:rsid w:val="00050647"/>
    <w:rsid w:val="000510D8"/>
    <w:rsid w:val="00053904"/>
    <w:rsid w:val="00056956"/>
    <w:rsid w:val="00056EFC"/>
    <w:rsid w:val="00061569"/>
    <w:rsid w:val="00061FF4"/>
    <w:rsid w:val="00062DAA"/>
    <w:rsid w:val="00063999"/>
    <w:rsid w:val="00063F3A"/>
    <w:rsid w:val="000646F7"/>
    <w:rsid w:val="00066110"/>
    <w:rsid w:val="00067EF7"/>
    <w:rsid w:val="000717F9"/>
    <w:rsid w:val="000718B8"/>
    <w:rsid w:val="00074E5C"/>
    <w:rsid w:val="000802CA"/>
    <w:rsid w:val="0008102D"/>
    <w:rsid w:val="00081CD7"/>
    <w:rsid w:val="00081D70"/>
    <w:rsid w:val="000824E8"/>
    <w:rsid w:val="00083B92"/>
    <w:rsid w:val="000859DE"/>
    <w:rsid w:val="00086C54"/>
    <w:rsid w:val="00086DE8"/>
    <w:rsid w:val="00096F47"/>
    <w:rsid w:val="00097B87"/>
    <w:rsid w:val="000A07D3"/>
    <w:rsid w:val="000A0E6C"/>
    <w:rsid w:val="000A13BB"/>
    <w:rsid w:val="000A2E12"/>
    <w:rsid w:val="000A420E"/>
    <w:rsid w:val="000A5637"/>
    <w:rsid w:val="000A59FD"/>
    <w:rsid w:val="000A7A7A"/>
    <w:rsid w:val="000A7EF6"/>
    <w:rsid w:val="000B085E"/>
    <w:rsid w:val="000B1CC9"/>
    <w:rsid w:val="000B39CE"/>
    <w:rsid w:val="000B4915"/>
    <w:rsid w:val="000B5B6A"/>
    <w:rsid w:val="000B6518"/>
    <w:rsid w:val="000B6A0F"/>
    <w:rsid w:val="000B6FB1"/>
    <w:rsid w:val="000C04C7"/>
    <w:rsid w:val="000C1C7B"/>
    <w:rsid w:val="000C4278"/>
    <w:rsid w:val="000C58DE"/>
    <w:rsid w:val="000C60D4"/>
    <w:rsid w:val="000C61FC"/>
    <w:rsid w:val="000C6E8F"/>
    <w:rsid w:val="000C7544"/>
    <w:rsid w:val="000D0369"/>
    <w:rsid w:val="000D056B"/>
    <w:rsid w:val="000D0833"/>
    <w:rsid w:val="000D4B54"/>
    <w:rsid w:val="000D5FE6"/>
    <w:rsid w:val="000D6762"/>
    <w:rsid w:val="000D6E92"/>
    <w:rsid w:val="000E180B"/>
    <w:rsid w:val="000E23B7"/>
    <w:rsid w:val="000E3799"/>
    <w:rsid w:val="000E4C02"/>
    <w:rsid w:val="000E52D7"/>
    <w:rsid w:val="000E7181"/>
    <w:rsid w:val="000E7279"/>
    <w:rsid w:val="000E73F2"/>
    <w:rsid w:val="000F02A5"/>
    <w:rsid w:val="000F18A5"/>
    <w:rsid w:val="000F4734"/>
    <w:rsid w:val="000F75D5"/>
    <w:rsid w:val="00100292"/>
    <w:rsid w:val="00101FEE"/>
    <w:rsid w:val="00102958"/>
    <w:rsid w:val="00104F2D"/>
    <w:rsid w:val="00105E7D"/>
    <w:rsid w:val="00110CE7"/>
    <w:rsid w:val="001150F1"/>
    <w:rsid w:val="00120AD2"/>
    <w:rsid w:val="00121C31"/>
    <w:rsid w:val="00122824"/>
    <w:rsid w:val="001232C1"/>
    <w:rsid w:val="00123557"/>
    <w:rsid w:val="00124824"/>
    <w:rsid w:val="00124C08"/>
    <w:rsid w:val="00126B18"/>
    <w:rsid w:val="001272AE"/>
    <w:rsid w:val="001312C6"/>
    <w:rsid w:val="00132091"/>
    <w:rsid w:val="001351A3"/>
    <w:rsid w:val="00136C8A"/>
    <w:rsid w:val="00136DD3"/>
    <w:rsid w:val="00137997"/>
    <w:rsid w:val="00140120"/>
    <w:rsid w:val="00140952"/>
    <w:rsid w:val="0014264D"/>
    <w:rsid w:val="00143036"/>
    <w:rsid w:val="00144457"/>
    <w:rsid w:val="00144FF6"/>
    <w:rsid w:val="00145736"/>
    <w:rsid w:val="00145863"/>
    <w:rsid w:val="00145F24"/>
    <w:rsid w:val="001465AF"/>
    <w:rsid w:val="0015094E"/>
    <w:rsid w:val="00152211"/>
    <w:rsid w:val="001538F1"/>
    <w:rsid w:val="00153A32"/>
    <w:rsid w:val="00153BB9"/>
    <w:rsid w:val="00154E08"/>
    <w:rsid w:val="00155D5C"/>
    <w:rsid w:val="00160C8A"/>
    <w:rsid w:val="0016103A"/>
    <w:rsid w:val="0016299F"/>
    <w:rsid w:val="00165B26"/>
    <w:rsid w:val="0016603C"/>
    <w:rsid w:val="00173957"/>
    <w:rsid w:val="00174A60"/>
    <w:rsid w:val="00174A71"/>
    <w:rsid w:val="0017508D"/>
    <w:rsid w:val="001756FE"/>
    <w:rsid w:val="00175ED9"/>
    <w:rsid w:val="00176A0D"/>
    <w:rsid w:val="00177B80"/>
    <w:rsid w:val="00180F40"/>
    <w:rsid w:val="001834CA"/>
    <w:rsid w:val="001854FB"/>
    <w:rsid w:val="00186EEB"/>
    <w:rsid w:val="00187120"/>
    <w:rsid w:val="001878E7"/>
    <w:rsid w:val="001940EE"/>
    <w:rsid w:val="001959A6"/>
    <w:rsid w:val="00196C83"/>
    <w:rsid w:val="00196FF0"/>
    <w:rsid w:val="001A0268"/>
    <w:rsid w:val="001A32EE"/>
    <w:rsid w:val="001A4B7E"/>
    <w:rsid w:val="001A5FBE"/>
    <w:rsid w:val="001A6F7D"/>
    <w:rsid w:val="001A7599"/>
    <w:rsid w:val="001B0266"/>
    <w:rsid w:val="001B2473"/>
    <w:rsid w:val="001B2B12"/>
    <w:rsid w:val="001B5446"/>
    <w:rsid w:val="001B57CD"/>
    <w:rsid w:val="001B6F1F"/>
    <w:rsid w:val="001B7C4D"/>
    <w:rsid w:val="001B7EC3"/>
    <w:rsid w:val="001C396F"/>
    <w:rsid w:val="001C3F1D"/>
    <w:rsid w:val="001C6801"/>
    <w:rsid w:val="001D11C9"/>
    <w:rsid w:val="001D1EAD"/>
    <w:rsid w:val="001D3003"/>
    <w:rsid w:val="001D3036"/>
    <w:rsid w:val="001D4623"/>
    <w:rsid w:val="001D4C40"/>
    <w:rsid w:val="001D75FA"/>
    <w:rsid w:val="001E121A"/>
    <w:rsid w:val="001E148E"/>
    <w:rsid w:val="001E523B"/>
    <w:rsid w:val="001E52B8"/>
    <w:rsid w:val="001E6335"/>
    <w:rsid w:val="001E7E3C"/>
    <w:rsid w:val="001F6461"/>
    <w:rsid w:val="002017C3"/>
    <w:rsid w:val="002021D9"/>
    <w:rsid w:val="00202E2E"/>
    <w:rsid w:val="0020643C"/>
    <w:rsid w:val="002127F7"/>
    <w:rsid w:val="0021387E"/>
    <w:rsid w:val="00213B39"/>
    <w:rsid w:val="00214A2F"/>
    <w:rsid w:val="0021680D"/>
    <w:rsid w:val="002176A9"/>
    <w:rsid w:val="00220C71"/>
    <w:rsid w:val="00220C8C"/>
    <w:rsid w:val="00220ED0"/>
    <w:rsid w:val="00221154"/>
    <w:rsid w:val="0022374C"/>
    <w:rsid w:val="00223C64"/>
    <w:rsid w:val="00224278"/>
    <w:rsid w:val="00224CF9"/>
    <w:rsid w:val="0022538A"/>
    <w:rsid w:val="00225D04"/>
    <w:rsid w:val="002271C3"/>
    <w:rsid w:val="00233355"/>
    <w:rsid w:val="002339F0"/>
    <w:rsid w:val="00233B68"/>
    <w:rsid w:val="00235D66"/>
    <w:rsid w:val="002377C4"/>
    <w:rsid w:val="00240B62"/>
    <w:rsid w:val="00241A6A"/>
    <w:rsid w:val="00242DAD"/>
    <w:rsid w:val="00243E06"/>
    <w:rsid w:val="00244F39"/>
    <w:rsid w:val="002453E8"/>
    <w:rsid w:val="00247001"/>
    <w:rsid w:val="002477DA"/>
    <w:rsid w:val="00247ACC"/>
    <w:rsid w:val="0025188A"/>
    <w:rsid w:val="002524D2"/>
    <w:rsid w:val="00253F1E"/>
    <w:rsid w:val="00255B12"/>
    <w:rsid w:val="0026017D"/>
    <w:rsid w:val="002605AF"/>
    <w:rsid w:val="00266311"/>
    <w:rsid w:val="00267BE7"/>
    <w:rsid w:val="002729DE"/>
    <w:rsid w:val="00272A76"/>
    <w:rsid w:val="00275910"/>
    <w:rsid w:val="00280F35"/>
    <w:rsid w:val="00282D74"/>
    <w:rsid w:val="00284C24"/>
    <w:rsid w:val="00285FAD"/>
    <w:rsid w:val="0028735D"/>
    <w:rsid w:val="002873D1"/>
    <w:rsid w:val="00287621"/>
    <w:rsid w:val="00291185"/>
    <w:rsid w:val="00291777"/>
    <w:rsid w:val="00292226"/>
    <w:rsid w:val="00292B2F"/>
    <w:rsid w:val="00294A69"/>
    <w:rsid w:val="00294B95"/>
    <w:rsid w:val="002964BD"/>
    <w:rsid w:val="002A65A2"/>
    <w:rsid w:val="002A6A8D"/>
    <w:rsid w:val="002A736F"/>
    <w:rsid w:val="002B0FB5"/>
    <w:rsid w:val="002B1649"/>
    <w:rsid w:val="002B24C8"/>
    <w:rsid w:val="002B2D96"/>
    <w:rsid w:val="002B2FF4"/>
    <w:rsid w:val="002B30E5"/>
    <w:rsid w:val="002B3383"/>
    <w:rsid w:val="002B3760"/>
    <w:rsid w:val="002B464C"/>
    <w:rsid w:val="002B76F8"/>
    <w:rsid w:val="002C34A7"/>
    <w:rsid w:val="002C45DB"/>
    <w:rsid w:val="002C798A"/>
    <w:rsid w:val="002D0EC1"/>
    <w:rsid w:val="002D30D0"/>
    <w:rsid w:val="002D4226"/>
    <w:rsid w:val="002D457B"/>
    <w:rsid w:val="002D5393"/>
    <w:rsid w:val="002E0C26"/>
    <w:rsid w:val="002E3175"/>
    <w:rsid w:val="002E3A4A"/>
    <w:rsid w:val="002E5A85"/>
    <w:rsid w:val="002E784F"/>
    <w:rsid w:val="002F343A"/>
    <w:rsid w:val="002F3514"/>
    <w:rsid w:val="00301F23"/>
    <w:rsid w:val="0030404E"/>
    <w:rsid w:val="003049FF"/>
    <w:rsid w:val="00304C29"/>
    <w:rsid w:val="003059C5"/>
    <w:rsid w:val="00305F48"/>
    <w:rsid w:val="00306045"/>
    <w:rsid w:val="00306A39"/>
    <w:rsid w:val="00307433"/>
    <w:rsid w:val="0031020F"/>
    <w:rsid w:val="00310D1D"/>
    <w:rsid w:val="003127F0"/>
    <w:rsid w:val="00313A6E"/>
    <w:rsid w:val="00314578"/>
    <w:rsid w:val="00315F1D"/>
    <w:rsid w:val="00316D42"/>
    <w:rsid w:val="00317570"/>
    <w:rsid w:val="00320283"/>
    <w:rsid w:val="0032065C"/>
    <w:rsid w:val="00322900"/>
    <w:rsid w:val="003233EC"/>
    <w:rsid w:val="0032664A"/>
    <w:rsid w:val="00330D8B"/>
    <w:rsid w:val="00330E18"/>
    <w:rsid w:val="00332211"/>
    <w:rsid w:val="00332D1F"/>
    <w:rsid w:val="003343B1"/>
    <w:rsid w:val="003378EB"/>
    <w:rsid w:val="00340677"/>
    <w:rsid w:val="0034196F"/>
    <w:rsid w:val="00343B8C"/>
    <w:rsid w:val="0034442C"/>
    <w:rsid w:val="003474A7"/>
    <w:rsid w:val="003500B5"/>
    <w:rsid w:val="00351A1A"/>
    <w:rsid w:val="0035203E"/>
    <w:rsid w:val="00352B7A"/>
    <w:rsid w:val="00353187"/>
    <w:rsid w:val="003533BF"/>
    <w:rsid w:val="003534B7"/>
    <w:rsid w:val="003545CA"/>
    <w:rsid w:val="00354898"/>
    <w:rsid w:val="003552FC"/>
    <w:rsid w:val="003562AA"/>
    <w:rsid w:val="0035799D"/>
    <w:rsid w:val="00360A88"/>
    <w:rsid w:val="00362E79"/>
    <w:rsid w:val="00362EFD"/>
    <w:rsid w:val="003646C2"/>
    <w:rsid w:val="00364AB2"/>
    <w:rsid w:val="00364B10"/>
    <w:rsid w:val="0036794C"/>
    <w:rsid w:val="00373D49"/>
    <w:rsid w:val="00374278"/>
    <w:rsid w:val="0037442B"/>
    <w:rsid w:val="0037631E"/>
    <w:rsid w:val="00380EAB"/>
    <w:rsid w:val="00383AA8"/>
    <w:rsid w:val="00386897"/>
    <w:rsid w:val="00386982"/>
    <w:rsid w:val="003910EB"/>
    <w:rsid w:val="00393CD4"/>
    <w:rsid w:val="003946BC"/>
    <w:rsid w:val="00397409"/>
    <w:rsid w:val="003A0DAA"/>
    <w:rsid w:val="003A1912"/>
    <w:rsid w:val="003A1A21"/>
    <w:rsid w:val="003A22C0"/>
    <w:rsid w:val="003A3D8D"/>
    <w:rsid w:val="003B0495"/>
    <w:rsid w:val="003B0FA7"/>
    <w:rsid w:val="003B3C00"/>
    <w:rsid w:val="003B4AC6"/>
    <w:rsid w:val="003B5239"/>
    <w:rsid w:val="003B56CC"/>
    <w:rsid w:val="003B5A1A"/>
    <w:rsid w:val="003B7028"/>
    <w:rsid w:val="003C166F"/>
    <w:rsid w:val="003C496B"/>
    <w:rsid w:val="003C590A"/>
    <w:rsid w:val="003C6CEA"/>
    <w:rsid w:val="003C7C42"/>
    <w:rsid w:val="003D02BF"/>
    <w:rsid w:val="003D124E"/>
    <w:rsid w:val="003D3310"/>
    <w:rsid w:val="003D783E"/>
    <w:rsid w:val="003E0E39"/>
    <w:rsid w:val="003E3EC1"/>
    <w:rsid w:val="003E4650"/>
    <w:rsid w:val="003E67EE"/>
    <w:rsid w:val="003E6FF7"/>
    <w:rsid w:val="003F0F71"/>
    <w:rsid w:val="003F1CFC"/>
    <w:rsid w:val="003F1DA1"/>
    <w:rsid w:val="003F1F75"/>
    <w:rsid w:val="003F2031"/>
    <w:rsid w:val="003F3EA4"/>
    <w:rsid w:val="003F5F4F"/>
    <w:rsid w:val="003F7DDA"/>
    <w:rsid w:val="003F7E2B"/>
    <w:rsid w:val="00400E14"/>
    <w:rsid w:val="00400E61"/>
    <w:rsid w:val="00405053"/>
    <w:rsid w:val="0040510E"/>
    <w:rsid w:val="004059BC"/>
    <w:rsid w:val="0041119E"/>
    <w:rsid w:val="004113E9"/>
    <w:rsid w:val="00411424"/>
    <w:rsid w:val="0041278B"/>
    <w:rsid w:val="0041279D"/>
    <w:rsid w:val="0041798A"/>
    <w:rsid w:val="00421F9E"/>
    <w:rsid w:val="004229F7"/>
    <w:rsid w:val="00422EC5"/>
    <w:rsid w:val="004255AB"/>
    <w:rsid w:val="00430CF2"/>
    <w:rsid w:val="00431BA5"/>
    <w:rsid w:val="00431C44"/>
    <w:rsid w:val="004348CC"/>
    <w:rsid w:val="004363C9"/>
    <w:rsid w:val="0043758C"/>
    <w:rsid w:val="00440A2C"/>
    <w:rsid w:val="004417EA"/>
    <w:rsid w:val="004418A4"/>
    <w:rsid w:val="00441B75"/>
    <w:rsid w:val="00451391"/>
    <w:rsid w:val="0045238B"/>
    <w:rsid w:val="00452565"/>
    <w:rsid w:val="00452811"/>
    <w:rsid w:val="00453EC2"/>
    <w:rsid w:val="0045565C"/>
    <w:rsid w:val="00455D7A"/>
    <w:rsid w:val="00456A6B"/>
    <w:rsid w:val="004615A7"/>
    <w:rsid w:val="00463883"/>
    <w:rsid w:val="00464CFB"/>
    <w:rsid w:val="0046548D"/>
    <w:rsid w:val="0046691C"/>
    <w:rsid w:val="004675F1"/>
    <w:rsid w:val="00470573"/>
    <w:rsid w:val="00471711"/>
    <w:rsid w:val="00472AE7"/>
    <w:rsid w:val="004736C9"/>
    <w:rsid w:val="004747EF"/>
    <w:rsid w:val="00474A05"/>
    <w:rsid w:val="004751E9"/>
    <w:rsid w:val="00475615"/>
    <w:rsid w:val="00480180"/>
    <w:rsid w:val="0048217F"/>
    <w:rsid w:val="00482639"/>
    <w:rsid w:val="00483EB3"/>
    <w:rsid w:val="004848D1"/>
    <w:rsid w:val="00484FCD"/>
    <w:rsid w:val="004858DC"/>
    <w:rsid w:val="0048657B"/>
    <w:rsid w:val="00487E20"/>
    <w:rsid w:val="00491BDB"/>
    <w:rsid w:val="00492138"/>
    <w:rsid w:val="00492738"/>
    <w:rsid w:val="00493F47"/>
    <w:rsid w:val="00494B44"/>
    <w:rsid w:val="004969C3"/>
    <w:rsid w:val="00496E08"/>
    <w:rsid w:val="004A18FE"/>
    <w:rsid w:val="004A49A5"/>
    <w:rsid w:val="004A7257"/>
    <w:rsid w:val="004B0197"/>
    <w:rsid w:val="004B2544"/>
    <w:rsid w:val="004B25A6"/>
    <w:rsid w:val="004B2F80"/>
    <w:rsid w:val="004B39FB"/>
    <w:rsid w:val="004B3E39"/>
    <w:rsid w:val="004B4462"/>
    <w:rsid w:val="004B4BFE"/>
    <w:rsid w:val="004B728F"/>
    <w:rsid w:val="004C075E"/>
    <w:rsid w:val="004C1AE1"/>
    <w:rsid w:val="004C29EC"/>
    <w:rsid w:val="004C4984"/>
    <w:rsid w:val="004C6B8B"/>
    <w:rsid w:val="004C79E1"/>
    <w:rsid w:val="004D43B3"/>
    <w:rsid w:val="004D4885"/>
    <w:rsid w:val="004D4A12"/>
    <w:rsid w:val="004D521D"/>
    <w:rsid w:val="004D5961"/>
    <w:rsid w:val="004D74F5"/>
    <w:rsid w:val="004D782E"/>
    <w:rsid w:val="004E047F"/>
    <w:rsid w:val="004E253A"/>
    <w:rsid w:val="004E4433"/>
    <w:rsid w:val="004E5794"/>
    <w:rsid w:val="004E7630"/>
    <w:rsid w:val="004F131E"/>
    <w:rsid w:val="004F4359"/>
    <w:rsid w:val="004F4D16"/>
    <w:rsid w:val="004F72D0"/>
    <w:rsid w:val="005007A5"/>
    <w:rsid w:val="00500D08"/>
    <w:rsid w:val="005015C4"/>
    <w:rsid w:val="00502ABE"/>
    <w:rsid w:val="00503A64"/>
    <w:rsid w:val="00505785"/>
    <w:rsid w:val="00510777"/>
    <w:rsid w:val="005122C7"/>
    <w:rsid w:val="005135EE"/>
    <w:rsid w:val="005167E5"/>
    <w:rsid w:val="005175F5"/>
    <w:rsid w:val="00521971"/>
    <w:rsid w:val="0052261F"/>
    <w:rsid w:val="00522B8B"/>
    <w:rsid w:val="005235D9"/>
    <w:rsid w:val="00525DAF"/>
    <w:rsid w:val="005304E7"/>
    <w:rsid w:val="005313B4"/>
    <w:rsid w:val="00532A21"/>
    <w:rsid w:val="0053368A"/>
    <w:rsid w:val="0053535C"/>
    <w:rsid w:val="0053545A"/>
    <w:rsid w:val="0053637C"/>
    <w:rsid w:val="00536A04"/>
    <w:rsid w:val="005403F6"/>
    <w:rsid w:val="005413A2"/>
    <w:rsid w:val="00542306"/>
    <w:rsid w:val="00542AEF"/>
    <w:rsid w:val="00545025"/>
    <w:rsid w:val="00545056"/>
    <w:rsid w:val="00545BAC"/>
    <w:rsid w:val="0054761E"/>
    <w:rsid w:val="00550705"/>
    <w:rsid w:val="005509C8"/>
    <w:rsid w:val="005562CC"/>
    <w:rsid w:val="00556BDD"/>
    <w:rsid w:val="00561A0A"/>
    <w:rsid w:val="0056785A"/>
    <w:rsid w:val="00570CEA"/>
    <w:rsid w:val="005742B0"/>
    <w:rsid w:val="00575438"/>
    <w:rsid w:val="00580A3A"/>
    <w:rsid w:val="00580E42"/>
    <w:rsid w:val="005813FF"/>
    <w:rsid w:val="00582C89"/>
    <w:rsid w:val="00582E58"/>
    <w:rsid w:val="0058349A"/>
    <w:rsid w:val="00583C7A"/>
    <w:rsid w:val="00584DA0"/>
    <w:rsid w:val="005868B2"/>
    <w:rsid w:val="00590749"/>
    <w:rsid w:val="005909A1"/>
    <w:rsid w:val="00594B77"/>
    <w:rsid w:val="00595813"/>
    <w:rsid w:val="005958BA"/>
    <w:rsid w:val="005975E4"/>
    <w:rsid w:val="005A07EE"/>
    <w:rsid w:val="005A29A3"/>
    <w:rsid w:val="005A427F"/>
    <w:rsid w:val="005A524E"/>
    <w:rsid w:val="005A55B6"/>
    <w:rsid w:val="005A5EBA"/>
    <w:rsid w:val="005A67D7"/>
    <w:rsid w:val="005B06AD"/>
    <w:rsid w:val="005B184A"/>
    <w:rsid w:val="005B2AB9"/>
    <w:rsid w:val="005B2DA9"/>
    <w:rsid w:val="005B41B3"/>
    <w:rsid w:val="005B5F75"/>
    <w:rsid w:val="005B6CA8"/>
    <w:rsid w:val="005B6EA9"/>
    <w:rsid w:val="005B70E6"/>
    <w:rsid w:val="005C0A60"/>
    <w:rsid w:val="005C0DF6"/>
    <w:rsid w:val="005C2888"/>
    <w:rsid w:val="005C2D71"/>
    <w:rsid w:val="005C3274"/>
    <w:rsid w:val="005C34AE"/>
    <w:rsid w:val="005C3ADE"/>
    <w:rsid w:val="005C3F3D"/>
    <w:rsid w:val="005C4AB5"/>
    <w:rsid w:val="005D2AC9"/>
    <w:rsid w:val="005D4025"/>
    <w:rsid w:val="005D54C6"/>
    <w:rsid w:val="005D615A"/>
    <w:rsid w:val="005D63AC"/>
    <w:rsid w:val="005D705D"/>
    <w:rsid w:val="005D72D5"/>
    <w:rsid w:val="005E43AA"/>
    <w:rsid w:val="005E4C25"/>
    <w:rsid w:val="005E5E33"/>
    <w:rsid w:val="005F0B10"/>
    <w:rsid w:val="005F3434"/>
    <w:rsid w:val="005F6FE8"/>
    <w:rsid w:val="005F7D08"/>
    <w:rsid w:val="00600283"/>
    <w:rsid w:val="006013D7"/>
    <w:rsid w:val="006018F2"/>
    <w:rsid w:val="00602ECF"/>
    <w:rsid w:val="00604281"/>
    <w:rsid w:val="00604714"/>
    <w:rsid w:val="006101C3"/>
    <w:rsid w:val="00610F48"/>
    <w:rsid w:val="006131EE"/>
    <w:rsid w:val="0061486E"/>
    <w:rsid w:val="006166BC"/>
    <w:rsid w:val="0062020E"/>
    <w:rsid w:val="006227F9"/>
    <w:rsid w:val="006230B5"/>
    <w:rsid w:val="00623520"/>
    <w:rsid w:val="00623BEA"/>
    <w:rsid w:val="00623CF7"/>
    <w:rsid w:val="006243DB"/>
    <w:rsid w:val="0062459B"/>
    <w:rsid w:val="006250E8"/>
    <w:rsid w:val="00625E43"/>
    <w:rsid w:val="006268F7"/>
    <w:rsid w:val="006310DA"/>
    <w:rsid w:val="00637907"/>
    <w:rsid w:val="00637BFA"/>
    <w:rsid w:val="00640F2F"/>
    <w:rsid w:val="006416D9"/>
    <w:rsid w:val="00641922"/>
    <w:rsid w:val="0064492B"/>
    <w:rsid w:val="00644F71"/>
    <w:rsid w:val="006463EF"/>
    <w:rsid w:val="00647DD4"/>
    <w:rsid w:val="00650FB7"/>
    <w:rsid w:val="00651411"/>
    <w:rsid w:val="006518B2"/>
    <w:rsid w:val="00651D48"/>
    <w:rsid w:val="00653498"/>
    <w:rsid w:val="006545BE"/>
    <w:rsid w:val="00654D74"/>
    <w:rsid w:val="00654FF7"/>
    <w:rsid w:val="006553C4"/>
    <w:rsid w:val="00655F00"/>
    <w:rsid w:val="006568D0"/>
    <w:rsid w:val="00657359"/>
    <w:rsid w:val="006603E0"/>
    <w:rsid w:val="00661A56"/>
    <w:rsid w:val="00662731"/>
    <w:rsid w:val="00663268"/>
    <w:rsid w:val="006641A9"/>
    <w:rsid w:val="00664ED5"/>
    <w:rsid w:val="00665CBB"/>
    <w:rsid w:val="00666C22"/>
    <w:rsid w:val="00667795"/>
    <w:rsid w:val="00671877"/>
    <w:rsid w:val="00675620"/>
    <w:rsid w:val="00677021"/>
    <w:rsid w:val="006815F0"/>
    <w:rsid w:val="00681C2A"/>
    <w:rsid w:val="006820B2"/>
    <w:rsid w:val="00682238"/>
    <w:rsid w:val="00685D1E"/>
    <w:rsid w:val="0068629F"/>
    <w:rsid w:val="0068739B"/>
    <w:rsid w:val="0069007B"/>
    <w:rsid w:val="006911C0"/>
    <w:rsid w:val="00691471"/>
    <w:rsid w:val="00692499"/>
    <w:rsid w:val="00693CA7"/>
    <w:rsid w:val="00696835"/>
    <w:rsid w:val="006A07C6"/>
    <w:rsid w:val="006A394F"/>
    <w:rsid w:val="006A3BD7"/>
    <w:rsid w:val="006A433F"/>
    <w:rsid w:val="006A7E54"/>
    <w:rsid w:val="006B0BCA"/>
    <w:rsid w:val="006B1DB5"/>
    <w:rsid w:val="006B47E8"/>
    <w:rsid w:val="006B601A"/>
    <w:rsid w:val="006C090E"/>
    <w:rsid w:val="006C1512"/>
    <w:rsid w:val="006C2181"/>
    <w:rsid w:val="006C2848"/>
    <w:rsid w:val="006C3295"/>
    <w:rsid w:val="006C3E90"/>
    <w:rsid w:val="006C56B3"/>
    <w:rsid w:val="006C6631"/>
    <w:rsid w:val="006C6831"/>
    <w:rsid w:val="006C7302"/>
    <w:rsid w:val="006C7565"/>
    <w:rsid w:val="006D266E"/>
    <w:rsid w:val="006D380E"/>
    <w:rsid w:val="006D6C59"/>
    <w:rsid w:val="006D6EA8"/>
    <w:rsid w:val="006D7B28"/>
    <w:rsid w:val="006E0307"/>
    <w:rsid w:val="006E7404"/>
    <w:rsid w:val="006E74F0"/>
    <w:rsid w:val="006E7A30"/>
    <w:rsid w:val="006F00D6"/>
    <w:rsid w:val="006F2484"/>
    <w:rsid w:val="006F6892"/>
    <w:rsid w:val="007009C4"/>
    <w:rsid w:val="007017BF"/>
    <w:rsid w:val="00703F4A"/>
    <w:rsid w:val="007057FA"/>
    <w:rsid w:val="00705D9D"/>
    <w:rsid w:val="0070601B"/>
    <w:rsid w:val="0070672D"/>
    <w:rsid w:val="0071024E"/>
    <w:rsid w:val="0071027A"/>
    <w:rsid w:val="00711DAA"/>
    <w:rsid w:val="007125E4"/>
    <w:rsid w:val="00713F0A"/>
    <w:rsid w:val="00716E9E"/>
    <w:rsid w:val="007170CE"/>
    <w:rsid w:val="00717417"/>
    <w:rsid w:val="00720EFE"/>
    <w:rsid w:val="00721CFB"/>
    <w:rsid w:val="00721E1B"/>
    <w:rsid w:val="0072677E"/>
    <w:rsid w:val="00726A08"/>
    <w:rsid w:val="00727C21"/>
    <w:rsid w:val="00731C96"/>
    <w:rsid w:val="00732F84"/>
    <w:rsid w:val="00735293"/>
    <w:rsid w:val="00753DAA"/>
    <w:rsid w:val="0075665D"/>
    <w:rsid w:val="00760A88"/>
    <w:rsid w:val="00762398"/>
    <w:rsid w:val="0076348F"/>
    <w:rsid w:val="007651A1"/>
    <w:rsid w:val="007671A7"/>
    <w:rsid w:val="0077039E"/>
    <w:rsid w:val="00770DFE"/>
    <w:rsid w:val="0077148C"/>
    <w:rsid w:val="00772E50"/>
    <w:rsid w:val="00773CA7"/>
    <w:rsid w:val="007740CF"/>
    <w:rsid w:val="00774245"/>
    <w:rsid w:val="00776071"/>
    <w:rsid w:val="007761BE"/>
    <w:rsid w:val="0077719F"/>
    <w:rsid w:val="007775F5"/>
    <w:rsid w:val="0078019C"/>
    <w:rsid w:val="00780F3B"/>
    <w:rsid w:val="007831F0"/>
    <w:rsid w:val="00783699"/>
    <w:rsid w:val="00783ED0"/>
    <w:rsid w:val="007845FB"/>
    <w:rsid w:val="007860AC"/>
    <w:rsid w:val="0078654C"/>
    <w:rsid w:val="007941FB"/>
    <w:rsid w:val="0079588D"/>
    <w:rsid w:val="00797AA6"/>
    <w:rsid w:val="007A37F6"/>
    <w:rsid w:val="007A4457"/>
    <w:rsid w:val="007A5A56"/>
    <w:rsid w:val="007A6541"/>
    <w:rsid w:val="007A7789"/>
    <w:rsid w:val="007B1536"/>
    <w:rsid w:val="007B529B"/>
    <w:rsid w:val="007B6502"/>
    <w:rsid w:val="007B6A25"/>
    <w:rsid w:val="007B7C23"/>
    <w:rsid w:val="007C0CC4"/>
    <w:rsid w:val="007C2B3B"/>
    <w:rsid w:val="007C3CFF"/>
    <w:rsid w:val="007C3D7A"/>
    <w:rsid w:val="007C3EF9"/>
    <w:rsid w:val="007C46B4"/>
    <w:rsid w:val="007C4FA7"/>
    <w:rsid w:val="007C5471"/>
    <w:rsid w:val="007C5833"/>
    <w:rsid w:val="007D2690"/>
    <w:rsid w:val="007D4EFB"/>
    <w:rsid w:val="007D7B42"/>
    <w:rsid w:val="007E13D6"/>
    <w:rsid w:val="007E65B4"/>
    <w:rsid w:val="007E7B2B"/>
    <w:rsid w:val="007F12B1"/>
    <w:rsid w:val="007F2479"/>
    <w:rsid w:val="007F3DEF"/>
    <w:rsid w:val="007F7AC8"/>
    <w:rsid w:val="0080359D"/>
    <w:rsid w:val="008035C9"/>
    <w:rsid w:val="00803A5B"/>
    <w:rsid w:val="00804450"/>
    <w:rsid w:val="00804511"/>
    <w:rsid w:val="00805780"/>
    <w:rsid w:val="00806781"/>
    <w:rsid w:val="00810849"/>
    <w:rsid w:val="00810A91"/>
    <w:rsid w:val="008115D6"/>
    <w:rsid w:val="008124F3"/>
    <w:rsid w:val="00812D63"/>
    <w:rsid w:val="008135E6"/>
    <w:rsid w:val="00814AA0"/>
    <w:rsid w:val="00814FBF"/>
    <w:rsid w:val="00816303"/>
    <w:rsid w:val="00820497"/>
    <w:rsid w:val="00820725"/>
    <w:rsid w:val="00824F1B"/>
    <w:rsid w:val="008318F4"/>
    <w:rsid w:val="00831F3A"/>
    <w:rsid w:val="00831FC9"/>
    <w:rsid w:val="00832C48"/>
    <w:rsid w:val="00833859"/>
    <w:rsid w:val="00834018"/>
    <w:rsid w:val="00835806"/>
    <w:rsid w:val="008358D7"/>
    <w:rsid w:val="00836B0F"/>
    <w:rsid w:val="0084031C"/>
    <w:rsid w:val="008412B9"/>
    <w:rsid w:val="008414BE"/>
    <w:rsid w:val="008414FC"/>
    <w:rsid w:val="0084341B"/>
    <w:rsid w:val="00845C00"/>
    <w:rsid w:val="00846EB9"/>
    <w:rsid w:val="0084767C"/>
    <w:rsid w:val="00851868"/>
    <w:rsid w:val="00854627"/>
    <w:rsid w:val="008571FF"/>
    <w:rsid w:val="0086254D"/>
    <w:rsid w:val="00863AA3"/>
    <w:rsid w:val="00864A96"/>
    <w:rsid w:val="008655FC"/>
    <w:rsid w:val="008666F4"/>
    <w:rsid w:val="00867D1A"/>
    <w:rsid w:val="00870391"/>
    <w:rsid w:val="00871384"/>
    <w:rsid w:val="00872CF5"/>
    <w:rsid w:val="00873751"/>
    <w:rsid w:val="00875827"/>
    <w:rsid w:val="00876D3B"/>
    <w:rsid w:val="008806AB"/>
    <w:rsid w:val="00882176"/>
    <w:rsid w:val="00882F2A"/>
    <w:rsid w:val="00883974"/>
    <w:rsid w:val="008853F0"/>
    <w:rsid w:val="00885E42"/>
    <w:rsid w:val="00886D51"/>
    <w:rsid w:val="00890D6F"/>
    <w:rsid w:val="00891BEA"/>
    <w:rsid w:val="00891CA1"/>
    <w:rsid w:val="00891D58"/>
    <w:rsid w:val="00892347"/>
    <w:rsid w:val="00892755"/>
    <w:rsid w:val="008940B2"/>
    <w:rsid w:val="008962DF"/>
    <w:rsid w:val="00896955"/>
    <w:rsid w:val="008A0FEB"/>
    <w:rsid w:val="008A2556"/>
    <w:rsid w:val="008B2DB3"/>
    <w:rsid w:val="008B3FAF"/>
    <w:rsid w:val="008B4804"/>
    <w:rsid w:val="008B65C6"/>
    <w:rsid w:val="008B72E6"/>
    <w:rsid w:val="008B7BA1"/>
    <w:rsid w:val="008C1AC0"/>
    <w:rsid w:val="008C2DEA"/>
    <w:rsid w:val="008C4116"/>
    <w:rsid w:val="008C45F3"/>
    <w:rsid w:val="008C4945"/>
    <w:rsid w:val="008C5FED"/>
    <w:rsid w:val="008C7C21"/>
    <w:rsid w:val="008D0592"/>
    <w:rsid w:val="008D0999"/>
    <w:rsid w:val="008D3CCA"/>
    <w:rsid w:val="008D3F91"/>
    <w:rsid w:val="008D5152"/>
    <w:rsid w:val="008D5F31"/>
    <w:rsid w:val="008D748B"/>
    <w:rsid w:val="008E2FC1"/>
    <w:rsid w:val="008E3A9E"/>
    <w:rsid w:val="008E5093"/>
    <w:rsid w:val="008E5DF8"/>
    <w:rsid w:val="008E617F"/>
    <w:rsid w:val="008E6FD9"/>
    <w:rsid w:val="008F1C54"/>
    <w:rsid w:val="008F4202"/>
    <w:rsid w:val="008F518E"/>
    <w:rsid w:val="008F599D"/>
    <w:rsid w:val="008F5D18"/>
    <w:rsid w:val="008F749A"/>
    <w:rsid w:val="008F7709"/>
    <w:rsid w:val="008F7CCA"/>
    <w:rsid w:val="009021DC"/>
    <w:rsid w:val="0090224B"/>
    <w:rsid w:val="00903ABA"/>
    <w:rsid w:val="009041A2"/>
    <w:rsid w:val="0090429D"/>
    <w:rsid w:val="009054C7"/>
    <w:rsid w:val="009058DE"/>
    <w:rsid w:val="00905CB5"/>
    <w:rsid w:val="00910A7B"/>
    <w:rsid w:val="00911679"/>
    <w:rsid w:val="00915168"/>
    <w:rsid w:val="00916B8D"/>
    <w:rsid w:val="0091744D"/>
    <w:rsid w:val="00917A34"/>
    <w:rsid w:val="00917A5D"/>
    <w:rsid w:val="009211A7"/>
    <w:rsid w:val="00923305"/>
    <w:rsid w:val="00923C3D"/>
    <w:rsid w:val="00924896"/>
    <w:rsid w:val="00924A39"/>
    <w:rsid w:val="009268ED"/>
    <w:rsid w:val="009269B3"/>
    <w:rsid w:val="00927844"/>
    <w:rsid w:val="00931940"/>
    <w:rsid w:val="00932928"/>
    <w:rsid w:val="009356B9"/>
    <w:rsid w:val="00940DF6"/>
    <w:rsid w:val="00941590"/>
    <w:rsid w:val="00943F43"/>
    <w:rsid w:val="0094417A"/>
    <w:rsid w:val="0094533D"/>
    <w:rsid w:val="00945662"/>
    <w:rsid w:val="00946F29"/>
    <w:rsid w:val="00950B29"/>
    <w:rsid w:val="0095256C"/>
    <w:rsid w:val="009532DA"/>
    <w:rsid w:val="009555BD"/>
    <w:rsid w:val="00956564"/>
    <w:rsid w:val="00960E53"/>
    <w:rsid w:val="009618BD"/>
    <w:rsid w:val="00963019"/>
    <w:rsid w:val="009634DA"/>
    <w:rsid w:val="00973D43"/>
    <w:rsid w:val="0097520C"/>
    <w:rsid w:val="0097730C"/>
    <w:rsid w:val="009814AA"/>
    <w:rsid w:val="00982073"/>
    <w:rsid w:val="009821CD"/>
    <w:rsid w:val="00983AD4"/>
    <w:rsid w:val="00983F83"/>
    <w:rsid w:val="00985358"/>
    <w:rsid w:val="00987BEB"/>
    <w:rsid w:val="00990246"/>
    <w:rsid w:val="009927F2"/>
    <w:rsid w:val="00993DAD"/>
    <w:rsid w:val="009943AD"/>
    <w:rsid w:val="009953C0"/>
    <w:rsid w:val="009977C6"/>
    <w:rsid w:val="009A0985"/>
    <w:rsid w:val="009A1E7E"/>
    <w:rsid w:val="009A24EB"/>
    <w:rsid w:val="009A5F5F"/>
    <w:rsid w:val="009A603E"/>
    <w:rsid w:val="009B53E7"/>
    <w:rsid w:val="009B5BA9"/>
    <w:rsid w:val="009B742F"/>
    <w:rsid w:val="009B787A"/>
    <w:rsid w:val="009C0905"/>
    <w:rsid w:val="009C0FAC"/>
    <w:rsid w:val="009C1F3C"/>
    <w:rsid w:val="009C61C6"/>
    <w:rsid w:val="009C7333"/>
    <w:rsid w:val="009D3CAF"/>
    <w:rsid w:val="009D4518"/>
    <w:rsid w:val="009D5E40"/>
    <w:rsid w:val="009E0BDD"/>
    <w:rsid w:val="009E4BEA"/>
    <w:rsid w:val="009E60C5"/>
    <w:rsid w:val="009E638E"/>
    <w:rsid w:val="009E6A0D"/>
    <w:rsid w:val="009F0773"/>
    <w:rsid w:val="009F0D2E"/>
    <w:rsid w:val="009F117F"/>
    <w:rsid w:val="009F23E2"/>
    <w:rsid w:val="009F3A14"/>
    <w:rsid w:val="009F7CB1"/>
    <w:rsid w:val="00A00BC9"/>
    <w:rsid w:val="00A00DA2"/>
    <w:rsid w:val="00A01B74"/>
    <w:rsid w:val="00A0283A"/>
    <w:rsid w:val="00A05867"/>
    <w:rsid w:val="00A07E44"/>
    <w:rsid w:val="00A10679"/>
    <w:rsid w:val="00A114B9"/>
    <w:rsid w:val="00A1151F"/>
    <w:rsid w:val="00A11AD8"/>
    <w:rsid w:val="00A11E1A"/>
    <w:rsid w:val="00A11ED1"/>
    <w:rsid w:val="00A12E98"/>
    <w:rsid w:val="00A16950"/>
    <w:rsid w:val="00A200B2"/>
    <w:rsid w:val="00A20D5F"/>
    <w:rsid w:val="00A21497"/>
    <w:rsid w:val="00A220BF"/>
    <w:rsid w:val="00A2253D"/>
    <w:rsid w:val="00A240C8"/>
    <w:rsid w:val="00A24DB3"/>
    <w:rsid w:val="00A25728"/>
    <w:rsid w:val="00A27605"/>
    <w:rsid w:val="00A27D72"/>
    <w:rsid w:val="00A30E39"/>
    <w:rsid w:val="00A33985"/>
    <w:rsid w:val="00A34991"/>
    <w:rsid w:val="00A36DA5"/>
    <w:rsid w:val="00A37D68"/>
    <w:rsid w:val="00A40618"/>
    <w:rsid w:val="00A40C9E"/>
    <w:rsid w:val="00A41C12"/>
    <w:rsid w:val="00A425C6"/>
    <w:rsid w:val="00A4333F"/>
    <w:rsid w:val="00A44DDF"/>
    <w:rsid w:val="00A45780"/>
    <w:rsid w:val="00A47C5A"/>
    <w:rsid w:val="00A50A70"/>
    <w:rsid w:val="00A517F7"/>
    <w:rsid w:val="00A551A2"/>
    <w:rsid w:val="00A60154"/>
    <w:rsid w:val="00A60644"/>
    <w:rsid w:val="00A61872"/>
    <w:rsid w:val="00A61CBF"/>
    <w:rsid w:val="00A62262"/>
    <w:rsid w:val="00A6335D"/>
    <w:rsid w:val="00A63498"/>
    <w:rsid w:val="00A63587"/>
    <w:rsid w:val="00A63853"/>
    <w:rsid w:val="00A648D7"/>
    <w:rsid w:val="00A64CDD"/>
    <w:rsid w:val="00A66540"/>
    <w:rsid w:val="00A7018D"/>
    <w:rsid w:val="00A72DDD"/>
    <w:rsid w:val="00A73CDC"/>
    <w:rsid w:val="00A7597C"/>
    <w:rsid w:val="00A80050"/>
    <w:rsid w:val="00A80B89"/>
    <w:rsid w:val="00A80F48"/>
    <w:rsid w:val="00A83A46"/>
    <w:rsid w:val="00A83BBA"/>
    <w:rsid w:val="00A84B6B"/>
    <w:rsid w:val="00A86B48"/>
    <w:rsid w:val="00A92043"/>
    <w:rsid w:val="00A94FDA"/>
    <w:rsid w:val="00A955A8"/>
    <w:rsid w:val="00A9641F"/>
    <w:rsid w:val="00A97CA6"/>
    <w:rsid w:val="00AA4413"/>
    <w:rsid w:val="00AA5358"/>
    <w:rsid w:val="00AA66D7"/>
    <w:rsid w:val="00AB0353"/>
    <w:rsid w:val="00AB1F99"/>
    <w:rsid w:val="00AB44DD"/>
    <w:rsid w:val="00AB5508"/>
    <w:rsid w:val="00AB584E"/>
    <w:rsid w:val="00AC042B"/>
    <w:rsid w:val="00AC05CD"/>
    <w:rsid w:val="00AC1D6B"/>
    <w:rsid w:val="00AC29E7"/>
    <w:rsid w:val="00AC4074"/>
    <w:rsid w:val="00AC638D"/>
    <w:rsid w:val="00AC6434"/>
    <w:rsid w:val="00AC75A4"/>
    <w:rsid w:val="00AD07B6"/>
    <w:rsid w:val="00AD07F5"/>
    <w:rsid w:val="00AD27C1"/>
    <w:rsid w:val="00AD3B9D"/>
    <w:rsid w:val="00AD3FC8"/>
    <w:rsid w:val="00AD4AA3"/>
    <w:rsid w:val="00AE20AB"/>
    <w:rsid w:val="00AE4AA1"/>
    <w:rsid w:val="00AE6903"/>
    <w:rsid w:val="00AE7D57"/>
    <w:rsid w:val="00AE7F76"/>
    <w:rsid w:val="00AF072E"/>
    <w:rsid w:val="00AF21AA"/>
    <w:rsid w:val="00AF2268"/>
    <w:rsid w:val="00AF6352"/>
    <w:rsid w:val="00AF647F"/>
    <w:rsid w:val="00AF73B4"/>
    <w:rsid w:val="00B027F2"/>
    <w:rsid w:val="00B03441"/>
    <w:rsid w:val="00B04526"/>
    <w:rsid w:val="00B04814"/>
    <w:rsid w:val="00B07CA2"/>
    <w:rsid w:val="00B10B12"/>
    <w:rsid w:val="00B113D4"/>
    <w:rsid w:val="00B11CE3"/>
    <w:rsid w:val="00B12935"/>
    <w:rsid w:val="00B13025"/>
    <w:rsid w:val="00B131B2"/>
    <w:rsid w:val="00B13601"/>
    <w:rsid w:val="00B13666"/>
    <w:rsid w:val="00B1581E"/>
    <w:rsid w:val="00B15BCA"/>
    <w:rsid w:val="00B20C68"/>
    <w:rsid w:val="00B21342"/>
    <w:rsid w:val="00B22854"/>
    <w:rsid w:val="00B2323B"/>
    <w:rsid w:val="00B3069A"/>
    <w:rsid w:val="00B357B3"/>
    <w:rsid w:val="00B35899"/>
    <w:rsid w:val="00B35A21"/>
    <w:rsid w:val="00B452DB"/>
    <w:rsid w:val="00B45E40"/>
    <w:rsid w:val="00B46844"/>
    <w:rsid w:val="00B5062C"/>
    <w:rsid w:val="00B51AC1"/>
    <w:rsid w:val="00B521A2"/>
    <w:rsid w:val="00B52218"/>
    <w:rsid w:val="00B53627"/>
    <w:rsid w:val="00B537EE"/>
    <w:rsid w:val="00B55B98"/>
    <w:rsid w:val="00B560B3"/>
    <w:rsid w:val="00B57E5E"/>
    <w:rsid w:val="00B623DC"/>
    <w:rsid w:val="00B64F95"/>
    <w:rsid w:val="00B66274"/>
    <w:rsid w:val="00B6697E"/>
    <w:rsid w:val="00B67D57"/>
    <w:rsid w:val="00B712AB"/>
    <w:rsid w:val="00B71359"/>
    <w:rsid w:val="00B71514"/>
    <w:rsid w:val="00B7186F"/>
    <w:rsid w:val="00B73848"/>
    <w:rsid w:val="00B73BA4"/>
    <w:rsid w:val="00B73C0C"/>
    <w:rsid w:val="00B749F1"/>
    <w:rsid w:val="00B74B0A"/>
    <w:rsid w:val="00B74CF0"/>
    <w:rsid w:val="00B84764"/>
    <w:rsid w:val="00B877DA"/>
    <w:rsid w:val="00B90CDD"/>
    <w:rsid w:val="00B9121E"/>
    <w:rsid w:val="00B91F30"/>
    <w:rsid w:val="00B93742"/>
    <w:rsid w:val="00B95F44"/>
    <w:rsid w:val="00BA072B"/>
    <w:rsid w:val="00BA3702"/>
    <w:rsid w:val="00BA54FE"/>
    <w:rsid w:val="00BB0A9D"/>
    <w:rsid w:val="00BB0F58"/>
    <w:rsid w:val="00BB1197"/>
    <w:rsid w:val="00BB1C0F"/>
    <w:rsid w:val="00BC4F69"/>
    <w:rsid w:val="00BC5654"/>
    <w:rsid w:val="00BD06F3"/>
    <w:rsid w:val="00BD2638"/>
    <w:rsid w:val="00BD3CDC"/>
    <w:rsid w:val="00BD4367"/>
    <w:rsid w:val="00BD72CD"/>
    <w:rsid w:val="00BD7516"/>
    <w:rsid w:val="00BE03D6"/>
    <w:rsid w:val="00BE077D"/>
    <w:rsid w:val="00BE1AFF"/>
    <w:rsid w:val="00BE235B"/>
    <w:rsid w:val="00BE6950"/>
    <w:rsid w:val="00BF09F4"/>
    <w:rsid w:val="00BF1D9A"/>
    <w:rsid w:val="00BF2D6D"/>
    <w:rsid w:val="00BF4360"/>
    <w:rsid w:val="00BF568E"/>
    <w:rsid w:val="00BF72D8"/>
    <w:rsid w:val="00BF74DB"/>
    <w:rsid w:val="00BF7DAF"/>
    <w:rsid w:val="00C0032B"/>
    <w:rsid w:val="00C015DC"/>
    <w:rsid w:val="00C024E4"/>
    <w:rsid w:val="00C0539B"/>
    <w:rsid w:val="00C05913"/>
    <w:rsid w:val="00C07E7D"/>
    <w:rsid w:val="00C10322"/>
    <w:rsid w:val="00C16530"/>
    <w:rsid w:val="00C17108"/>
    <w:rsid w:val="00C17890"/>
    <w:rsid w:val="00C17962"/>
    <w:rsid w:val="00C20D5B"/>
    <w:rsid w:val="00C21341"/>
    <w:rsid w:val="00C213BC"/>
    <w:rsid w:val="00C2470A"/>
    <w:rsid w:val="00C25892"/>
    <w:rsid w:val="00C25CB8"/>
    <w:rsid w:val="00C25D0A"/>
    <w:rsid w:val="00C260DA"/>
    <w:rsid w:val="00C2703C"/>
    <w:rsid w:val="00C3209B"/>
    <w:rsid w:val="00C32246"/>
    <w:rsid w:val="00C33049"/>
    <w:rsid w:val="00C35706"/>
    <w:rsid w:val="00C36864"/>
    <w:rsid w:val="00C377C2"/>
    <w:rsid w:val="00C4200C"/>
    <w:rsid w:val="00C425BB"/>
    <w:rsid w:val="00C42A11"/>
    <w:rsid w:val="00C45142"/>
    <w:rsid w:val="00C4553F"/>
    <w:rsid w:val="00C46BD6"/>
    <w:rsid w:val="00C46C60"/>
    <w:rsid w:val="00C4725A"/>
    <w:rsid w:val="00C50D93"/>
    <w:rsid w:val="00C5156F"/>
    <w:rsid w:val="00C51EA3"/>
    <w:rsid w:val="00C53920"/>
    <w:rsid w:val="00C53AB7"/>
    <w:rsid w:val="00C540C0"/>
    <w:rsid w:val="00C55031"/>
    <w:rsid w:val="00C55980"/>
    <w:rsid w:val="00C560EC"/>
    <w:rsid w:val="00C5712D"/>
    <w:rsid w:val="00C57258"/>
    <w:rsid w:val="00C6038E"/>
    <w:rsid w:val="00C609FC"/>
    <w:rsid w:val="00C61FF8"/>
    <w:rsid w:val="00C629AE"/>
    <w:rsid w:val="00C643E3"/>
    <w:rsid w:val="00C64721"/>
    <w:rsid w:val="00C66203"/>
    <w:rsid w:val="00C66C41"/>
    <w:rsid w:val="00C705C5"/>
    <w:rsid w:val="00C71101"/>
    <w:rsid w:val="00C71599"/>
    <w:rsid w:val="00C723FF"/>
    <w:rsid w:val="00C73A3C"/>
    <w:rsid w:val="00C73D57"/>
    <w:rsid w:val="00C74486"/>
    <w:rsid w:val="00C758B7"/>
    <w:rsid w:val="00C802CC"/>
    <w:rsid w:val="00C81EB6"/>
    <w:rsid w:val="00C82115"/>
    <w:rsid w:val="00C845A7"/>
    <w:rsid w:val="00C856EE"/>
    <w:rsid w:val="00C85A12"/>
    <w:rsid w:val="00C85B6A"/>
    <w:rsid w:val="00C86C41"/>
    <w:rsid w:val="00C904C0"/>
    <w:rsid w:val="00C9098F"/>
    <w:rsid w:val="00C91E05"/>
    <w:rsid w:val="00C926DA"/>
    <w:rsid w:val="00C92F60"/>
    <w:rsid w:val="00C9663B"/>
    <w:rsid w:val="00C97489"/>
    <w:rsid w:val="00CA0D25"/>
    <w:rsid w:val="00CA5545"/>
    <w:rsid w:val="00CA65C7"/>
    <w:rsid w:val="00CA7E47"/>
    <w:rsid w:val="00CB0901"/>
    <w:rsid w:val="00CB53AA"/>
    <w:rsid w:val="00CB5ADC"/>
    <w:rsid w:val="00CB5E43"/>
    <w:rsid w:val="00CB6003"/>
    <w:rsid w:val="00CB7DE8"/>
    <w:rsid w:val="00CC5D0C"/>
    <w:rsid w:val="00CD06D4"/>
    <w:rsid w:val="00CD0FA1"/>
    <w:rsid w:val="00CD1467"/>
    <w:rsid w:val="00CD46E2"/>
    <w:rsid w:val="00CD4C5E"/>
    <w:rsid w:val="00CD4ED1"/>
    <w:rsid w:val="00CE0B67"/>
    <w:rsid w:val="00CE22A0"/>
    <w:rsid w:val="00CE43E6"/>
    <w:rsid w:val="00CF1991"/>
    <w:rsid w:val="00CF1C1C"/>
    <w:rsid w:val="00CF2085"/>
    <w:rsid w:val="00CF2277"/>
    <w:rsid w:val="00CF45BA"/>
    <w:rsid w:val="00CF51F5"/>
    <w:rsid w:val="00D01C3B"/>
    <w:rsid w:val="00D01CFD"/>
    <w:rsid w:val="00D02CF0"/>
    <w:rsid w:val="00D041D0"/>
    <w:rsid w:val="00D05E54"/>
    <w:rsid w:val="00D0657B"/>
    <w:rsid w:val="00D10480"/>
    <w:rsid w:val="00D1060E"/>
    <w:rsid w:val="00D1421D"/>
    <w:rsid w:val="00D14CF7"/>
    <w:rsid w:val="00D176D0"/>
    <w:rsid w:val="00D177C8"/>
    <w:rsid w:val="00D20E41"/>
    <w:rsid w:val="00D21797"/>
    <w:rsid w:val="00D217FF"/>
    <w:rsid w:val="00D23286"/>
    <w:rsid w:val="00D246F4"/>
    <w:rsid w:val="00D25662"/>
    <w:rsid w:val="00D25FAB"/>
    <w:rsid w:val="00D26E20"/>
    <w:rsid w:val="00D3023C"/>
    <w:rsid w:val="00D30D97"/>
    <w:rsid w:val="00D3140D"/>
    <w:rsid w:val="00D32B05"/>
    <w:rsid w:val="00D34EB6"/>
    <w:rsid w:val="00D34F4D"/>
    <w:rsid w:val="00D3516F"/>
    <w:rsid w:val="00D35EB7"/>
    <w:rsid w:val="00D378E3"/>
    <w:rsid w:val="00D37DCB"/>
    <w:rsid w:val="00D4220C"/>
    <w:rsid w:val="00D42A44"/>
    <w:rsid w:val="00D42BF7"/>
    <w:rsid w:val="00D42EC8"/>
    <w:rsid w:val="00D43FFA"/>
    <w:rsid w:val="00D44E4C"/>
    <w:rsid w:val="00D46230"/>
    <w:rsid w:val="00D500D0"/>
    <w:rsid w:val="00D51174"/>
    <w:rsid w:val="00D516C4"/>
    <w:rsid w:val="00D53F15"/>
    <w:rsid w:val="00D551D5"/>
    <w:rsid w:val="00D56172"/>
    <w:rsid w:val="00D563CB"/>
    <w:rsid w:val="00D566B0"/>
    <w:rsid w:val="00D569F6"/>
    <w:rsid w:val="00D60320"/>
    <w:rsid w:val="00D60EF9"/>
    <w:rsid w:val="00D64497"/>
    <w:rsid w:val="00D65ED6"/>
    <w:rsid w:val="00D71492"/>
    <w:rsid w:val="00D7189B"/>
    <w:rsid w:val="00D71F6E"/>
    <w:rsid w:val="00D7355E"/>
    <w:rsid w:val="00D74ADC"/>
    <w:rsid w:val="00D7508D"/>
    <w:rsid w:val="00D751B0"/>
    <w:rsid w:val="00D76E99"/>
    <w:rsid w:val="00D861C5"/>
    <w:rsid w:val="00D86598"/>
    <w:rsid w:val="00D909E8"/>
    <w:rsid w:val="00D910AC"/>
    <w:rsid w:val="00D930E0"/>
    <w:rsid w:val="00D9406E"/>
    <w:rsid w:val="00D94805"/>
    <w:rsid w:val="00D95B4A"/>
    <w:rsid w:val="00D95E31"/>
    <w:rsid w:val="00DA1291"/>
    <w:rsid w:val="00DA12AD"/>
    <w:rsid w:val="00DA36D5"/>
    <w:rsid w:val="00DA5E39"/>
    <w:rsid w:val="00DA75E1"/>
    <w:rsid w:val="00DB00F5"/>
    <w:rsid w:val="00DB053F"/>
    <w:rsid w:val="00DB070B"/>
    <w:rsid w:val="00DB25C0"/>
    <w:rsid w:val="00DB30A0"/>
    <w:rsid w:val="00DB3B5F"/>
    <w:rsid w:val="00DB41CE"/>
    <w:rsid w:val="00DB4560"/>
    <w:rsid w:val="00DB4C2E"/>
    <w:rsid w:val="00DB4D8F"/>
    <w:rsid w:val="00DC2E50"/>
    <w:rsid w:val="00DC2F1C"/>
    <w:rsid w:val="00DC4D8A"/>
    <w:rsid w:val="00DC4F29"/>
    <w:rsid w:val="00DC54FA"/>
    <w:rsid w:val="00DD063A"/>
    <w:rsid w:val="00DD2D5E"/>
    <w:rsid w:val="00DD3374"/>
    <w:rsid w:val="00DD3FCF"/>
    <w:rsid w:val="00DD6FC6"/>
    <w:rsid w:val="00DE102B"/>
    <w:rsid w:val="00DE1607"/>
    <w:rsid w:val="00DE2B43"/>
    <w:rsid w:val="00DE48BA"/>
    <w:rsid w:val="00DE496A"/>
    <w:rsid w:val="00DE5931"/>
    <w:rsid w:val="00DE5933"/>
    <w:rsid w:val="00DE5F38"/>
    <w:rsid w:val="00DF29BA"/>
    <w:rsid w:val="00DF413C"/>
    <w:rsid w:val="00DF7354"/>
    <w:rsid w:val="00DF7C81"/>
    <w:rsid w:val="00E01CC5"/>
    <w:rsid w:val="00E04FFE"/>
    <w:rsid w:val="00E13E08"/>
    <w:rsid w:val="00E14D43"/>
    <w:rsid w:val="00E1741D"/>
    <w:rsid w:val="00E20AA5"/>
    <w:rsid w:val="00E20F81"/>
    <w:rsid w:val="00E23666"/>
    <w:rsid w:val="00E23C65"/>
    <w:rsid w:val="00E24A97"/>
    <w:rsid w:val="00E25E92"/>
    <w:rsid w:val="00E31D07"/>
    <w:rsid w:val="00E33652"/>
    <w:rsid w:val="00E34AF3"/>
    <w:rsid w:val="00E353F6"/>
    <w:rsid w:val="00E36C6C"/>
    <w:rsid w:val="00E37A9A"/>
    <w:rsid w:val="00E40DCE"/>
    <w:rsid w:val="00E441A7"/>
    <w:rsid w:val="00E45363"/>
    <w:rsid w:val="00E47F0C"/>
    <w:rsid w:val="00E50632"/>
    <w:rsid w:val="00E5168E"/>
    <w:rsid w:val="00E52F09"/>
    <w:rsid w:val="00E536FB"/>
    <w:rsid w:val="00E54078"/>
    <w:rsid w:val="00E56DF4"/>
    <w:rsid w:val="00E57163"/>
    <w:rsid w:val="00E6034B"/>
    <w:rsid w:val="00E6062E"/>
    <w:rsid w:val="00E61270"/>
    <w:rsid w:val="00E6543D"/>
    <w:rsid w:val="00E7455F"/>
    <w:rsid w:val="00E74B68"/>
    <w:rsid w:val="00E770A2"/>
    <w:rsid w:val="00E77849"/>
    <w:rsid w:val="00E8208D"/>
    <w:rsid w:val="00E85498"/>
    <w:rsid w:val="00E85F57"/>
    <w:rsid w:val="00E900FD"/>
    <w:rsid w:val="00E9074D"/>
    <w:rsid w:val="00E9668D"/>
    <w:rsid w:val="00E967BB"/>
    <w:rsid w:val="00EA1E8C"/>
    <w:rsid w:val="00EA2F11"/>
    <w:rsid w:val="00EA35FF"/>
    <w:rsid w:val="00EA42CA"/>
    <w:rsid w:val="00EA5194"/>
    <w:rsid w:val="00EA669B"/>
    <w:rsid w:val="00EB0E97"/>
    <w:rsid w:val="00EB2B5D"/>
    <w:rsid w:val="00EC03E1"/>
    <w:rsid w:val="00EC1E86"/>
    <w:rsid w:val="00EC1EC8"/>
    <w:rsid w:val="00EC59A6"/>
    <w:rsid w:val="00EC620D"/>
    <w:rsid w:val="00EC698F"/>
    <w:rsid w:val="00ED0EE6"/>
    <w:rsid w:val="00ED1B97"/>
    <w:rsid w:val="00ED62B3"/>
    <w:rsid w:val="00ED758F"/>
    <w:rsid w:val="00ED769C"/>
    <w:rsid w:val="00EE1771"/>
    <w:rsid w:val="00EE1B8B"/>
    <w:rsid w:val="00EE2DB7"/>
    <w:rsid w:val="00EF06C7"/>
    <w:rsid w:val="00EF08CD"/>
    <w:rsid w:val="00EF0CCF"/>
    <w:rsid w:val="00EF136B"/>
    <w:rsid w:val="00EF17AF"/>
    <w:rsid w:val="00EF2A25"/>
    <w:rsid w:val="00EF2BC9"/>
    <w:rsid w:val="00EF4079"/>
    <w:rsid w:val="00EF40EA"/>
    <w:rsid w:val="00EF60BD"/>
    <w:rsid w:val="00EF7F2D"/>
    <w:rsid w:val="00F0141E"/>
    <w:rsid w:val="00F065DF"/>
    <w:rsid w:val="00F079CD"/>
    <w:rsid w:val="00F07A5B"/>
    <w:rsid w:val="00F10A2E"/>
    <w:rsid w:val="00F10A9A"/>
    <w:rsid w:val="00F116D1"/>
    <w:rsid w:val="00F13D95"/>
    <w:rsid w:val="00F144F1"/>
    <w:rsid w:val="00F169CE"/>
    <w:rsid w:val="00F221E9"/>
    <w:rsid w:val="00F22598"/>
    <w:rsid w:val="00F22EB1"/>
    <w:rsid w:val="00F249C8"/>
    <w:rsid w:val="00F26255"/>
    <w:rsid w:val="00F26F49"/>
    <w:rsid w:val="00F27E62"/>
    <w:rsid w:val="00F32A94"/>
    <w:rsid w:val="00F34739"/>
    <w:rsid w:val="00F34982"/>
    <w:rsid w:val="00F43033"/>
    <w:rsid w:val="00F4401C"/>
    <w:rsid w:val="00F50805"/>
    <w:rsid w:val="00F5186C"/>
    <w:rsid w:val="00F52635"/>
    <w:rsid w:val="00F53510"/>
    <w:rsid w:val="00F5659F"/>
    <w:rsid w:val="00F57541"/>
    <w:rsid w:val="00F613AB"/>
    <w:rsid w:val="00F62958"/>
    <w:rsid w:val="00F64178"/>
    <w:rsid w:val="00F6526F"/>
    <w:rsid w:val="00F66132"/>
    <w:rsid w:val="00F669A2"/>
    <w:rsid w:val="00F729E2"/>
    <w:rsid w:val="00F72AAF"/>
    <w:rsid w:val="00F7628D"/>
    <w:rsid w:val="00F778BE"/>
    <w:rsid w:val="00F816ED"/>
    <w:rsid w:val="00F82C6F"/>
    <w:rsid w:val="00F84233"/>
    <w:rsid w:val="00F857EB"/>
    <w:rsid w:val="00F8587A"/>
    <w:rsid w:val="00F937EC"/>
    <w:rsid w:val="00F96477"/>
    <w:rsid w:val="00F964C8"/>
    <w:rsid w:val="00F96E28"/>
    <w:rsid w:val="00F97AA4"/>
    <w:rsid w:val="00FA0EC7"/>
    <w:rsid w:val="00FA36DB"/>
    <w:rsid w:val="00FA498C"/>
    <w:rsid w:val="00FA54F3"/>
    <w:rsid w:val="00FA5BB4"/>
    <w:rsid w:val="00FA66A6"/>
    <w:rsid w:val="00FA6BAC"/>
    <w:rsid w:val="00FA6C4B"/>
    <w:rsid w:val="00FA6FCF"/>
    <w:rsid w:val="00FB3904"/>
    <w:rsid w:val="00FB6144"/>
    <w:rsid w:val="00FB65BC"/>
    <w:rsid w:val="00FB7E72"/>
    <w:rsid w:val="00FC12FD"/>
    <w:rsid w:val="00FC2968"/>
    <w:rsid w:val="00FC352A"/>
    <w:rsid w:val="00FC3BD0"/>
    <w:rsid w:val="00FC6923"/>
    <w:rsid w:val="00FD0923"/>
    <w:rsid w:val="00FD1DF4"/>
    <w:rsid w:val="00FD3E53"/>
    <w:rsid w:val="00FD47FB"/>
    <w:rsid w:val="00FD5BAA"/>
    <w:rsid w:val="00FD5D40"/>
    <w:rsid w:val="00FD6480"/>
    <w:rsid w:val="00FD746B"/>
    <w:rsid w:val="00FE0A8D"/>
    <w:rsid w:val="00FE0AB2"/>
    <w:rsid w:val="00FE13FA"/>
    <w:rsid w:val="00FE2487"/>
    <w:rsid w:val="00FE3C91"/>
    <w:rsid w:val="00FE46B2"/>
    <w:rsid w:val="00FE6853"/>
    <w:rsid w:val="00FE7BC9"/>
    <w:rsid w:val="00FF480C"/>
    <w:rsid w:val="00FF4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A8327"/>
  <w15:docId w15:val="{7650849B-F1AF-4398-9E68-A6697D2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6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053"/>
    <w:pPr>
      <w:ind w:left="720"/>
      <w:contextualSpacing/>
    </w:pPr>
  </w:style>
  <w:style w:type="table" w:styleId="TableGrid">
    <w:name w:val="Table Grid"/>
    <w:basedOn w:val="TableNormal"/>
    <w:rsid w:val="00F347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00F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DB00F5"/>
    <w:rPr>
      <w:rFonts w:ascii="Tahoma" w:hAnsi="Tahoma" w:cs="Tahoma"/>
      <w:sz w:val="16"/>
      <w:szCs w:val="16"/>
      <w:lang w:eastAsia="en-US"/>
    </w:rPr>
  </w:style>
  <w:style w:type="paragraph" w:styleId="FootnoteText">
    <w:name w:val="footnote text"/>
    <w:basedOn w:val="Normal"/>
    <w:link w:val="FootnoteTextChar"/>
    <w:rsid w:val="000445E6"/>
    <w:pPr>
      <w:spacing w:after="0" w:line="240" w:lineRule="auto"/>
    </w:pPr>
    <w:rPr>
      <w:rFonts w:ascii="Times New Roman" w:eastAsia="Times New Roman" w:hAnsi="Times New Roman"/>
      <w:sz w:val="20"/>
      <w:szCs w:val="20"/>
      <w:lang w:val="x-none"/>
    </w:rPr>
  </w:style>
  <w:style w:type="character" w:customStyle="1" w:styleId="FootnoteTextChar">
    <w:name w:val="Footnote Text Char"/>
    <w:link w:val="FootnoteText"/>
    <w:rsid w:val="000445E6"/>
    <w:rPr>
      <w:rFonts w:ascii="Times New Roman" w:eastAsia="Times New Roman" w:hAnsi="Times New Roman"/>
      <w:lang w:eastAsia="en-US"/>
    </w:rPr>
  </w:style>
  <w:style w:type="character" w:styleId="FootnoteReference">
    <w:name w:val="footnote reference"/>
    <w:rsid w:val="000445E6"/>
    <w:rPr>
      <w:vertAlign w:val="superscript"/>
    </w:rPr>
  </w:style>
  <w:style w:type="paragraph" w:styleId="Header">
    <w:name w:val="header"/>
    <w:basedOn w:val="Normal"/>
    <w:link w:val="HeaderChar"/>
    <w:uiPriority w:val="99"/>
    <w:unhideWhenUsed/>
    <w:rsid w:val="00DB30A0"/>
    <w:pPr>
      <w:tabs>
        <w:tab w:val="center" w:pos="4513"/>
        <w:tab w:val="right" w:pos="9026"/>
      </w:tabs>
    </w:pPr>
    <w:rPr>
      <w:lang w:val="x-none"/>
    </w:rPr>
  </w:style>
  <w:style w:type="character" w:customStyle="1" w:styleId="HeaderChar">
    <w:name w:val="Header Char"/>
    <w:link w:val="Header"/>
    <w:uiPriority w:val="99"/>
    <w:rsid w:val="00DB30A0"/>
    <w:rPr>
      <w:sz w:val="22"/>
      <w:szCs w:val="22"/>
      <w:lang w:eastAsia="en-US"/>
    </w:rPr>
  </w:style>
  <w:style w:type="paragraph" w:styleId="Footer">
    <w:name w:val="footer"/>
    <w:basedOn w:val="Normal"/>
    <w:link w:val="FooterChar"/>
    <w:uiPriority w:val="99"/>
    <w:unhideWhenUsed/>
    <w:rsid w:val="00DB30A0"/>
    <w:pPr>
      <w:tabs>
        <w:tab w:val="center" w:pos="4513"/>
        <w:tab w:val="right" w:pos="9026"/>
      </w:tabs>
    </w:pPr>
    <w:rPr>
      <w:lang w:val="x-none"/>
    </w:rPr>
  </w:style>
  <w:style w:type="character" w:customStyle="1" w:styleId="FooterChar">
    <w:name w:val="Footer Char"/>
    <w:link w:val="Footer"/>
    <w:uiPriority w:val="99"/>
    <w:rsid w:val="00DB30A0"/>
    <w:rPr>
      <w:sz w:val="22"/>
      <w:szCs w:val="22"/>
      <w:lang w:eastAsia="en-US"/>
    </w:rPr>
  </w:style>
  <w:style w:type="character" w:styleId="CommentReference">
    <w:name w:val="annotation reference"/>
    <w:uiPriority w:val="99"/>
    <w:semiHidden/>
    <w:unhideWhenUsed/>
    <w:rsid w:val="00662731"/>
    <w:rPr>
      <w:sz w:val="16"/>
      <w:szCs w:val="16"/>
    </w:rPr>
  </w:style>
  <w:style w:type="paragraph" w:styleId="CommentText">
    <w:name w:val="annotation text"/>
    <w:basedOn w:val="Normal"/>
    <w:link w:val="CommentTextChar"/>
    <w:uiPriority w:val="99"/>
    <w:unhideWhenUsed/>
    <w:rsid w:val="00662731"/>
    <w:pPr>
      <w:spacing w:line="240" w:lineRule="auto"/>
    </w:pPr>
    <w:rPr>
      <w:sz w:val="20"/>
      <w:szCs w:val="20"/>
      <w:lang w:val="x-none"/>
    </w:rPr>
  </w:style>
  <w:style w:type="character" w:customStyle="1" w:styleId="CommentTextChar">
    <w:name w:val="Comment Text Char"/>
    <w:link w:val="CommentText"/>
    <w:uiPriority w:val="99"/>
    <w:rsid w:val="00662731"/>
    <w:rPr>
      <w:lang w:eastAsia="en-US"/>
    </w:rPr>
  </w:style>
  <w:style w:type="paragraph" w:styleId="CommentSubject">
    <w:name w:val="annotation subject"/>
    <w:basedOn w:val="CommentText"/>
    <w:next w:val="CommentText"/>
    <w:link w:val="CommentSubjectChar"/>
    <w:uiPriority w:val="99"/>
    <w:semiHidden/>
    <w:unhideWhenUsed/>
    <w:rsid w:val="00662731"/>
    <w:rPr>
      <w:b/>
      <w:bCs/>
    </w:rPr>
  </w:style>
  <w:style w:type="character" w:customStyle="1" w:styleId="CommentSubjectChar">
    <w:name w:val="Comment Subject Char"/>
    <w:link w:val="CommentSubject"/>
    <w:uiPriority w:val="99"/>
    <w:semiHidden/>
    <w:rsid w:val="00662731"/>
    <w:rPr>
      <w:b/>
      <w:bCs/>
      <w:lang w:eastAsia="en-US"/>
    </w:rPr>
  </w:style>
  <w:style w:type="paragraph" w:customStyle="1" w:styleId="NumberedAnnexParaCharChar">
    <w:name w:val="Numbered Annex Para Char Char"/>
    <w:basedOn w:val="Normal"/>
    <w:rsid w:val="00C45142"/>
    <w:pPr>
      <w:numPr>
        <w:numId w:val="1"/>
      </w:numPr>
      <w:spacing w:after="0" w:line="240" w:lineRule="auto"/>
    </w:pPr>
    <w:rPr>
      <w:rFonts w:ascii="Arial" w:eastAsia="Times New Roman" w:hAnsi="Arial"/>
      <w:sz w:val="24"/>
      <w:szCs w:val="24"/>
      <w:lang w:val="en-AU" w:eastAsia="en-GB"/>
    </w:rPr>
  </w:style>
  <w:style w:type="paragraph" w:customStyle="1" w:styleId="Default">
    <w:name w:val="Default"/>
    <w:rsid w:val="00105E7D"/>
    <w:pPr>
      <w:autoSpaceDE w:val="0"/>
      <w:autoSpaceDN w:val="0"/>
      <w:adjustRightInd w:val="0"/>
    </w:pPr>
    <w:rPr>
      <w:rFonts w:ascii="Trebuchet MS" w:hAnsi="Trebuchet MS" w:cs="Trebuchet MS"/>
      <w:color w:val="000000"/>
      <w:sz w:val="24"/>
      <w:szCs w:val="24"/>
    </w:rPr>
  </w:style>
  <w:style w:type="paragraph" w:styleId="NoSpacing">
    <w:name w:val="No Spacing"/>
    <w:uiPriority w:val="1"/>
    <w:qFormat/>
    <w:rsid w:val="00275910"/>
    <w:rPr>
      <w:sz w:val="22"/>
      <w:szCs w:val="22"/>
      <w:lang w:eastAsia="en-US"/>
    </w:rPr>
  </w:style>
  <w:style w:type="paragraph" w:styleId="Revision">
    <w:name w:val="Revision"/>
    <w:hidden/>
    <w:uiPriority w:val="99"/>
    <w:semiHidden/>
    <w:rsid w:val="002E784F"/>
    <w:rPr>
      <w:sz w:val="22"/>
      <w:szCs w:val="22"/>
      <w:lang w:eastAsia="en-US"/>
    </w:rPr>
  </w:style>
  <w:style w:type="paragraph" w:customStyle="1" w:styleId="GBCReportBodyText">
    <w:name w:val="GBC Report Body Text"/>
    <w:basedOn w:val="Normal"/>
    <w:rsid w:val="000A07D3"/>
    <w:pPr>
      <w:spacing w:after="240" w:line="240" w:lineRule="auto"/>
      <w:outlineLvl w:val="1"/>
    </w:pPr>
    <w:rPr>
      <w:rFonts w:ascii="Arial" w:eastAsia="Times New Roman"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698">
      <w:bodyDiv w:val="1"/>
      <w:marLeft w:val="0"/>
      <w:marRight w:val="0"/>
      <w:marTop w:val="0"/>
      <w:marBottom w:val="0"/>
      <w:divBdr>
        <w:top w:val="none" w:sz="0" w:space="0" w:color="auto"/>
        <w:left w:val="none" w:sz="0" w:space="0" w:color="auto"/>
        <w:bottom w:val="none" w:sz="0" w:space="0" w:color="auto"/>
        <w:right w:val="none" w:sz="0" w:space="0" w:color="auto"/>
      </w:divBdr>
      <w:divsChild>
        <w:div w:id="134951989">
          <w:marLeft w:val="274"/>
          <w:marRight w:val="0"/>
          <w:marTop w:val="0"/>
          <w:marBottom w:val="120"/>
          <w:divBdr>
            <w:top w:val="none" w:sz="0" w:space="0" w:color="auto"/>
            <w:left w:val="none" w:sz="0" w:space="0" w:color="auto"/>
            <w:bottom w:val="none" w:sz="0" w:space="0" w:color="auto"/>
            <w:right w:val="none" w:sz="0" w:space="0" w:color="auto"/>
          </w:divBdr>
        </w:div>
        <w:div w:id="195892556">
          <w:marLeft w:val="274"/>
          <w:marRight w:val="0"/>
          <w:marTop w:val="0"/>
          <w:marBottom w:val="120"/>
          <w:divBdr>
            <w:top w:val="none" w:sz="0" w:space="0" w:color="auto"/>
            <w:left w:val="none" w:sz="0" w:space="0" w:color="auto"/>
            <w:bottom w:val="none" w:sz="0" w:space="0" w:color="auto"/>
            <w:right w:val="none" w:sz="0" w:space="0" w:color="auto"/>
          </w:divBdr>
        </w:div>
        <w:div w:id="893614188">
          <w:marLeft w:val="274"/>
          <w:marRight w:val="0"/>
          <w:marTop w:val="0"/>
          <w:marBottom w:val="120"/>
          <w:divBdr>
            <w:top w:val="none" w:sz="0" w:space="0" w:color="auto"/>
            <w:left w:val="none" w:sz="0" w:space="0" w:color="auto"/>
            <w:bottom w:val="none" w:sz="0" w:space="0" w:color="auto"/>
            <w:right w:val="none" w:sz="0" w:space="0" w:color="auto"/>
          </w:divBdr>
        </w:div>
      </w:divsChild>
    </w:div>
    <w:div w:id="42683408">
      <w:bodyDiv w:val="1"/>
      <w:marLeft w:val="0"/>
      <w:marRight w:val="0"/>
      <w:marTop w:val="0"/>
      <w:marBottom w:val="0"/>
      <w:divBdr>
        <w:top w:val="none" w:sz="0" w:space="0" w:color="auto"/>
        <w:left w:val="none" w:sz="0" w:space="0" w:color="auto"/>
        <w:bottom w:val="none" w:sz="0" w:space="0" w:color="auto"/>
        <w:right w:val="none" w:sz="0" w:space="0" w:color="auto"/>
      </w:divBdr>
    </w:div>
    <w:div w:id="89281174">
      <w:bodyDiv w:val="1"/>
      <w:marLeft w:val="0"/>
      <w:marRight w:val="0"/>
      <w:marTop w:val="0"/>
      <w:marBottom w:val="0"/>
      <w:divBdr>
        <w:top w:val="none" w:sz="0" w:space="0" w:color="auto"/>
        <w:left w:val="none" w:sz="0" w:space="0" w:color="auto"/>
        <w:bottom w:val="none" w:sz="0" w:space="0" w:color="auto"/>
        <w:right w:val="none" w:sz="0" w:space="0" w:color="auto"/>
      </w:divBdr>
      <w:divsChild>
        <w:div w:id="953901944">
          <w:marLeft w:val="274"/>
          <w:marRight w:val="0"/>
          <w:marTop w:val="0"/>
          <w:marBottom w:val="120"/>
          <w:divBdr>
            <w:top w:val="none" w:sz="0" w:space="0" w:color="auto"/>
            <w:left w:val="none" w:sz="0" w:space="0" w:color="auto"/>
            <w:bottom w:val="none" w:sz="0" w:space="0" w:color="auto"/>
            <w:right w:val="none" w:sz="0" w:space="0" w:color="auto"/>
          </w:divBdr>
        </w:div>
      </w:divsChild>
    </w:div>
    <w:div w:id="125856935">
      <w:bodyDiv w:val="1"/>
      <w:marLeft w:val="0"/>
      <w:marRight w:val="0"/>
      <w:marTop w:val="0"/>
      <w:marBottom w:val="0"/>
      <w:divBdr>
        <w:top w:val="none" w:sz="0" w:space="0" w:color="auto"/>
        <w:left w:val="none" w:sz="0" w:space="0" w:color="auto"/>
        <w:bottom w:val="none" w:sz="0" w:space="0" w:color="auto"/>
        <w:right w:val="none" w:sz="0" w:space="0" w:color="auto"/>
      </w:divBdr>
      <w:divsChild>
        <w:div w:id="163016516">
          <w:marLeft w:val="274"/>
          <w:marRight w:val="0"/>
          <w:marTop w:val="0"/>
          <w:marBottom w:val="60"/>
          <w:divBdr>
            <w:top w:val="none" w:sz="0" w:space="0" w:color="auto"/>
            <w:left w:val="none" w:sz="0" w:space="0" w:color="auto"/>
            <w:bottom w:val="none" w:sz="0" w:space="0" w:color="auto"/>
            <w:right w:val="none" w:sz="0" w:space="0" w:color="auto"/>
          </w:divBdr>
        </w:div>
        <w:div w:id="530186836">
          <w:marLeft w:val="274"/>
          <w:marRight w:val="0"/>
          <w:marTop w:val="0"/>
          <w:marBottom w:val="60"/>
          <w:divBdr>
            <w:top w:val="none" w:sz="0" w:space="0" w:color="auto"/>
            <w:left w:val="none" w:sz="0" w:space="0" w:color="auto"/>
            <w:bottom w:val="none" w:sz="0" w:space="0" w:color="auto"/>
            <w:right w:val="none" w:sz="0" w:space="0" w:color="auto"/>
          </w:divBdr>
        </w:div>
        <w:div w:id="618033417">
          <w:marLeft w:val="274"/>
          <w:marRight w:val="0"/>
          <w:marTop w:val="0"/>
          <w:marBottom w:val="60"/>
          <w:divBdr>
            <w:top w:val="none" w:sz="0" w:space="0" w:color="auto"/>
            <w:left w:val="none" w:sz="0" w:space="0" w:color="auto"/>
            <w:bottom w:val="none" w:sz="0" w:space="0" w:color="auto"/>
            <w:right w:val="none" w:sz="0" w:space="0" w:color="auto"/>
          </w:divBdr>
        </w:div>
        <w:div w:id="850409328">
          <w:marLeft w:val="274"/>
          <w:marRight w:val="0"/>
          <w:marTop w:val="0"/>
          <w:marBottom w:val="60"/>
          <w:divBdr>
            <w:top w:val="none" w:sz="0" w:space="0" w:color="auto"/>
            <w:left w:val="none" w:sz="0" w:space="0" w:color="auto"/>
            <w:bottom w:val="none" w:sz="0" w:space="0" w:color="auto"/>
            <w:right w:val="none" w:sz="0" w:space="0" w:color="auto"/>
          </w:divBdr>
        </w:div>
        <w:div w:id="1434008087">
          <w:marLeft w:val="274"/>
          <w:marRight w:val="0"/>
          <w:marTop w:val="0"/>
          <w:marBottom w:val="60"/>
          <w:divBdr>
            <w:top w:val="none" w:sz="0" w:space="0" w:color="auto"/>
            <w:left w:val="none" w:sz="0" w:space="0" w:color="auto"/>
            <w:bottom w:val="none" w:sz="0" w:space="0" w:color="auto"/>
            <w:right w:val="none" w:sz="0" w:space="0" w:color="auto"/>
          </w:divBdr>
        </w:div>
        <w:div w:id="1435050890">
          <w:marLeft w:val="274"/>
          <w:marRight w:val="0"/>
          <w:marTop w:val="0"/>
          <w:marBottom w:val="60"/>
          <w:divBdr>
            <w:top w:val="none" w:sz="0" w:space="0" w:color="auto"/>
            <w:left w:val="none" w:sz="0" w:space="0" w:color="auto"/>
            <w:bottom w:val="none" w:sz="0" w:space="0" w:color="auto"/>
            <w:right w:val="none" w:sz="0" w:space="0" w:color="auto"/>
          </w:divBdr>
        </w:div>
        <w:div w:id="1683972300">
          <w:marLeft w:val="274"/>
          <w:marRight w:val="0"/>
          <w:marTop w:val="0"/>
          <w:marBottom w:val="60"/>
          <w:divBdr>
            <w:top w:val="none" w:sz="0" w:space="0" w:color="auto"/>
            <w:left w:val="none" w:sz="0" w:space="0" w:color="auto"/>
            <w:bottom w:val="none" w:sz="0" w:space="0" w:color="auto"/>
            <w:right w:val="none" w:sz="0" w:space="0" w:color="auto"/>
          </w:divBdr>
        </w:div>
      </w:divsChild>
    </w:div>
    <w:div w:id="298463035">
      <w:bodyDiv w:val="1"/>
      <w:marLeft w:val="0"/>
      <w:marRight w:val="0"/>
      <w:marTop w:val="0"/>
      <w:marBottom w:val="0"/>
      <w:divBdr>
        <w:top w:val="none" w:sz="0" w:space="0" w:color="auto"/>
        <w:left w:val="none" w:sz="0" w:space="0" w:color="auto"/>
        <w:bottom w:val="none" w:sz="0" w:space="0" w:color="auto"/>
        <w:right w:val="none" w:sz="0" w:space="0" w:color="auto"/>
      </w:divBdr>
      <w:divsChild>
        <w:div w:id="579288859">
          <w:marLeft w:val="288"/>
          <w:marRight w:val="0"/>
          <w:marTop w:val="0"/>
          <w:marBottom w:val="160"/>
          <w:divBdr>
            <w:top w:val="none" w:sz="0" w:space="0" w:color="auto"/>
            <w:left w:val="none" w:sz="0" w:space="0" w:color="auto"/>
            <w:bottom w:val="none" w:sz="0" w:space="0" w:color="auto"/>
            <w:right w:val="none" w:sz="0" w:space="0" w:color="auto"/>
          </w:divBdr>
        </w:div>
        <w:div w:id="1180390729">
          <w:marLeft w:val="288"/>
          <w:marRight w:val="0"/>
          <w:marTop w:val="0"/>
          <w:marBottom w:val="160"/>
          <w:divBdr>
            <w:top w:val="none" w:sz="0" w:space="0" w:color="auto"/>
            <w:left w:val="none" w:sz="0" w:space="0" w:color="auto"/>
            <w:bottom w:val="none" w:sz="0" w:space="0" w:color="auto"/>
            <w:right w:val="none" w:sz="0" w:space="0" w:color="auto"/>
          </w:divBdr>
        </w:div>
        <w:div w:id="2055881273">
          <w:marLeft w:val="288"/>
          <w:marRight w:val="0"/>
          <w:marTop w:val="0"/>
          <w:marBottom w:val="160"/>
          <w:divBdr>
            <w:top w:val="none" w:sz="0" w:space="0" w:color="auto"/>
            <w:left w:val="none" w:sz="0" w:space="0" w:color="auto"/>
            <w:bottom w:val="none" w:sz="0" w:space="0" w:color="auto"/>
            <w:right w:val="none" w:sz="0" w:space="0" w:color="auto"/>
          </w:divBdr>
        </w:div>
      </w:divsChild>
    </w:div>
    <w:div w:id="314653184">
      <w:bodyDiv w:val="1"/>
      <w:marLeft w:val="0"/>
      <w:marRight w:val="0"/>
      <w:marTop w:val="0"/>
      <w:marBottom w:val="0"/>
      <w:divBdr>
        <w:top w:val="none" w:sz="0" w:space="0" w:color="auto"/>
        <w:left w:val="none" w:sz="0" w:space="0" w:color="auto"/>
        <w:bottom w:val="none" w:sz="0" w:space="0" w:color="auto"/>
        <w:right w:val="none" w:sz="0" w:space="0" w:color="auto"/>
      </w:divBdr>
    </w:div>
    <w:div w:id="339430924">
      <w:bodyDiv w:val="1"/>
      <w:marLeft w:val="0"/>
      <w:marRight w:val="0"/>
      <w:marTop w:val="0"/>
      <w:marBottom w:val="0"/>
      <w:divBdr>
        <w:top w:val="none" w:sz="0" w:space="0" w:color="auto"/>
        <w:left w:val="none" w:sz="0" w:space="0" w:color="auto"/>
        <w:bottom w:val="none" w:sz="0" w:space="0" w:color="auto"/>
        <w:right w:val="none" w:sz="0" w:space="0" w:color="auto"/>
      </w:divBdr>
    </w:div>
    <w:div w:id="394082674">
      <w:bodyDiv w:val="1"/>
      <w:marLeft w:val="0"/>
      <w:marRight w:val="0"/>
      <w:marTop w:val="0"/>
      <w:marBottom w:val="0"/>
      <w:divBdr>
        <w:top w:val="none" w:sz="0" w:space="0" w:color="auto"/>
        <w:left w:val="none" w:sz="0" w:space="0" w:color="auto"/>
        <w:bottom w:val="none" w:sz="0" w:space="0" w:color="auto"/>
        <w:right w:val="none" w:sz="0" w:space="0" w:color="auto"/>
      </w:divBdr>
    </w:div>
    <w:div w:id="448206895">
      <w:bodyDiv w:val="1"/>
      <w:marLeft w:val="0"/>
      <w:marRight w:val="0"/>
      <w:marTop w:val="0"/>
      <w:marBottom w:val="0"/>
      <w:divBdr>
        <w:top w:val="none" w:sz="0" w:space="0" w:color="auto"/>
        <w:left w:val="none" w:sz="0" w:space="0" w:color="auto"/>
        <w:bottom w:val="none" w:sz="0" w:space="0" w:color="auto"/>
        <w:right w:val="none" w:sz="0" w:space="0" w:color="auto"/>
      </w:divBdr>
      <w:divsChild>
        <w:div w:id="310672805">
          <w:marLeft w:val="274"/>
          <w:marRight w:val="0"/>
          <w:marTop w:val="0"/>
          <w:marBottom w:val="120"/>
          <w:divBdr>
            <w:top w:val="none" w:sz="0" w:space="0" w:color="auto"/>
            <w:left w:val="none" w:sz="0" w:space="0" w:color="auto"/>
            <w:bottom w:val="none" w:sz="0" w:space="0" w:color="auto"/>
            <w:right w:val="none" w:sz="0" w:space="0" w:color="auto"/>
          </w:divBdr>
        </w:div>
        <w:div w:id="592712421">
          <w:marLeft w:val="274"/>
          <w:marRight w:val="0"/>
          <w:marTop w:val="0"/>
          <w:marBottom w:val="120"/>
          <w:divBdr>
            <w:top w:val="none" w:sz="0" w:space="0" w:color="auto"/>
            <w:left w:val="none" w:sz="0" w:space="0" w:color="auto"/>
            <w:bottom w:val="none" w:sz="0" w:space="0" w:color="auto"/>
            <w:right w:val="none" w:sz="0" w:space="0" w:color="auto"/>
          </w:divBdr>
        </w:div>
        <w:div w:id="671224210">
          <w:marLeft w:val="274"/>
          <w:marRight w:val="0"/>
          <w:marTop w:val="0"/>
          <w:marBottom w:val="120"/>
          <w:divBdr>
            <w:top w:val="none" w:sz="0" w:space="0" w:color="auto"/>
            <w:left w:val="none" w:sz="0" w:space="0" w:color="auto"/>
            <w:bottom w:val="none" w:sz="0" w:space="0" w:color="auto"/>
            <w:right w:val="none" w:sz="0" w:space="0" w:color="auto"/>
          </w:divBdr>
        </w:div>
      </w:divsChild>
    </w:div>
    <w:div w:id="525338076">
      <w:bodyDiv w:val="1"/>
      <w:marLeft w:val="0"/>
      <w:marRight w:val="0"/>
      <w:marTop w:val="0"/>
      <w:marBottom w:val="0"/>
      <w:divBdr>
        <w:top w:val="none" w:sz="0" w:space="0" w:color="auto"/>
        <w:left w:val="none" w:sz="0" w:space="0" w:color="auto"/>
        <w:bottom w:val="none" w:sz="0" w:space="0" w:color="auto"/>
        <w:right w:val="none" w:sz="0" w:space="0" w:color="auto"/>
      </w:divBdr>
    </w:div>
    <w:div w:id="560404961">
      <w:bodyDiv w:val="1"/>
      <w:marLeft w:val="0"/>
      <w:marRight w:val="0"/>
      <w:marTop w:val="0"/>
      <w:marBottom w:val="0"/>
      <w:divBdr>
        <w:top w:val="none" w:sz="0" w:space="0" w:color="auto"/>
        <w:left w:val="none" w:sz="0" w:space="0" w:color="auto"/>
        <w:bottom w:val="none" w:sz="0" w:space="0" w:color="auto"/>
        <w:right w:val="none" w:sz="0" w:space="0" w:color="auto"/>
      </w:divBdr>
      <w:divsChild>
        <w:div w:id="494036680">
          <w:marLeft w:val="288"/>
          <w:marRight w:val="0"/>
          <w:marTop w:val="0"/>
          <w:marBottom w:val="160"/>
          <w:divBdr>
            <w:top w:val="none" w:sz="0" w:space="0" w:color="auto"/>
            <w:left w:val="none" w:sz="0" w:space="0" w:color="auto"/>
            <w:bottom w:val="none" w:sz="0" w:space="0" w:color="auto"/>
            <w:right w:val="none" w:sz="0" w:space="0" w:color="auto"/>
          </w:divBdr>
        </w:div>
        <w:div w:id="935018274">
          <w:marLeft w:val="288"/>
          <w:marRight w:val="0"/>
          <w:marTop w:val="0"/>
          <w:marBottom w:val="160"/>
          <w:divBdr>
            <w:top w:val="none" w:sz="0" w:space="0" w:color="auto"/>
            <w:left w:val="none" w:sz="0" w:space="0" w:color="auto"/>
            <w:bottom w:val="none" w:sz="0" w:space="0" w:color="auto"/>
            <w:right w:val="none" w:sz="0" w:space="0" w:color="auto"/>
          </w:divBdr>
        </w:div>
        <w:div w:id="1943100593">
          <w:marLeft w:val="288"/>
          <w:marRight w:val="0"/>
          <w:marTop w:val="0"/>
          <w:marBottom w:val="160"/>
          <w:divBdr>
            <w:top w:val="none" w:sz="0" w:space="0" w:color="auto"/>
            <w:left w:val="none" w:sz="0" w:space="0" w:color="auto"/>
            <w:bottom w:val="none" w:sz="0" w:space="0" w:color="auto"/>
            <w:right w:val="none" w:sz="0" w:space="0" w:color="auto"/>
          </w:divBdr>
        </w:div>
      </w:divsChild>
    </w:div>
    <w:div w:id="599879060">
      <w:bodyDiv w:val="1"/>
      <w:marLeft w:val="0"/>
      <w:marRight w:val="0"/>
      <w:marTop w:val="0"/>
      <w:marBottom w:val="0"/>
      <w:divBdr>
        <w:top w:val="none" w:sz="0" w:space="0" w:color="auto"/>
        <w:left w:val="none" w:sz="0" w:space="0" w:color="auto"/>
        <w:bottom w:val="none" w:sz="0" w:space="0" w:color="auto"/>
        <w:right w:val="none" w:sz="0" w:space="0" w:color="auto"/>
      </w:divBdr>
      <w:divsChild>
        <w:div w:id="288584944">
          <w:marLeft w:val="274"/>
          <w:marRight w:val="0"/>
          <w:marTop w:val="0"/>
          <w:marBottom w:val="40"/>
          <w:divBdr>
            <w:top w:val="none" w:sz="0" w:space="0" w:color="auto"/>
            <w:left w:val="none" w:sz="0" w:space="0" w:color="auto"/>
            <w:bottom w:val="none" w:sz="0" w:space="0" w:color="auto"/>
            <w:right w:val="none" w:sz="0" w:space="0" w:color="auto"/>
          </w:divBdr>
        </w:div>
        <w:div w:id="324280447">
          <w:marLeft w:val="274"/>
          <w:marRight w:val="0"/>
          <w:marTop w:val="0"/>
          <w:marBottom w:val="40"/>
          <w:divBdr>
            <w:top w:val="none" w:sz="0" w:space="0" w:color="auto"/>
            <w:left w:val="none" w:sz="0" w:space="0" w:color="auto"/>
            <w:bottom w:val="none" w:sz="0" w:space="0" w:color="auto"/>
            <w:right w:val="none" w:sz="0" w:space="0" w:color="auto"/>
          </w:divBdr>
        </w:div>
        <w:div w:id="673846247">
          <w:marLeft w:val="274"/>
          <w:marRight w:val="0"/>
          <w:marTop w:val="0"/>
          <w:marBottom w:val="40"/>
          <w:divBdr>
            <w:top w:val="none" w:sz="0" w:space="0" w:color="auto"/>
            <w:left w:val="none" w:sz="0" w:space="0" w:color="auto"/>
            <w:bottom w:val="none" w:sz="0" w:space="0" w:color="auto"/>
            <w:right w:val="none" w:sz="0" w:space="0" w:color="auto"/>
          </w:divBdr>
        </w:div>
        <w:div w:id="1025130081">
          <w:marLeft w:val="274"/>
          <w:marRight w:val="0"/>
          <w:marTop w:val="0"/>
          <w:marBottom w:val="40"/>
          <w:divBdr>
            <w:top w:val="none" w:sz="0" w:space="0" w:color="auto"/>
            <w:left w:val="none" w:sz="0" w:space="0" w:color="auto"/>
            <w:bottom w:val="none" w:sz="0" w:space="0" w:color="auto"/>
            <w:right w:val="none" w:sz="0" w:space="0" w:color="auto"/>
          </w:divBdr>
        </w:div>
        <w:div w:id="1042945310">
          <w:marLeft w:val="274"/>
          <w:marRight w:val="0"/>
          <w:marTop w:val="0"/>
          <w:marBottom w:val="40"/>
          <w:divBdr>
            <w:top w:val="none" w:sz="0" w:space="0" w:color="auto"/>
            <w:left w:val="none" w:sz="0" w:space="0" w:color="auto"/>
            <w:bottom w:val="none" w:sz="0" w:space="0" w:color="auto"/>
            <w:right w:val="none" w:sz="0" w:space="0" w:color="auto"/>
          </w:divBdr>
        </w:div>
        <w:div w:id="1604999298">
          <w:marLeft w:val="274"/>
          <w:marRight w:val="0"/>
          <w:marTop w:val="0"/>
          <w:marBottom w:val="40"/>
          <w:divBdr>
            <w:top w:val="none" w:sz="0" w:space="0" w:color="auto"/>
            <w:left w:val="none" w:sz="0" w:space="0" w:color="auto"/>
            <w:bottom w:val="none" w:sz="0" w:space="0" w:color="auto"/>
            <w:right w:val="none" w:sz="0" w:space="0" w:color="auto"/>
          </w:divBdr>
        </w:div>
        <w:div w:id="1659993042">
          <w:marLeft w:val="274"/>
          <w:marRight w:val="0"/>
          <w:marTop w:val="0"/>
          <w:marBottom w:val="40"/>
          <w:divBdr>
            <w:top w:val="none" w:sz="0" w:space="0" w:color="auto"/>
            <w:left w:val="none" w:sz="0" w:space="0" w:color="auto"/>
            <w:bottom w:val="none" w:sz="0" w:space="0" w:color="auto"/>
            <w:right w:val="none" w:sz="0" w:space="0" w:color="auto"/>
          </w:divBdr>
        </w:div>
        <w:div w:id="1702053907">
          <w:marLeft w:val="274"/>
          <w:marRight w:val="0"/>
          <w:marTop w:val="0"/>
          <w:marBottom w:val="40"/>
          <w:divBdr>
            <w:top w:val="none" w:sz="0" w:space="0" w:color="auto"/>
            <w:left w:val="none" w:sz="0" w:space="0" w:color="auto"/>
            <w:bottom w:val="none" w:sz="0" w:space="0" w:color="auto"/>
            <w:right w:val="none" w:sz="0" w:space="0" w:color="auto"/>
          </w:divBdr>
        </w:div>
        <w:div w:id="1873229790">
          <w:marLeft w:val="274"/>
          <w:marRight w:val="0"/>
          <w:marTop w:val="0"/>
          <w:marBottom w:val="40"/>
          <w:divBdr>
            <w:top w:val="none" w:sz="0" w:space="0" w:color="auto"/>
            <w:left w:val="none" w:sz="0" w:space="0" w:color="auto"/>
            <w:bottom w:val="none" w:sz="0" w:space="0" w:color="auto"/>
            <w:right w:val="none" w:sz="0" w:space="0" w:color="auto"/>
          </w:divBdr>
        </w:div>
      </w:divsChild>
    </w:div>
    <w:div w:id="628702489">
      <w:bodyDiv w:val="1"/>
      <w:marLeft w:val="0"/>
      <w:marRight w:val="0"/>
      <w:marTop w:val="0"/>
      <w:marBottom w:val="0"/>
      <w:divBdr>
        <w:top w:val="none" w:sz="0" w:space="0" w:color="auto"/>
        <w:left w:val="none" w:sz="0" w:space="0" w:color="auto"/>
        <w:bottom w:val="none" w:sz="0" w:space="0" w:color="auto"/>
        <w:right w:val="none" w:sz="0" w:space="0" w:color="auto"/>
      </w:divBdr>
      <w:divsChild>
        <w:div w:id="16544728">
          <w:marLeft w:val="274"/>
          <w:marRight w:val="0"/>
          <w:marTop w:val="0"/>
          <w:marBottom w:val="80"/>
          <w:divBdr>
            <w:top w:val="none" w:sz="0" w:space="0" w:color="auto"/>
            <w:left w:val="none" w:sz="0" w:space="0" w:color="auto"/>
            <w:bottom w:val="none" w:sz="0" w:space="0" w:color="auto"/>
            <w:right w:val="none" w:sz="0" w:space="0" w:color="auto"/>
          </w:divBdr>
        </w:div>
        <w:div w:id="1494295152">
          <w:marLeft w:val="274"/>
          <w:marRight w:val="0"/>
          <w:marTop w:val="0"/>
          <w:marBottom w:val="80"/>
          <w:divBdr>
            <w:top w:val="none" w:sz="0" w:space="0" w:color="auto"/>
            <w:left w:val="none" w:sz="0" w:space="0" w:color="auto"/>
            <w:bottom w:val="none" w:sz="0" w:space="0" w:color="auto"/>
            <w:right w:val="none" w:sz="0" w:space="0" w:color="auto"/>
          </w:divBdr>
        </w:div>
        <w:div w:id="1927839647">
          <w:marLeft w:val="274"/>
          <w:marRight w:val="0"/>
          <w:marTop w:val="0"/>
          <w:marBottom w:val="80"/>
          <w:divBdr>
            <w:top w:val="none" w:sz="0" w:space="0" w:color="auto"/>
            <w:left w:val="none" w:sz="0" w:space="0" w:color="auto"/>
            <w:bottom w:val="none" w:sz="0" w:space="0" w:color="auto"/>
            <w:right w:val="none" w:sz="0" w:space="0" w:color="auto"/>
          </w:divBdr>
        </w:div>
      </w:divsChild>
    </w:div>
    <w:div w:id="645010739">
      <w:bodyDiv w:val="1"/>
      <w:marLeft w:val="0"/>
      <w:marRight w:val="0"/>
      <w:marTop w:val="0"/>
      <w:marBottom w:val="0"/>
      <w:divBdr>
        <w:top w:val="none" w:sz="0" w:space="0" w:color="auto"/>
        <w:left w:val="none" w:sz="0" w:space="0" w:color="auto"/>
        <w:bottom w:val="none" w:sz="0" w:space="0" w:color="auto"/>
        <w:right w:val="none" w:sz="0" w:space="0" w:color="auto"/>
      </w:divBdr>
      <w:divsChild>
        <w:div w:id="998115546">
          <w:marLeft w:val="274"/>
          <w:marRight w:val="0"/>
          <w:marTop w:val="0"/>
          <w:marBottom w:val="120"/>
          <w:divBdr>
            <w:top w:val="none" w:sz="0" w:space="0" w:color="auto"/>
            <w:left w:val="none" w:sz="0" w:space="0" w:color="auto"/>
            <w:bottom w:val="none" w:sz="0" w:space="0" w:color="auto"/>
            <w:right w:val="none" w:sz="0" w:space="0" w:color="auto"/>
          </w:divBdr>
        </w:div>
      </w:divsChild>
    </w:div>
    <w:div w:id="669482974">
      <w:bodyDiv w:val="1"/>
      <w:marLeft w:val="0"/>
      <w:marRight w:val="0"/>
      <w:marTop w:val="0"/>
      <w:marBottom w:val="0"/>
      <w:divBdr>
        <w:top w:val="none" w:sz="0" w:space="0" w:color="auto"/>
        <w:left w:val="none" w:sz="0" w:space="0" w:color="auto"/>
        <w:bottom w:val="none" w:sz="0" w:space="0" w:color="auto"/>
        <w:right w:val="none" w:sz="0" w:space="0" w:color="auto"/>
      </w:divBdr>
    </w:div>
    <w:div w:id="676158311">
      <w:bodyDiv w:val="1"/>
      <w:marLeft w:val="0"/>
      <w:marRight w:val="0"/>
      <w:marTop w:val="0"/>
      <w:marBottom w:val="0"/>
      <w:divBdr>
        <w:top w:val="none" w:sz="0" w:space="0" w:color="auto"/>
        <w:left w:val="none" w:sz="0" w:space="0" w:color="auto"/>
        <w:bottom w:val="none" w:sz="0" w:space="0" w:color="auto"/>
        <w:right w:val="none" w:sz="0" w:space="0" w:color="auto"/>
      </w:divBdr>
    </w:div>
    <w:div w:id="724181269">
      <w:bodyDiv w:val="1"/>
      <w:marLeft w:val="0"/>
      <w:marRight w:val="0"/>
      <w:marTop w:val="0"/>
      <w:marBottom w:val="0"/>
      <w:divBdr>
        <w:top w:val="none" w:sz="0" w:space="0" w:color="auto"/>
        <w:left w:val="none" w:sz="0" w:space="0" w:color="auto"/>
        <w:bottom w:val="none" w:sz="0" w:space="0" w:color="auto"/>
        <w:right w:val="none" w:sz="0" w:space="0" w:color="auto"/>
      </w:divBdr>
      <w:divsChild>
        <w:div w:id="546063676">
          <w:marLeft w:val="288"/>
          <w:marRight w:val="0"/>
          <w:marTop w:val="0"/>
          <w:marBottom w:val="120"/>
          <w:divBdr>
            <w:top w:val="none" w:sz="0" w:space="0" w:color="auto"/>
            <w:left w:val="none" w:sz="0" w:space="0" w:color="auto"/>
            <w:bottom w:val="none" w:sz="0" w:space="0" w:color="auto"/>
            <w:right w:val="none" w:sz="0" w:space="0" w:color="auto"/>
          </w:divBdr>
        </w:div>
        <w:div w:id="781994127">
          <w:marLeft w:val="288"/>
          <w:marRight w:val="0"/>
          <w:marTop w:val="0"/>
          <w:marBottom w:val="120"/>
          <w:divBdr>
            <w:top w:val="none" w:sz="0" w:space="0" w:color="auto"/>
            <w:left w:val="none" w:sz="0" w:space="0" w:color="auto"/>
            <w:bottom w:val="none" w:sz="0" w:space="0" w:color="auto"/>
            <w:right w:val="none" w:sz="0" w:space="0" w:color="auto"/>
          </w:divBdr>
        </w:div>
        <w:div w:id="1203984459">
          <w:marLeft w:val="288"/>
          <w:marRight w:val="0"/>
          <w:marTop w:val="0"/>
          <w:marBottom w:val="120"/>
          <w:divBdr>
            <w:top w:val="none" w:sz="0" w:space="0" w:color="auto"/>
            <w:left w:val="none" w:sz="0" w:space="0" w:color="auto"/>
            <w:bottom w:val="none" w:sz="0" w:space="0" w:color="auto"/>
            <w:right w:val="none" w:sz="0" w:space="0" w:color="auto"/>
          </w:divBdr>
        </w:div>
        <w:div w:id="1300302168">
          <w:marLeft w:val="288"/>
          <w:marRight w:val="0"/>
          <w:marTop w:val="0"/>
          <w:marBottom w:val="120"/>
          <w:divBdr>
            <w:top w:val="none" w:sz="0" w:space="0" w:color="auto"/>
            <w:left w:val="none" w:sz="0" w:space="0" w:color="auto"/>
            <w:bottom w:val="none" w:sz="0" w:space="0" w:color="auto"/>
            <w:right w:val="none" w:sz="0" w:space="0" w:color="auto"/>
          </w:divBdr>
        </w:div>
        <w:div w:id="1574198676">
          <w:marLeft w:val="288"/>
          <w:marRight w:val="0"/>
          <w:marTop w:val="0"/>
          <w:marBottom w:val="120"/>
          <w:divBdr>
            <w:top w:val="none" w:sz="0" w:space="0" w:color="auto"/>
            <w:left w:val="none" w:sz="0" w:space="0" w:color="auto"/>
            <w:bottom w:val="none" w:sz="0" w:space="0" w:color="auto"/>
            <w:right w:val="none" w:sz="0" w:space="0" w:color="auto"/>
          </w:divBdr>
        </w:div>
        <w:div w:id="1723867350">
          <w:marLeft w:val="288"/>
          <w:marRight w:val="0"/>
          <w:marTop w:val="0"/>
          <w:marBottom w:val="120"/>
          <w:divBdr>
            <w:top w:val="none" w:sz="0" w:space="0" w:color="auto"/>
            <w:left w:val="none" w:sz="0" w:space="0" w:color="auto"/>
            <w:bottom w:val="none" w:sz="0" w:space="0" w:color="auto"/>
            <w:right w:val="none" w:sz="0" w:space="0" w:color="auto"/>
          </w:divBdr>
        </w:div>
      </w:divsChild>
    </w:div>
    <w:div w:id="729690100">
      <w:bodyDiv w:val="1"/>
      <w:marLeft w:val="0"/>
      <w:marRight w:val="0"/>
      <w:marTop w:val="0"/>
      <w:marBottom w:val="0"/>
      <w:divBdr>
        <w:top w:val="none" w:sz="0" w:space="0" w:color="auto"/>
        <w:left w:val="none" w:sz="0" w:space="0" w:color="auto"/>
        <w:bottom w:val="none" w:sz="0" w:space="0" w:color="auto"/>
        <w:right w:val="none" w:sz="0" w:space="0" w:color="auto"/>
      </w:divBdr>
      <w:divsChild>
        <w:div w:id="69736936">
          <w:marLeft w:val="274"/>
          <w:marRight w:val="0"/>
          <w:marTop w:val="0"/>
          <w:marBottom w:val="40"/>
          <w:divBdr>
            <w:top w:val="none" w:sz="0" w:space="0" w:color="auto"/>
            <w:left w:val="none" w:sz="0" w:space="0" w:color="auto"/>
            <w:bottom w:val="none" w:sz="0" w:space="0" w:color="auto"/>
            <w:right w:val="none" w:sz="0" w:space="0" w:color="auto"/>
          </w:divBdr>
        </w:div>
        <w:div w:id="229464945">
          <w:marLeft w:val="274"/>
          <w:marRight w:val="0"/>
          <w:marTop w:val="0"/>
          <w:marBottom w:val="40"/>
          <w:divBdr>
            <w:top w:val="none" w:sz="0" w:space="0" w:color="auto"/>
            <w:left w:val="none" w:sz="0" w:space="0" w:color="auto"/>
            <w:bottom w:val="none" w:sz="0" w:space="0" w:color="auto"/>
            <w:right w:val="none" w:sz="0" w:space="0" w:color="auto"/>
          </w:divBdr>
        </w:div>
        <w:div w:id="359863603">
          <w:marLeft w:val="274"/>
          <w:marRight w:val="0"/>
          <w:marTop w:val="0"/>
          <w:marBottom w:val="40"/>
          <w:divBdr>
            <w:top w:val="none" w:sz="0" w:space="0" w:color="auto"/>
            <w:left w:val="none" w:sz="0" w:space="0" w:color="auto"/>
            <w:bottom w:val="none" w:sz="0" w:space="0" w:color="auto"/>
            <w:right w:val="none" w:sz="0" w:space="0" w:color="auto"/>
          </w:divBdr>
        </w:div>
        <w:div w:id="571702672">
          <w:marLeft w:val="274"/>
          <w:marRight w:val="0"/>
          <w:marTop w:val="0"/>
          <w:marBottom w:val="40"/>
          <w:divBdr>
            <w:top w:val="none" w:sz="0" w:space="0" w:color="auto"/>
            <w:left w:val="none" w:sz="0" w:space="0" w:color="auto"/>
            <w:bottom w:val="none" w:sz="0" w:space="0" w:color="auto"/>
            <w:right w:val="none" w:sz="0" w:space="0" w:color="auto"/>
          </w:divBdr>
        </w:div>
        <w:div w:id="582420115">
          <w:marLeft w:val="274"/>
          <w:marRight w:val="0"/>
          <w:marTop w:val="0"/>
          <w:marBottom w:val="40"/>
          <w:divBdr>
            <w:top w:val="none" w:sz="0" w:space="0" w:color="auto"/>
            <w:left w:val="none" w:sz="0" w:space="0" w:color="auto"/>
            <w:bottom w:val="none" w:sz="0" w:space="0" w:color="auto"/>
            <w:right w:val="none" w:sz="0" w:space="0" w:color="auto"/>
          </w:divBdr>
        </w:div>
        <w:div w:id="843277826">
          <w:marLeft w:val="274"/>
          <w:marRight w:val="0"/>
          <w:marTop w:val="0"/>
          <w:marBottom w:val="40"/>
          <w:divBdr>
            <w:top w:val="none" w:sz="0" w:space="0" w:color="auto"/>
            <w:left w:val="none" w:sz="0" w:space="0" w:color="auto"/>
            <w:bottom w:val="none" w:sz="0" w:space="0" w:color="auto"/>
            <w:right w:val="none" w:sz="0" w:space="0" w:color="auto"/>
          </w:divBdr>
        </w:div>
        <w:div w:id="966349060">
          <w:marLeft w:val="274"/>
          <w:marRight w:val="0"/>
          <w:marTop w:val="0"/>
          <w:marBottom w:val="40"/>
          <w:divBdr>
            <w:top w:val="none" w:sz="0" w:space="0" w:color="auto"/>
            <w:left w:val="none" w:sz="0" w:space="0" w:color="auto"/>
            <w:bottom w:val="none" w:sz="0" w:space="0" w:color="auto"/>
            <w:right w:val="none" w:sz="0" w:space="0" w:color="auto"/>
          </w:divBdr>
        </w:div>
        <w:div w:id="972517588">
          <w:marLeft w:val="274"/>
          <w:marRight w:val="0"/>
          <w:marTop w:val="0"/>
          <w:marBottom w:val="40"/>
          <w:divBdr>
            <w:top w:val="none" w:sz="0" w:space="0" w:color="auto"/>
            <w:left w:val="none" w:sz="0" w:space="0" w:color="auto"/>
            <w:bottom w:val="none" w:sz="0" w:space="0" w:color="auto"/>
            <w:right w:val="none" w:sz="0" w:space="0" w:color="auto"/>
          </w:divBdr>
        </w:div>
        <w:div w:id="1871916425">
          <w:marLeft w:val="274"/>
          <w:marRight w:val="0"/>
          <w:marTop w:val="0"/>
          <w:marBottom w:val="40"/>
          <w:divBdr>
            <w:top w:val="none" w:sz="0" w:space="0" w:color="auto"/>
            <w:left w:val="none" w:sz="0" w:space="0" w:color="auto"/>
            <w:bottom w:val="none" w:sz="0" w:space="0" w:color="auto"/>
            <w:right w:val="none" w:sz="0" w:space="0" w:color="auto"/>
          </w:divBdr>
        </w:div>
      </w:divsChild>
    </w:div>
    <w:div w:id="746926434">
      <w:bodyDiv w:val="1"/>
      <w:marLeft w:val="0"/>
      <w:marRight w:val="0"/>
      <w:marTop w:val="0"/>
      <w:marBottom w:val="0"/>
      <w:divBdr>
        <w:top w:val="none" w:sz="0" w:space="0" w:color="auto"/>
        <w:left w:val="none" w:sz="0" w:space="0" w:color="auto"/>
        <w:bottom w:val="none" w:sz="0" w:space="0" w:color="auto"/>
        <w:right w:val="none" w:sz="0" w:space="0" w:color="auto"/>
      </w:divBdr>
    </w:div>
    <w:div w:id="772214783">
      <w:bodyDiv w:val="1"/>
      <w:marLeft w:val="0"/>
      <w:marRight w:val="0"/>
      <w:marTop w:val="0"/>
      <w:marBottom w:val="0"/>
      <w:divBdr>
        <w:top w:val="none" w:sz="0" w:space="0" w:color="auto"/>
        <w:left w:val="none" w:sz="0" w:space="0" w:color="auto"/>
        <w:bottom w:val="none" w:sz="0" w:space="0" w:color="auto"/>
        <w:right w:val="none" w:sz="0" w:space="0" w:color="auto"/>
      </w:divBdr>
    </w:div>
    <w:div w:id="784034510">
      <w:bodyDiv w:val="1"/>
      <w:marLeft w:val="0"/>
      <w:marRight w:val="0"/>
      <w:marTop w:val="0"/>
      <w:marBottom w:val="0"/>
      <w:divBdr>
        <w:top w:val="none" w:sz="0" w:space="0" w:color="auto"/>
        <w:left w:val="none" w:sz="0" w:space="0" w:color="auto"/>
        <w:bottom w:val="none" w:sz="0" w:space="0" w:color="auto"/>
        <w:right w:val="none" w:sz="0" w:space="0" w:color="auto"/>
      </w:divBdr>
    </w:div>
    <w:div w:id="801845885">
      <w:bodyDiv w:val="1"/>
      <w:marLeft w:val="0"/>
      <w:marRight w:val="0"/>
      <w:marTop w:val="0"/>
      <w:marBottom w:val="0"/>
      <w:divBdr>
        <w:top w:val="none" w:sz="0" w:space="0" w:color="auto"/>
        <w:left w:val="none" w:sz="0" w:space="0" w:color="auto"/>
        <w:bottom w:val="none" w:sz="0" w:space="0" w:color="auto"/>
        <w:right w:val="none" w:sz="0" w:space="0" w:color="auto"/>
      </w:divBdr>
    </w:div>
    <w:div w:id="812676272">
      <w:bodyDiv w:val="1"/>
      <w:marLeft w:val="0"/>
      <w:marRight w:val="0"/>
      <w:marTop w:val="0"/>
      <w:marBottom w:val="0"/>
      <w:divBdr>
        <w:top w:val="none" w:sz="0" w:space="0" w:color="auto"/>
        <w:left w:val="none" w:sz="0" w:space="0" w:color="auto"/>
        <w:bottom w:val="none" w:sz="0" w:space="0" w:color="auto"/>
        <w:right w:val="none" w:sz="0" w:space="0" w:color="auto"/>
      </w:divBdr>
    </w:div>
    <w:div w:id="851190575">
      <w:bodyDiv w:val="1"/>
      <w:marLeft w:val="0"/>
      <w:marRight w:val="0"/>
      <w:marTop w:val="0"/>
      <w:marBottom w:val="0"/>
      <w:divBdr>
        <w:top w:val="none" w:sz="0" w:space="0" w:color="auto"/>
        <w:left w:val="none" w:sz="0" w:space="0" w:color="auto"/>
        <w:bottom w:val="none" w:sz="0" w:space="0" w:color="auto"/>
        <w:right w:val="none" w:sz="0" w:space="0" w:color="auto"/>
      </w:divBdr>
      <w:divsChild>
        <w:div w:id="263920962">
          <w:marLeft w:val="274"/>
          <w:marRight w:val="0"/>
          <w:marTop w:val="0"/>
          <w:marBottom w:val="40"/>
          <w:divBdr>
            <w:top w:val="none" w:sz="0" w:space="0" w:color="auto"/>
            <w:left w:val="none" w:sz="0" w:space="0" w:color="auto"/>
            <w:bottom w:val="none" w:sz="0" w:space="0" w:color="auto"/>
            <w:right w:val="none" w:sz="0" w:space="0" w:color="auto"/>
          </w:divBdr>
        </w:div>
        <w:div w:id="434785042">
          <w:marLeft w:val="274"/>
          <w:marRight w:val="0"/>
          <w:marTop w:val="0"/>
          <w:marBottom w:val="40"/>
          <w:divBdr>
            <w:top w:val="none" w:sz="0" w:space="0" w:color="auto"/>
            <w:left w:val="none" w:sz="0" w:space="0" w:color="auto"/>
            <w:bottom w:val="none" w:sz="0" w:space="0" w:color="auto"/>
            <w:right w:val="none" w:sz="0" w:space="0" w:color="auto"/>
          </w:divBdr>
        </w:div>
        <w:div w:id="681929603">
          <w:marLeft w:val="274"/>
          <w:marRight w:val="0"/>
          <w:marTop w:val="0"/>
          <w:marBottom w:val="40"/>
          <w:divBdr>
            <w:top w:val="none" w:sz="0" w:space="0" w:color="auto"/>
            <w:left w:val="none" w:sz="0" w:space="0" w:color="auto"/>
            <w:bottom w:val="none" w:sz="0" w:space="0" w:color="auto"/>
            <w:right w:val="none" w:sz="0" w:space="0" w:color="auto"/>
          </w:divBdr>
        </w:div>
        <w:div w:id="843861711">
          <w:marLeft w:val="274"/>
          <w:marRight w:val="0"/>
          <w:marTop w:val="0"/>
          <w:marBottom w:val="40"/>
          <w:divBdr>
            <w:top w:val="none" w:sz="0" w:space="0" w:color="auto"/>
            <w:left w:val="none" w:sz="0" w:space="0" w:color="auto"/>
            <w:bottom w:val="none" w:sz="0" w:space="0" w:color="auto"/>
            <w:right w:val="none" w:sz="0" w:space="0" w:color="auto"/>
          </w:divBdr>
        </w:div>
        <w:div w:id="1062556474">
          <w:marLeft w:val="274"/>
          <w:marRight w:val="0"/>
          <w:marTop w:val="0"/>
          <w:marBottom w:val="40"/>
          <w:divBdr>
            <w:top w:val="none" w:sz="0" w:space="0" w:color="auto"/>
            <w:left w:val="none" w:sz="0" w:space="0" w:color="auto"/>
            <w:bottom w:val="none" w:sz="0" w:space="0" w:color="auto"/>
            <w:right w:val="none" w:sz="0" w:space="0" w:color="auto"/>
          </w:divBdr>
        </w:div>
        <w:div w:id="1751198154">
          <w:marLeft w:val="274"/>
          <w:marRight w:val="0"/>
          <w:marTop w:val="0"/>
          <w:marBottom w:val="40"/>
          <w:divBdr>
            <w:top w:val="none" w:sz="0" w:space="0" w:color="auto"/>
            <w:left w:val="none" w:sz="0" w:space="0" w:color="auto"/>
            <w:bottom w:val="none" w:sz="0" w:space="0" w:color="auto"/>
            <w:right w:val="none" w:sz="0" w:space="0" w:color="auto"/>
          </w:divBdr>
        </w:div>
        <w:div w:id="1817450114">
          <w:marLeft w:val="274"/>
          <w:marRight w:val="0"/>
          <w:marTop w:val="0"/>
          <w:marBottom w:val="40"/>
          <w:divBdr>
            <w:top w:val="none" w:sz="0" w:space="0" w:color="auto"/>
            <w:left w:val="none" w:sz="0" w:space="0" w:color="auto"/>
            <w:bottom w:val="none" w:sz="0" w:space="0" w:color="auto"/>
            <w:right w:val="none" w:sz="0" w:space="0" w:color="auto"/>
          </w:divBdr>
        </w:div>
        <w:div w:id="1847986697">
          <w:marLeft w:val="274"/>
          <w:marRight w:val="0"/>
          <w:marTop w:val="0"/>
          <w:marBottom w:val="40"/>
          <w:divBdr>
            <w:top w:val="none" w:sz="0" w:space="0" w:color="auto"/>
            <w:left w:val="none" w:sz="0" w:space="0" w:color="auto"/>
            <w:bottom w:val="none" w:sz="0" w:space="0" w:color="auto"/>
            <w:right w:val="none" w:sz="0" w:space="0" w:color="auto"/>
          </w:divBdr>
        </w:div>
      </w:divsChild>
    </w:div>
    <w:div w:id="915819431">
      <w:bodyDiv w:val="1"/>
      <w:marLeft w:val="0"/>
      <w:marRight w:val="0"/>
      <w:marTop w:val="0"/>
      <w:marBottom w:val="0"/>
      <w:divBdr>
        <w:top w:val="none" w:sz="0" w:space="0" w:color="auto"/>
        <w:left w:val="none" w:sz="0" w:space="0" w:color="auto"/>
        <w:bottom w:val="none" w:sz="0" w:space="0" w:color="auto"/>
        <w:right w:val="none" w:sz="0" w:space="0" w:color="auto"/>
      </w:divBdr>
      <w:divsChild>
        <w:div w:id="282270073">
          <w:marLeft w:val="274"/>
          <w:marRight w:val="0"/>
          <w:marTop w:val="0"/>
          <w:marBottom w:val="120"/>
          <w:divBdr>
            <w:top w:val="none" w:sz="0" w:space="0" w:color="auto"/>
            <w:left w:val="none" w:sz="0" w:space="0" w:color="auto"/>
            <w:bottom w:val="none" w:sz="0" w:space="0" w:color="auto"/>
            <w:right w:val="none" w:sz="0" w:space="0" w:color="auto"/>
          </w:divBdr>
        </w:div>
        <w:div w:id="588587197">
          <w:marLeft w:val="274"/>
          <w:marRight w:val="0"/>
          <w:marTop w:val="0"/>
          <w:marBottom w:val="120"/>
          <w:divBdr>
            <w:top w:val="none" w:sz="0" w:space="0" w:color="auto"/>
            <w:left w:val="none" w:sz="0" w:space="0" w:color="auto"/>
            <w:bottom w:val="none" w:sz="0" w:space="0" w:color="auto"/>
            <w:right w:val="none" w:sz="0" w:space="0" w:color="auto"/>
          </w:divBdr>
        </w:div>
      </w:divsChild>
    </w:div>
    <w:div w:id="922641511">
      <w:bodyDiv w:val="1"/>
      <w:marLeft w:val="0"/>
      <w:marRight w:val="0"/>
      <w:marTop w:val="0"/>
      <w:marBottom w:val="0"/>
      <w:divBdr>
        <w:top w:val="none" w:sz="0" w:space="0" w:color="auto"/>
        <w:left w:val="none" w:sz="0" w:space="0" w:color="auto"/>
        <w:bottom w:val="none" w:sz="0" w:space="0" w:color="auto"/>
        <w:right w:val="none" w:sz="0" w:space="0" w:color="auto"/>
      </w:divBdr>
      <w:divsChild>
        <w:div w:id="188226540">
          <w:marLeft w:val="274"/>
          <w:marRight w:val="0"/>
          <w:marTop w:val="0"/>
          <w:marBottom w:val="60"/>
          <w:divBdr>
            <w:top w:val="none" w:sz="0" w:space="0" w:color="auto"/>
            <w:left w:val="none" w:sz="0" w:space="0" w:color="auto"/>
            <w:bottom w:val="none" w:sz="0" w:space="0" w:color="auto"/>
            <w:right w:val="none" w:sz="0" w:space="0" w:color="auto"/>
          </w:divBdr>
        </w:div>
        <w:div w:id="210119186">
          <w:marLeft w:val="274"/>
          <w:marRight w:val="0"/>
          <w:marTop w:val="0"/>
          <w:marBottom w:val="60"/>
          <w:divBdr>
            <w:top w:val="none" w:sz="0" w:space="0" w:color="auto"/>
            <w:left w:val="none" w:sz="0" w:space="0" w:color="auto"/>
            <w:bottom w:val="none" w:sz="0" w:space="0" w:color="auto"/>
            <w:right w:val="none" w:sz="0" w:space="0" w:color="auto"/>
          </w:divBdr>
        </w:div>
        <w:div w:id="521359005">
          <w:marLeft w:val="274"/>
          <w:marRight w:val="0"/>
          <w:marTop w:val="0"/>
          <w:marBottom w:val="60"/>
          <w:divBdr>
            <w:top w:val="none" w:sz="0" w:space="0" w:color="auto"/>
            <w:left w:val="none" w:sz="0" w:space="0" w:color="auto"/>
            <w:bottom w:val="none" w:sz="0" w:space="0" w:color="auto"/>
            <w:right w:val="none" w:sz="0" w:space="0" w:color="auto"/>
          </w:divBdr>
        </w:div>
        <w:div w:id="817263972">
          <w:marLeft w:val="274"/>
          <w:marRight w:val="0"/>
          <w:marTop w:val="0"/>
          <w:marBottom w:val="60"/>
          <w:divBdr>
            <w:top w:val="none" w:sz="0" w:space="0" w:color="auto"/>
            <w:left w:val="none" w:sz="0" w:space="0" w:color="auto"/>
            <w:bottom w:val="none" w:sz="0" w:space="0" w:color="auto"/>
            <w:right w:val="none" w:sz="0" w:space="0" w:color="auto"/>
          </w:divBdr>
        </w:div>
        <w:div w:id="1075932291">
          <w:marLeft w:val="274"/>
          <w:marRight w:val="0"/>
          <w:marTop w:val="0"/>
          <w:marBottom w:val="60"/>
          <w:divBdr>
            <w:top w:val="none" w:sz="0" w:space="0" w:color="auto"/>
            <w:left w:val="none" w:sz="0" w:space="0" w:color="auto"/>
            <w:bottom w:val="none" w:sz="0" w:space="0" w:color="auto"/>
            <w:right w:val="none" w:sz="0" w:space="0" w:color="auto"/>
          </w:divBdr>
        </w:div>
        <w:div w:id="1695304703">
          <w:marLeft w:val="274"/>
          <w:marRight w:val="0"/>
          <w:marTop w:val="0"/>
          <w:marBottom w:val="60"/>
          <w:divBdr>
            <w:top w:val="none" w:sz="0" w:space="0" w:color="auto"/>
            <w:left w:val="none" w:sz="0" w:space="0" w:color="auto"/>
            <w:bottom w:val="none" w:sz="0" w:space="0" w:color="auto"/>
            <w:right w:val="none" w:sz="0" w:space="0" w:color="auto"/>
          </w:divBdr>
        </w:div>
        <w:div w:id="1868252074">
          <w:marLeft w:val="274"/>
          <w:marRight w:val="0"/>
          <w:marTop w:val="0"/>
          <w:marBottom w:val="60"/>
          <w:divBdr>
            <w:top w:val="none" w:sz="0" w:space="0" w:color="auto"/>
            <w:left w:val="none" w:sz="0" w:space="0" w:color="auto"/>
            <w:bottom w:val="none" w:sz="0" w:space="0" w:color="auto"/>
            <w:right w:val="none" w:sz="0" w:space="0" w:color="auto"/>
          </w:divBdr>
        </w:div>
        <w:div w:id="2080207688">
          <w:marLeft w:val="274"/>
          <w:marRight w:val="0"/>
          <w:marTop w:val="0"/>
          <w:marBottom w:val="60"/>
          <w:divBdr>
            <w:top w:val="none" w:sz="0" w:space="0" w:color="auto"/>
            <w:left w:val="none" w:sz="0" w:space="0" w:color="auto"/>
            <w:bottom w:val="none" w:sz="0" w:space="0" w:color="auto"/>
            <w:right w:val="none" w:sz="0" w:space="0" w:color="auto"/>
          </w:divBdr>
        </w:div>
        <w:div w:id="2111968563">
          <w:marLeft w:val="274"/>
          <w:marRight w:val="0"/>
          <w:marTop w:val="0"/>
          <w:marBottom w:val="60"/>
          <w:divBdr>
            <w:top w:val="none" w:sz="0" w:space="0" w:color="auto"/>
            <w:left w:val="none" w:sz="0" w:space="0" w:color="auto"/>
            <w:bottom w:val="none" w:sz="0" w:space="0" w:color="auto"/>
            <w:right w:val="none" w:sz="0" w:space="0" w:color="auto"/>
          </w:divBdr>
        </w:div>
      </w:divsChild>
    </w:div>
    <w:div w:id="929431842">
      <w:bodyDiv w:val="1"/>
      <w:marLeft w:val="0"/>
      <w:marRight w:val="0"/>
      <w:marTop w:val="0"/>
      <w:marBottom w:val="0"/>
      <w:divBdr>
        <w:top w:val="none" w:sz="0" w:space="0" w:color="auto"/>
        <w:left w:val="none" w:sz="0" w:space="0" w:color="auto"/>
        <w:bottom w:val="none" w:sz="0" w:space="0" w:color="auto"/>
        <w:right w:val="none" w:sz="0" w:space="0" w:color="auto"/>
      </w:divBdr>
    </w:div>
    <w:div w:id="1007366710">
      <w:bodyDiv w:val="1"/>
      <w:marLeft w:val="0"/>
      <w:marRight w:val="0"/>
      <w:marTop w:val="0"/>
      <w:marBottom w:val="0"/>
      <w:divBdr>
        <w:top w:val="none" w:sz="0" w:space="0" w:color="auto"/>
        <w:left w:val="none" w:sz="0" w:space="0" w:color="auto"/>
        <w:bottom w:val="none" w:sz="0" w:space="0" w:color="auto"/>
        <w:right w:val="none" w:sz="0" w:space="0" w:color="auto"/>
      </w:divBdr>
      <w:divsChild>
        <w:div w:id="1479876388">
          <w:marLeft w:val="274"/>
          <w:marRight w:val="0"/>
          <w:marTop w:val="0"/>
          <w:marBottom w:val="120"/>
          <w:divBdr>
            <w:top w:val="none" w:sz="0" w:space="0" w:color="auto"/>
            <w:left w:val="none" w:sz="0" w:space="0" w:color="auto"/>
            <w:bottom w:val="none" w:sz="0" w:space="0" w:color="auto"/>
            <w:right w:val="none" w:sz="0" w:space="0" w:color="auto"/>
          </w:divBdr>
        </w:div>
        <w:div w:id="1923371396">
          <w:marLeft w:val="274"/>
          <w:marRight w:val="0"/>
          <w:marTop w:val="0"/>
          <w:marBottom w:val="120"/>
          <w:divBdr>
            <w:top w:val="none" w:sz="0" w:space="0" w:color="auto"/>
            <w:left w:val="none" w:sz="0" w:space="0" w:color="auto"/>
            <w:bottom w:val="none" w:sz="0" w:space="0" w:color="auto"/>
            <w:right w:val="none" w:sz="0" w:space="0" w:color="auto"/>
          </w:divBdr>
        </w:div>
      </w:divsChild>
    </w:div>
    <w:div w:id="1044912380">
      <w:bodyDiv w:val="1"/>
      <w:marLeft w:val="0"/>
      <w:marRight w:val="0"/>
      <w:marTop w:val="0"/>
      <w:marBottom w:val="0"/>
      <w:divBdr>
        <w:top w:val="none" w:sz="0" w:space="0" w:color="auto"/>
        <w:left w:val="none" w:sz="0" w:space="0" w:color="auto"/>
        <w:bottom w:val="none" w:sz="0" w:space="0" w:color="auto"/>
        <w:right w:val="none" w:sz="0" w:space="0" w:color="auto"/>
      </w:divBdr>
    </w:div>
    <w:div w:id="1117338231">
      <w:bodyDiv w:val="1"/>
      <w:marLeft w:val="0"/>
      <w:marRight w:val="0"/>
      <w:marTop w:val="0"/>
      <w:marBottom w:val="0"/>
      <w:divBdr>
        <w:top w:val="none" w:sz="0" w:space="0" w:color="auto"/>
        <w:left w:val="none" w:sz="0" w:space="0" w:color="auto"/>
        <w:bottom w:val="none" w:sz="0" w:space="0" w:color="auto"/>
        <w:right w:val="none" w:sz="0" w:space="0" w:color="auto"/>
      </w:divBdr>
      <w:divsChild>
        <w:div w:id="270281080">
          <w:marLeft w:val="274"/>
          <w:marRight w:val="0"/>
          <w:marTop w:val="0"/>
          <w:marBottom w:val="120"/>
          <w:divBdr>
            <w:top w:val="none" w:sz="0" w:space="0" w:color="auto"/>
            <w:left w:val="none" w:sz="0" w:space="0" w:color="auto"/>
            <w:bottom w:val="none" w:sz="0" w:space="0" w:color="auto"/>
            <w:right w:val="none" w:sz="0" w:space="0" w:color="auto"/>
          </w:divBdr>
        </w:div>
        <w:div w:id="276914657">
          <w:marLeft w:val="274"/>
          <w:marRight w:val="0"/>
          <w:marTop w:val="0"/>
          <w:marBottom w:val="120"/>
          <w:divBdr>
            <w:top w:val="none" w:sz="0" w:space="0" w:color="auto"/>
            <w:left w:val="none" w:sz="0" w:space="0" w:color="auto"/>
            <w:bottom w:val="none" w:sz="0" w:space="0" w:color="auto"/>
            <w:right w:val="none" w:sz="0" w:space="0" w:color="auto"/>
          </w:divBdr>
        </w:div>
        <w:div w:id="1240554011">
          <w:marLeft w:val="274"/>
          <w:marRight w:val="0"/>
          <w:marTop w:val="0"/>
          <w:marBottom w:val="120"/>
          <w:divBdr>
            <w:top w:val="none" w:sz="0" w:space="0" w:color="auto"/>
            <w:left w:val="none" w:sz="0" w:space="0" w:color="auto"/>
            <w:bottom w:val="none" w:sz="0" w:space="0" w:color="auto"/>
            <w:right w:val="none" w:sz="0" w:space="0" w:color="auto"/>
          </w:divBdr>
        </w:div>
        <w:div w:id="1370836516">
          <w:marLeft w:val="274"/>
          <w:marRight w:val="0"/>
          <w:marTop w:val="0"/>
          <w:marBottom w:val="120"/>
          <w:divBdr>
            <w:top w:val="none" w:sz="0" w:space="0" w:color="auto"/>
            <w:left w:val="none" w:sz="0" w:space="0" w:color="auto"/>
            <w:bottom w:val="none" w:sz="0" w:space="0" w:color="auto"/>
            <w:right w:val="none" w:sz="0" w:space="0" w:color="auto"/>
          </w:divBdr>
        </w:div>
        <w:div w:id="1691644705">
          <w:marLeft w:val="274"/>
          <w:marRight w:val="0"/>
          <w:marTop w:val="0"/>
          <w:marBottom w:val="120"/>
          <w:divBdr>
            <w:top w:val="none" w:sz="0" w:space="0" w:color="auto"/>
            <w:left w:val="none" w:sz="0" w:space="0" w:color="auto"/>
            <w:bottom w:val="none" w:sz="0" w:space="0" w:color="auto"/>
            <w:right w:val="none" w:sz="0" w:space="0" w:color="auto"/>
          </w:divBdr>
        </w:div>
        <w:div w:id="1851677017">
          <w:marLeft w:val="274"/>
          <w:marRight w:val="0"/>
          <w:marTop w:val="0"/>
          <w:marBottom w:val="120"/>
          <w:divBdr>
            <w:top w:val="none" w:sz="0" w:space="0" w:color="auto"/>
            <w:left w:val="none" w:sz="0" w:space="0" w:color="auto"/>
            <w:bottom w:val="none" w:sz="0" w:space="0" w:color="auto"/>
            <w:right w:val="none" w:sz="0" w:space="0" w:color="auto"/>
          </w:divBdr>
        </w:div>
      </w:divsChild>
    </w:div>
    <w:div w:id="1148550103">
      <w:bodyDiv w:val="1"/>
      <w:marLeft w:val="0"/>
      <w:marRight w:val="0"/>
      <w:marTop w:val="0"/>
      <w:marBottom w:val="0"/>
      <w:divBdr>
        <w:top w:val="none" w:sz="0" w:space="0" w:color="auto"/>
        <w:left w:val="none" w:sz="0" w:space="0" w:color="auto"/>
        <w:bottom w:val="none" w:sz="0" w:space="0" w:color="auto"/>
        <w:right w:val="none" w:sz="0" w:space="0" w:color="auto"/>
      </w:divBdr>
      <w:divsChild>
        <w:div w:id="368998451">
          <w:marLeft w:val="274"/>
          <w:marRight w:val="0"/>
          <w:marTop w:val="0"/>
          <w:marBottom w:val="120"/>
          <w:divBdr>
            <w:top w:val="none" w:sz="0" w:space="0" w:color="auto"/>
            <w:left w:val="none" w:sz="0" w:space="0" w:color="auto"/>
            <w:bottom w:val="none" w:sz="0" w:space="0" w:color="auto"/>
            <w:right w:val="none" w:sz="0" w:space="0" w:color="auto"/>
          </w:divBdr>
        </w:div>
        <w:div w:id="1745375093">
          <w:marLeft w:val="274"/>
          <w:marRight w:val="0"/>
          <w:marTop w:val="0"/>
          <w:marBottom w:val="120"/>
          <w:divBdr>
            <w:top w:val="none" w:sz="0" w:space="0" w:color="auto"/>
            <w:left w:val="none" w:sz="0" w:space="0" w:color="auto"/>
            <w:bottom w:val="none" w:sz="0" w:space="0" w:color="auto"/>
            <w:right w:val="none" w:sz="0" w:space="0" w:color="auto"/>
          </w:divBdr>
        </w:div>
        <w:div w:id="2119400719">
          <w:marLeft w:val="274"/>
          <w:marRight w:val="0"/>
          <w:marTop w:val="0"/>
          <w:marBottom w:val="120"/>
          <w:divBdr>
            <w:top w:val="none" w:sz="0" w:space="0" w:color="auto"/>
            <w:left w:val="none" w:sz="0" w:space="0" w:color="auto"/>
            <w:bottom w:val="none" w:sz="0" w:space="0" w:color="auto"/>
            <w:right w:val="none" w:sz="0" w:space="0" w:color="auto"/>
          </w:divBdr>
        </w:div>
      </w:divsChild>
    </w:div>
    <w:div w:id="1152482526">
      <w:bodyDiv w:val="1"/>
      <w:marLeft w:val="0"/>
      <w:marRight w:val="0"/>
      <w:marTop w:val="0"/>
      <w:marBottom w:val="0"/>
      <w:divBdr>
        <w:top w:val="none" w:sz="0" w:space="0" w:color="auto"/>
        <w:left w:val="none" w:sz="0" w:space="0" w:color="auto"/>
        <w:bottom w:val="none" w:sz="0" w:space="0" w:color="auto"/>
        <w:right w:val="none" w:sz="0" w:space="0" w:color="auto"/>
      </w:divBdr>
    </w:div>
    <w:div w:id="1161966598">
      <w:bodyDiv w:val="1"/>
      <w:marLeft w:val="0"/>
      <w:marRight w:val="0"/>
      <w:marTop w:val="0"/>
      <w:marBottom w:val="0"/>
      <w:divBdr>
        <w:top w:val="none" w:sz="0" w:space="0" w:color="auto"/>
        <w:left w:val="none" w:sz="0" w:space="0" w:color="auto"/>
        <w:bottom w:val="none" w:sz="0" w:space="0" w:color="auto"/>
        <w:right w:val="none" w:sz="0" w:space="0" w:color="auto"/>
      </w:divBdr>
      <w:divsChild>
        <w:div w:id="1100638294">
          <w:marLeft w:val="274"/>
          <w:marRight w:val="0"/>
          <w:marTop w:val="0"/>
          <w:marBottom w:val="120"/>
          <w:divBdr>
            <w:top w:val="none" w:sz="0" w:space="0" w:color="auto"/>
            <w:left w:val="none" w:sz="0" w:space="0" w:color="auto"/>
            <w:bottom w:val="none" w:sz="0" w:space="0" w:color="auto"/>
            <w:right w:val="none" w:sz="0" w:space="0" w:color="auto"/>
          </w:divBdr>
        </w:div>
      </w:divsChild>
    </w:div>
    <w:div w:id="1165975027">
      <w:bodyDiv w:val="1"/>
      <w:marLeft w:val="0"/>
      <w:marRight w:val="0"/>
      <w:marTop w:val="0"/>
      <w:marBottom w:val="0"/>
      <w:divBdr>
        <w:top w:val="none" w:sz="0" w:space="0" w:color="auto"/>
        <w:left w:val="none" w:sz="0" w:space="0" w:color="auto"/>
        <w:bottom w:val="none" w:sz="0" w:space="0" w:color="auto"/>
        <w:right w:val="none" w:sz="0" w:space="0" w:color="auto"/>
      </w:divBdr>
      <w:divsChild>
        <w:div w:id="124396979">
          <w:marLeft w:val="274"/>
          <w:marRight w:val="0"/>
          <w:marTop w:val="0"/>
          <w:marBottom w:val="120"/>
          <w:divBdr>
            <w:top w:val="none" w:sz="0" w:space="0" w:color="auto"/>
            <w:left w:val="none" w:sz="0" w:space="0" w:color="auto"/>
            <w:bottom w:val="none" w:sz="0" w:space="0" w:color="auto"/>
            <w:right w:val="none" w:sz="0" w:space="0" w:color="auto"/>
          </w:divBdr>
        </w:div>
      </w:divsChild>
    </w:div>
    <w:div w:id="1194225183">
      <w:bodyDiv w:val="1"/>
      <w:marLeft w:val="0"/>
      <w:marRight w:val="0"/>
      <w:marTop w:val="0"/>
      <w:marBottom w:val="0"/>
      <w:divBdr>
        <w:top w:val="none" w:sz="0" w:space="0" w:color="auto"/>
        <w:left w:val="none" w:sz="0" w:space="0" w:color="auto"/>
        <w:bottom w:val="none" w:sz="0" w:space="0" w:color="auto"/>
        <w:right w:val="none" w:sz="0" w:space="0" w:color="auto"/>
      </w:divBdr>
    </w:div>
    <w:div w:id="1228683318">
      <w:bodyDiv w:val="1"/>
      <w:marLeft w:val="0"/>
      <w:marRight w:val="0"/>
      <w:marTop w:val="0"/>
      <w:marBottom w:val="0"/>
      <w:divBdr>
        <w:top w:val="none" w:sz="0" w:space="0" w:color="auto"/>
        <w:left w:val="none" w:sz="0" w:space="0" w:color="auto"/>
        <w:bottom w:val="none" w:sz="0" w:space="0" w:color="auto"/>
        <w:right w:val="none" w:sz="0" w:space="0" w:color="auto"/>
      </w:divBdr>
    </w:div>
    <w:div w:id="1337269007">
      <w:bodyDiv w:val="1"/>
      <w:marLeft w:val="0"/>
      <w:marRight w:val="0"/>
      <w:marTop w:val="0"/>
      <w:marBottom w:val="0"/>
      <w:divBdr>
        <w:top w:val="none" w:sz="0" w:space="0" w:color="auto"/>
        <w:left w:val="none" w:sz="0" w:space="0" w:color="auto"/>
        <w:bottom w:val="none" w:sz="0" w:space="0" w:color="auto"/>
        <w:right w:val="none" w:sz="0" w:space="0" w:color="auto"/>
      </w:divBdr>
      <w:divsChild>
        <w:div w:id="357967621">
          <w:marLeft w:val="288"/>
          <w:marRight w:val="0"/>
          <w:marTop w:val="0"/>
          <w:marBottom w:val="120"/>
          <w:divBdr>
            <w:top w:val="none" w:sz="0" w:space="0" w:color="auto"/>
            <w:left w:val="none" w:sz="0" w:space="0" w:color="auto"/>
            <w:bottom w:val="none" w:sz="0" w:space="0" w:color="auto"/>
            <w:right w:val="none" w:sz="0" w:space="0" w:color="auto"/>
          </w:divBdr>
        </w:div>
        <w:div w:id="629481479">
          <w:marLeft w:val="288"/>
          <w:marRight w:val="0"/>
          <w:marTop w:val="0"/>
          <w:marBottom w:val="120"/>
          <w:divBdr>
            <w:top w:val="none" w:sz="0" w:space="0" w:color="auto"/>
            <w:left w:val="none" w:sz="0" w:space="0" w:color="auto"/>
            <w:bottom w:val="none" w:sz="0" w:space="0" w:color="auto"/>
            <w:right w:val="none" w:sz="0" w:space="0" w:color="auto"/>
          </w:divBdr>
        </w:div>
        <w:div w:id="1238706389">
          <w:marLeft w:val="288"/>
          <w:marRight w:val="0"/>
          <w:marTop w:val="0"/>
          <w:marBottom w:val="120"/>
          <w:divBdr>
            <w:top w:val="none" w:sz="0" w:space="0" w:color="auto"/>
            <w:left w:val="none" w:sz="0" w:space="0" w:color="auto"/>
            <w:bottom w:val="none" w:sz="0" w:space="0" w:color="auto"/>
            <w:right w:val="none" w:sz="0" w:space="0" w:color="auto"/>
          </w:divBdr>
        </w:div>
        <w:div w:id="1583489292">
          <w:marLeft w:val="288"/>
          <w:marRight w:val="0"/>
          <w:marTop w:val="0"/>
          <w:marBottom w:val="120"/>
          <w:divBdr>
            <w:top w:val="none" w:sz="0" w:space="0" w:color="auto"/>
            <w:left w:val="none" w:sz="0" w:space="0" w:color="auto"/>
            <w:bottom w:val="none" w:sz="0" w:space="0" w:color="auto"/>
            <w:right w:val="none" w:sz="0" w:space="0" w:color="auto"/>
          </w:divBdr>
        </w:div>
        <w:div w:id="1610165653">
          <w:marLeft w:val="288"/>
          <w:marRight w:val="0"/>
          <w:marTop w:val="0"/>
          <w:marBottom w:val="120"/>
          <w:divBdr>
            <w:top w:val="none" w:sz="0" w:space="0" w:color="auto"/>
            <w:left w:val="none" w:sz="0" w:space="0" w:color="auto"/>
            <w:bottom w:val="none" w:sz="0" w:space="0" w:color="auto"/>
            <w:right w:val="none" w:sz="0" w:space="0" w:color="auto"/>
          </w:divBdr>
        </w:div>
        <w:div w:id="1874876287">
          <w:marLeft w:val="288"/>
          <w:marRight w:val="0"/>
          <w:marTop w:val="0"/>
          <w:marBottom w:val="120"/>
          <w:divBdr>
            <w:top w:val="none" w:sz="0" w:space="0" w:color="auto"/>
            <w:left w:val="none" w:sz="0" w:space="0" w:color="auto"/>
            <w:bottom w:val="none" w:sz="0" w:space="0" w:color="auto"/>
            <w:right w:val="none" w:sz="0" w:space="0" w:color="auto"/>
          </w:divBdr>
        </w:div>
      </w:divsChild>
    </w:div>
    <w:div w:id="1362437069">
      <w:bodyDiv w:val="1"/>
      <w:marLeft w:val="0"/>
      <w:marRight w:val="0"/>
      <w:marTop w:val="0"/>
      <w:marBottom w:val="0"/>
      <w:divBdr>
        <w:top w:val="none" w:sz="0" w:space="0" w:color="auto"/>
        <w:left w:val="none" w:sz="0" w:space="0" w:color="auto"/>
        <w:bottom w:val="none" w:sz="0" w:space="0" w:color="auto"/>
        <w:right w:val="none" w:sz="0" w:space="0" w:color="auto"/>
      </w:divBdr>
    </w:div>
    <w:div w:id="1388336408">
      <w:bodyDiv w:val="1"/>
      <w:marLeft w:val="0"/>
      <w:marRight w:val="0"/>
      <w:marTop w:val="0"/>
      <w:marBottom w:val="0"/>
      <w:divBdr>
        <w:top w:val="none" w:sz="0" w:space="0" w:color="auto"/>
        <w:left w:val="none" w:sz="0" w:space="0" w:color="auto"/>
        <w:bottom w:val="none" w:sz="0" w:space="0" w:color="auto"/>
        <w:right w:val="none" w:sz="0" w:space="0" w:color="auto"/>
      </w:divBdr>
    </w:div>
    <w:div w:id="1403453503">
      <w:bodyDiv w:val="1"/>
      <w:marLeft w:val="0"/>
      <w:marRight w:val="0"/>
      <w:marTop w:val="0"/>
      <w:marBottom w:val="0"/>
      <w:divBdr>
        <w:top w:val="none" w:sz="0" w:space="0" w:color="auto"/>
        <w:left w:val="none" w:sz="0" w:space="0" w:color="auto"/>
        <w:bottom w:val="none" w:sz="0" w:space="0" w:color="auto"/>
        <w:right w:val="none" w:sz="0" w:space="0" w:color="auto"/>
      </w:divBdr>
    </w:div>
    <w:div w:id="1455294415">
      <w:bodyDiv w:val="1"/>
      <w:marLeft w:val="0"/>
      <w:marRight w:val="0"/>
      <w:marTop w:val="0"/>
      <w:marBottom w:val="0"/>
      <w:divBdr>
        <w:top w:val="none" w:sz="0" w:space="0" w:color="auto"/>
        <w:left w:val="none" w:sz="0" w:space="0" w:color="auto"/>
        <w:bottom w:val="none" w:sz="0" w:space="0" w:color="auto"/>
        <w:right w:val="none" w:sz="0" w:space="0" w:color="auto"/>
      </w:divBdr>
      <w:divsChild>
        <w:div w:id="203252241">
          <w:marLeft w:val="274"/>
          <w:marRight w:val="0"/>
          <w:marTop w:val="0"/>
          <w:marBottom w:val="120"/>
          <w:divBdr>
            <w:top w:val="none" w:sz="0" w:space="0" w:color="auto"/>
            <w:left w:val="none" w:sz="0" w:space="0" w:color="auto"/>
            <w:bottom w:val="none" w:sz="0" w:space="0" w:color="auto"/>
            <w:right w:val="none" w:sz="0" w:space="0" w:color="auto"/>
          </w:divBdr>
        </w:div>
        <w:div w:id="314993857">
          <w:marLeft w:val="274"/>
          <w:marRight w:val="0"/>
          <w:marTop w:val="0"/>
          <w:marBottom w:val="120"/>
          <w:divBdr>
            <w:top w:val="none" w:sz="0" w:space="0" w:color="auto"/>
            <w:left w:val="none" w:sz="0" w:space="0" w:color="auto"/>
            <w:bottom w:val="none" w:sz="0" w:space="0" w:color="auto"/>
            <w:right w:val="none" w:sz="0" w:space="0" w:color="auto"/>
          </w:divBdr>
        </w:div>
        <w:div w:id="829490849">
          <w:marLeft w:val="274"/>
          <w:marRight w:val="0"/>
          <w:marTop w:val="0"/>
          <w:marBottom w:val="120"/>
          <w:divBdr>
            <w:top w:val="none" w:sz="0" w:space="0" w:color="auto"/>
            <w:left w:val="none" w:sz="0" w:space="0" w:color="auto"/>
            <w:bottom w:val="none" w:sz="0" w:space="0" w:color="auto"/>
            <w:right w:val="none" w:sz="0" w:space="0" w:color="auto"/>
          </w:divBdr>
        </w:div>
        <w:div w:id="886799606">
          <w:marLeft w:val="274"/>
          <w:marRight w:val="0"/>
          <w:marTop w:val="0"/>
          <w:marBottom w:val="120"/>
          <w:divBdr>
            <w:top w:val="none" w:sz="0" w:space="0" w:color="auto"/>
            <w:left w:val="none" w:sz="0" w:space="0" w:color="auto"/>
            <w:bottom w:val="none" w:sz="0" w:space="0" w:color="auto"/>
            <w:right w:val="none" w:sz="0" w:space="0" w:color="auto"/>
          </w:divBdr>
        </w:div>
        <w:div w:id="1285623716">
          <w:marLeft w:val="274"/>
          <w:marRight w:val="0"/>
          <w:marTop w:val="0"/>
          <w:marBottom w:val="120"/>
          <w:divBdr>
            <w:top w:val="none" w:sz="0" w:space="0" w:color="auto"/>
            <w:left w:val="none" w:sz="0" w:space="0" w:color="auto"/>
            <w:bottom w:val="none" w:sz="0" w:space="0" w:color="auto"/>
            <w:right w:val="none" w:sz="0" w:space="0" w:color="auto"/>
          </w:divBdr>
        </w:div>
        <w:div w:id="1416125111">
          <w:marLeft w:val="274"/>
          <w:marRight w:val="0"/>
          <w:marTop w:val="0"/>
          <w:marBottom w:val="120"/>
          <w:divBdr>
            <w:top w:val="none" w:sz="0" w:space="0" w:color="auto"/>
            <w:left w:val="none" w:sz="0" w:space="0" w:color="auto"/>
            <w:bottom w:val="none" w:sz="0" w:space="0" w:color="auto"/>
            <w:right w:val="none" w:sz="0" w:space="0" w:color="auto"/>
          </w:divBdr>
        </w:div>
        <w:div w:id="1482968845">
          <w:marLeft w:val="274"/>
          <w:marRight w:val="0"/>
          <w:marTop w:val="0"/>
          <w:marBottom w:val="120"/>
          <w:divBdr>
            <w:top w:val="none" w:sz="0" w:space="0" w:color="auto"/>
            <w:left w:val="none" w:sz="0" w:space="0" w:color="auto"/>
            <w:bottom w:val="none" w:sz="0" w:space="0" w:color="auto"/>
            <w:right w:val="none" w:sz="0" w:space="0" w:color="auto"/>
          </w:divBdr>
        </w:div>
        <w:div w:id="1750151894">
          <w:marLeft w:val="274"/>
          <w:marRight w:val="0"/>
          <w:marTop w:val="0"/>
          <w:marBottom w:val="120"/>
          <w:divBdr>
            <w:top w:val="none" w:sz="0" w:space="0" w:color="auto"/>
            <w:left w:val="none" w:sz="0" w:space="0" w:color="auto"/>
            <w:bottom w:val="none" w:sz="0" w:space="0" w:color="auto"/>
            <w:right w:val="none" w:sz="0" w:space="0" w:color="auto"/>
          </w:divBdr>
        </w:div>
        <w:div w:id="1750956591">
          <w:marLeft w:val="274"/>
          <w:marRight w:val="0"/>
          <w:marTop w:val="0"/>
          <w:marBottom w:val="120"/>
          <w:divBdr>
            <w:top w:val="none" w:sz="0" w:space="0" w:color="auto"/>
            <w:left w:val="none" w:sz="0" w:space="0" w:color="auto"/>
            <w:bottom w:val="none" w:sz="0" w:space="0" w:color="auto"/>
            <w:right w:val="none" w:sz="0" w:space="0" w:color="auto"/>
          </w:divBdr>
        </w:div>
      </w:divsChild>
    </w:div>
    <w:div w:id="1467626185">
      <w:bodyDiv w:val="1"/>
      <w:marLeft w:val="0"/>
      <w:marRight w:val="0"/>
      <w:marTop w:val="0"/>
      <w:marBottom w:val="0"/>
      <w:divBdr>
        <w:top w:val="none" w:sz="0" w:space="0" w:color="auto"/>
        <w:left w:val="none" w:sz="0" w:space="0" w:color="auto"/>
        <w:bottom w:val="none" w:sz="0" w:space="0" w:color="auto"/>
        <w:right w:val="none" w:sz="0" w:space="0" w:color="auto"/>
      </w:divBdr>
    </w:div>
    <w:div w:id="1490561797">
      <w:bodyDiv w:val="1"/>
      <w:marLeft w:val="0"/>
      <w:marRight w:val="0"/>
      <w:marTop w:val="0"/>
      <w:marBottom w:val="0"/>
      <w:divBdr>
        <w:top w:val="none" w:sz="0" w:space="0" w:color="auto"/>
        <w:left w:val="none" w:sz="0" w:space="0" w:color="auto"/>
        <w:bottom w:val="none" w:sz="0" w:space="0" w:color="auto"/>
        <w:right w:val="none" w:sz="0" w:space="0" w:color="auto"/>
      </w:divBdr>
      <w:divsChild>
        <w:div w:id="868642929">
          <w:marLeft w:val="274"/>
          <w:marRight w:val="0"/>
          <w:marTop w:val="0"/>
          <w:marBottom w:val="120"/>
          <w:divBdr>
            <w:top w:val="none" w:sz="0" w:space="0" w:color="auto"/>
            <w:left w:val="none" w:sz="0" w:space="0" w:color="auto"/>
            <w:bottom w:val="none" w:sz="0" w:space="0" w:color="auto"/>
            <w:right w:val="none" w:sz="0" w:space="0" w:color="auto"/>
          </w:divBdr>
        </w:div>
        <w:div w:id="884023478">
          <w:marLeft w:val="274"/>
          <w:marRight w:val="0"/>
          <w:marTop w:val="0"/>
          <w:marBottom w:val="120"/>
          <w:divBdr>
            <w:top w:val="none" w:sz="0" w:space="0" w:color="auto"/>
            <w:left w:val="none" w:sz="0" w:space="0" w:color="auto"/>
            <w:bottom w:val="none" w:sz="0" w:space="0" w:color="auto"/>
            <w:right w:val="none" w:sz="0" w:space="0" w:color="auto"/>
          </w:divBdr>
        </w:div>
        <w:div w:id="909189527">
          <w:marLeft w:val="274"/>
          <w:marRight w:val="0"/>
          <w:marTop w:val="0"/>
          <w:marBottom w:val="120"/>
          <w:divBdr>
            <w:top w:val="none" w:sz="0" w:space="0" w:color="auto"/>
            <w:left w:val="none" w:sz="0" w:space="0" w:color="auto"/>
            <w:bottom w:val="none" w:sz="0" w:space="0" w:color="auto"/>
            <w:right w:val="none" w:sz="0" w:space="0" w:color="auto"/>
          </w:divBdr>
        </w:div>
      </w:divsChild>
    </w:div>
    <w:div w:id="1552304871">
      <w:bodyDiv w:val="1"/>
      <w:marLeft w:val="0"/>
      <w:marRight w:val="0"/>
      <w:marTop w:val="0"/>
      <w:marBottom w:val="0"/>
      <w:divBdr>
        <w:top w:val="none" w:sz="0" w:space="0" w:color="auto"/>
        <w:left w:val="none" w:sz="0" w:space="0" w:color="auto"/>
        <w:bottom w:val="none" w:sz="0" w:space="0" w:color="auto"/>
        <w:right w:val="none" w:sz="0" w:space="0" w:color="auto"/>
      </w:divBdr>
      <w:divsChild>
        <w:div w:id="612136003">
          <w:marLeft w:val="274"/>
          <w:marRight w:val="0"/>
          <w:marTop w:val="0"/>
          <w:marBottom w:val="120"/>
          <w:divBdr>
            <w:top w:val="none" w:sz="0" w:space="0" w:color="auto"/>
            <w:left w:val="none" w:sz="0" w:space="0" w:color="auto"/>
            <w:bottom w:val="none" w:sz="0" w:space="0" w:color="auto"/>
            <w:right w:val="none" w:sz="0" w:space="0" w:color="auto"/>
          </w:divBdr>
        </w:div>
        <w:div w:id="750079272">
          <w:marLeft w:val="274"/>
          <w:marRight w:val="0"/>
          <w:marTop w:val="0"/>
          <w:marBottom w:val="120"/>
          <w:divBdr>
            <w:top w:val="none" w:sz="0" w:space="0" w:color="auto"/>
            <w:left w:val="none" w:sz="0" w:space="0" w:color="auto"/>
            <w:bottom w:val="none" w:sz="0" w:space="0" w:color="auto"/>
            <w:right w:val="none" w:sz="0" w:space="0" w:color="auto"/>
          </w:divBdr>
        </w:div>
        <w:div w:id="770473017">
          <w:marLeft w:val="274"/>
          <w:marRight w:val="0"/>
          <w:marTop w:val="0"/>
          <w:marBottom w:val="120"/>
          <w:divBdr>
            <w:top w:val="none" w:sz="0" w:space="0" w:color="auto"/>
            <w:left w:val="none" w:sz="0" w:space="0" w:color="auto"/>
            <w:bottom w:val="none" w:sz="0" w:space="0" w:color="auto"/>
            <w:right w:val="none" w:sz="0" w:space="0" w:color="auto"/>
          </w:divBdr>
        </w:div>
        <w:div w:id="790053488">
          <w:marLeft w:val="274"/>
          <w:marRight w:val="0"/>
          <w:marTop w:val="0"/>
          <w:marBottom w:val="120"/>
          <w:divBdr>
            <w:top w:val="none" w:sz="0" w:space="0" w:color="auto"/>
            <w:left w:val="none" w:sz="0" w:space="0" w:color="auto"/>
            <w:bottom w:val="none" w:sz="0" w:space="0" w:color="auto"/>
            <w:right w:val="none" w:sz="0" w:space="0" w:color="auto"/>
          </w:divBdr>
        </w:div>
        <w:div w:id="880629947">
          <w:marLeft w:val="274"/>
          <w:marRight w:val="0"/>
          <w:marTop w:val="0"/>
          <w:marBottom w:val="120"/>
          <w:divBdr>
            <w:top w:val="none" w:sz="0" w:space="0" w:color="auto"/>
            <w:left w:val="none" w:sz="0" w:space="0" w:color="auto"/>
            <w:bottom w:val="none" w:sz="0" w:space="0" w:color="auto"/>
            <w:right w:val="none" w:sz="0" w:space="0" w:color="auto"/>
          </w:divBdr>
        </w:div>
        <w:div w:id="1109466926">
          <w:marLeft w:val="274"/>
          <w:marRight w:val="0"/>
          <w:marTop w:val="0"/>
          <w:marBottom w:val="120"/>
          <w:divBdr>
            <w:top w:val="none" w:sz="0" w:space="0" w:color="auto"/>
            <w:left w:val="none" w:sz="0" w:space="0" w:color="auto"/>
            <w:bottom w:val="none" w:sz="0" w:space="0" w:color="auto"/>
            <w:right w:val="none" w:sz="0" w:space="0" w:color="auto"/>
          </w:divBdr>
        </w:div>
      </w:divsChild>
    </w:div>
    <w:div w:id="1604846995">
      <w:bodyDiv w:val="1"/>
      <w:marLeft w:val="0"/>
      <w:marRight w:val="0"/>
      <w:marTop w:val="0"/>
      <w:marBottom w:val="0"/>
      <w:divBdr>
        <w:top w:val="none" w:sz="0" w:space="0" w:color="auto"/>
        <w:left w:val="none" w:sz="0" w:space="0" w:color="auto"/>
        <w:bottom w:val="none" w:sz="0" w:space="0" w:color="auto"/>
        <w:right w:val="none" w:sz="0" w:space="0" w:color="auto"/>
      </w:divBdr>
      <w:divsChild>
        <w:div w:id="170994636">
          <w:marLeft w:val="274"/>
          <w:marRight w:val="0"/>
          <w:marTop w:val="0"/>
          <w:marBottom w:val="120"/>
          <w:divBdr>
            <w:top w:val="none" w:sz="0" w:space="0" w:color="auto"/>
            <w:left w:val="none" w:sz="0" w:space="0" w:color="auto"/>
            <w:bottom w:val="none" w:sz="0" w:space="0" w:color="auto"/>
            <w:right w:val="none" w:sz="0" w:space="0" w:color="auto"/>
          </w:divBdr>
        </w:div>
        <w:div w:id="515194250">
          <w:marLeft w:val="274"/>
          <w:marRight w:val="0"/>
          <w:marTop w:val="0"/>
          <w:marBottom w:val="120"/>
          <w:divBdr>
            <w:top w:val="none" w:sz="0" w:space="0" w:color="auto"/>
            <w:left w:val="none" w:sz="0" w:space="0" w:color="auto"/>
            <w:bottom w:val="none" w:sz="0" w:space="0" w:color="auto"/>
            <w:right w:val="none" w:sz="0" w:space="0" w:color="auto"/>
          </w:divBdr>
        </w:div>
        <w:div w:id="648827459">
          <w:marLeft w:val="274"/>
          <w:marRight w:val="0"/>
          <w:marTop w:val="0"/>
          <w:marBottom w:val="120"/>
          <w:divBdr>
            <w:top w:val="none" w:sz="0" w:space="0" w:color="auto"/>
            <w:left w:val="none" w:sz="0" w:space="0" w:color="auto"/>
            <w:bottom w:val="none" w:sz="0" w:space="0" w:color="auto"/>
            <w:right w:val="none" w:sz="0" w:space="0" w:color="auto"/>
          </w:divBdr>
        </w:div>
        <w:div w:id="978654164">
          <w:marLeft w:val="274"/>
          <w:marRight w:val="0"/>
          <w:marTop w:val="0"/>
          <w:marBottom w:val="120"/>
          <w:divBdr>
            <w:top w:val="none" w:sz="0" w:space="0" w:color="auto"/>
            <w:left w:val="none" w:sz="0" w:space="0" w:color="auto"/>
            <w:bottom w:val="none" w:sz="0" w:space="0" w:color="auto"/>
            <w:right w:val="none" w:sz="0" w:space="0" w:color="auto"/>
          </w:divBdr>
        </w:div>
        <w:div w:id="1112358424">
          <w:marLeft w:val="274"/>
          <w:marRight w:val="0"/>
          <w:marTop w:val="0"/>
          <w:marBottom w:val="120"/>
          <w:divBdr>
            <w:top w:val="none" w:sz="0" w:space="0" w:color="auto"/>
            <w:left w:val="none" w:sz="0" w:space="0" w:color="auto"/>
            <w:bottom w:val="none" w:sz="0" w:space="0" w:color="auto"/>
            <w:right w:val="none" w:sz="0" w:space="0" w:color="auto"/>
          </w:divBdr>
        </w:div>
        <w:div w:id="1153714367">
          <w:marLeft w:val="274"/>
          <w:marRight w:val="0"/>
          <w:marTop w:val="0"/>
          <w:marBottom w:val="120"/>
          <w:divBdr>
            <w:top w:val="none" w:sz="0" w:space="0" w:color="auto"/>
            <w:left w:val="none" w:sz="0" w:space="0" w:color="auto"/>
            <w:bottom w:val="none" w:sz="0" w:space="0" w:color="auto"/>
            <w:right w:val="none" w:sz="0" w:space="0" w:color="auto"/>
          </w:divBdr>
        </w:div>
        <w:div w:id="1430854832">
          <w:marLeft w:val="274"/>
          <w:marRight w:val="0"/>
          <w:marTop w:val="0"/>
          <w:marBottom w:val="120"/>
          <w:divBdr>
            <w:top w:val="none" w:sz="0" w:space="0" w:color="auto"/>
            <w:left w:val="none" w:sz="0" w:space="0" w:color="auto"/>
            <w:bottom w:val="none" w:sz="0" w:space="0" w:color="auto"/>
            <w:right w:val="none" w:sz="0" w:space="0" w:color="auto"/>
          </w:divBdr>
        </w:div>
        <w:div w:id="1911648692">
          <w:marLeft w:val="274"/>
          <w:marRight w:val="0"/>
          <w:marTop w:val="0"/>
          <w:marBottom w:val="120"/>
          <w:divBdr>
            <w:top w:val="none" w:sz="0" w:space="0" w:color="auto"/>
            <w:left w:val="none" w:sz="0" w:space="0" w:color="auto"/>
            <w:bottom w:val="none" w:sz="0" w:space="0" w:color="auto"/>
            <w:right w:val="none" w:sz="0" w:space="0" w:color="auto"/>
          </w:divBdr>
        </w:div>
      </w:divsChild>
    </w:div>
    <w:div w:id="1638681443">
      <w:bodyDiv w:val="1"/>
      <w:marLeft w:val="0"/>
      <w:marRight w:val="0"/>
      <w:marTop w:val="0"/>
      <w:marBottom w:val="0"/>
      <w:divBdr>
        <w:top w:val="none" w:sz="0" w:space="0" w:color="auto"/>
        <w:left w:val="none" w:sz="0" w:space="0" w:color="auto"/>
        <w:bottom w:val="none" w:sz="0" w:space="0" w:color="auto"/>
        <w:right w:val="none" w:sz="0" w:space="0" w:color="auto"/>
      </w:divBdr>
      <w:divsChild>
        <w:div w:id="1028751255">
          <w:marLeft w:val="274"/>
          <w:marRight w:val="0"/>
          <w:marTop w:val="0"/>
          <w:marBottom w:val="120"/>
          <w:divBdr>
            <w:top w:val="none" w:sz="0" w:space="0" w:color="auto"/>
            <w:left w:val="none" w:sz="0" w:space="0" w:color="auto"/>
            <w:bottom w:val="none" w:sz="0" w:space="0" w:color="auto"/>
            <w:right w:val="none" w:sz="0" w:space="0" w:color="auto"/>
          </w:divBdr>
        </w:div>
        <w:div w:id="1703046355">
          <w:marLeft w:val="274"/>
          <w:marRight w:val="0"/>
          <w:marTop w:val="0"/>
          <w:marBottom w:val="120"/>
          <w:divBdr>
            <w:top w:val="none" w:sz="0" w:space="0" w:color="auto"/>
            <w:left w:val="none" w:sz="0" w:space="0" w:color="auto"/>
            <w:bottom w:val="none" w:sz="0" w:space="0" w:color="auto"/>
            <w:right w:val="none" w:sz="0" w:space="0" w:color="auto"/>
          </w:divBdr>
        </w:div>
        <w:div w:id="1782917301">
          <w:marLeft w:val="274"/>
          <w:marRight w:val="0"/>
          <w:marTop w:val="0"/>
          <w:marBottom w:val="120"/>
          <w:divBdr>
            <w:top w:val="none" w:sz="0" w:space="0" w:color="auto"/>
            <w:left w:val="none" w:sz="0" w:space="0" w:color="auto"/>
            <w:bottom w:val="none" w:sz="0" w:space="0" w:color="auto"/>
            <w:right w:val="none" w:sz="0" w:space="0" w:color="auto"/>
          </w:divBdr>
        </w:div>
      </w:divsChild>
    </w:div>
    <w:div w:id="1711221507">
      <w:bodyDiv w:val="1"/>
      <w:marLeft w:val="0"/>
      <w:marRight w:val="0"/>
      <w:marTop w:val="0"/>
      <w:marBottom w:val="0"/>
      <w:divBdr>
        <w:top w:val="none" w:sz="0" w:space="0" w:color="auto"/>
        <w:left w:val="none" w:sz="0" w:space="0" w:color="auto"/>
        <w:bottom w:val="none" w:sz="0" w:space="0" w:color="auto"/>
        <w:right w:val="none" w:sz="0" w:space="0" w:color="auto"/>
      </w:divBdr>
      <w:divsChild>
        <w:div w:id="486674996">
          <w:marLeft w:val="274"/>
          <w:marRight w:val="0"/>
          <w:marTop w:val="0"/>
          <w:marBottom w:val="120"/>
          <w:divBdr>
            <w:top w:val="none" w:sz="0" w:space="0" w:color="auto"/>
            <w:left w:val="none" w:sz="0" w:space="0" w:color="auto"/>
            <w:bottom w:val="none" w:sz="0" w:space="0" w:color="auto"/>
            <w:right w:val="none" w:sz="0" w:space="0" w:color="auto"/>
          </w:divBdr>
        </w:div>
        <w:div w:id="589237451">
          <w:marLeft w:val="274"/>
          <w:marRight w:val="0"/>
          <w:marTop w:val="0"/>
          <w:marBottom w:val="120"/>
          <w:divBdr>
            <w:top w:val="none" w:sz="0" w:space="0" w:color="auto"/>
            <w:left w:val="none" w:sz="0" w:space="0" w:color="auto"/>
            <w:bottom w:val="none" w:sz="0" w:space="0" w:color="auto"/>
            <w:right w:val="none" w:sz="0" w:space="0" w:color="auto"/>
          </w:divBdr>
        </w:div>
        <w:div w:id="1366100381">
          <w:marLeft w:val="274"/>
          <w:marRight w:val="0"/>
          <w:marTop w:val="0"/>
          <w:marBottom w:val="120"/>
          <w:divBdr>
            <w:top w:val="none" w:sz="0" w:space="0" w:color="auto"/>
            <w:left w:val="none" w:sz="0" w:space="0" w:color="auto"/>
            <w:bottom w:val="none" w:sz="0" w:space="0" w:color="auto"/>
            <w:right w:val="none" w:sz="0" w:space="0" w:color="auto"/>
          </w:divBdr>
        </w:div>
        <w:div w:id="1373113008">
          <w:marLeft w:val="274"/>
          <w:marRight w:val="0"/>
          <w:marTop w:val="0"/>
          <w:marBottom w:val="120"/>
          <w:divBdr>
            <w:top w:val="none" w:sz="0" w:space="0" w:color="auto"/>
            <w:left w:val="none" w:sz="0" w:space="0" w:color="auto"/>
            <w:bottom w:val="none" w:sz="0" w:space="0" w:color="auto"/>
            <w:right w:val="none" w:sz="0" w:space="0" w:color="auto"/>
          </w:divBdr>
        </w:div>
        <w:div w:id="1462308891">
          <w:marLeft w:val="274"/>
          <w:marRight w:val="0"/>
          <w:marTop w:val="0"/>
          <w:marBottom w:val="120"/>
          <w:divBdr>
            <w:top w:val="none" w:sz="0" w:space="0" w:color="auto"/>
            <w:left w:val="none" w:sz="0" w:space="0" w:color="auto"/>
            <w:bottom w:val="none" w:sz="0" w:space="0" w:color="auto"/>
            <w:right w:val="none" w:sz="0" w:space="0" w:color="auto"/>
          </w:divBdr>
        </w:div>
        <w:div w:id="1575630387">
          <w:marLeft w:val="274"/>
          <w:marRight w:val="0"/>
          <w:marTop w:val="0"/>
          <w:marBottom w:val="120"/>
          <w:divBdr>
            <w:top w:val="none" w:sz="0" w:space="0" w:color="auto"/>
            <w:left w:val="none" w:sz="0" w:space="0" w:color="auto"/>
            <w:bottom w:val="none" w:sz="0" w:space="0" w:color="auto"/>
            <w:right w:val="none" w:sz="0" w:space="0" w:color="auto"/>
          </w:divBdr>
        </w:div>
      </w:divsChild>
    </w:div>
    <w:div w:id="1782604201">
      <w:bodyDiv w:val="1"/>
      <w:marLeft w:val="0"/>
      <w:marRight w:val="0"/>
      <w:marTop w:val="0"/>
      <w:marBottom w:val="0"/>
      <w:divBdr>
        <w:top w:val="none" w:sz="0" w:space="0" w:color="auto"/>
        <w:left w:val="none" w:sz="0" w:space="0" w:color="auto"/>
        <w:bottom w:val="none" w:sz="0" w:space="0" w:color="auto"/>
        <w:right w:val="none" w:sz="0" w:space="0" w:color="auto"/>
      </w:divBdr>
      <w:divsChild>
        <w:div w:id="104884084">
          <w:marLeft w:val="288"/>
          <w:marRight w:val="0"/>
          <w:marTop w:val="0"/>
          <w:marBottom w:val="120"/>
          <w:divBdr>
            <w:top w:val="none" w:sz="0" w:space="0" w:color="auto"/>
            <w:left w:val="none" w:sz="0" w:space="0" w:color="auto"/>
            <w:bottom w:val="none" w:sz="0" w:space="0" w:color="auto"/>
            <w:right w:val="none" w:sz="0" w:space="0" w:color="auto"/>
          </w:divBdr>
        </w:div>
        <w:div w:id="350449710">
          <w:marLeft w:val="288"/>
          <w:marRight w:val="0"/>
          <w:marTop w:val="0"/>
          <w:marBottom w:val="120"/>
          <w:divBdr>
            <w:top w:val="none" w:sz="0" w:space="0" w:color="auto"/>
            <w:left w:val="none" w:sz="0" w:space="0" w:color="auto"/>
            <w:bottom w:val="none" w:sz="0" w:space="0" w:color="auto"/>
            <w:right w:val="none" w:sz="0" w:space="0" w:color="auto"/>
          </w:divBdr>
        </w:div>
        <w:div w:id="748580919">
          <w:marLeft w:val="288"/>
          <w:marRight w:val="0"/>
          <w:marTop w:val="0"/>
          <w:marBottom w:val="120"/>
          <w:divBdr>
            <w:top w:val="none" w:sz="0" w:space="0" w:color="auto"/>
            <w:left w:val="none" w:sz="0" w:space="0" w:color="auto"/>
            <w:bottom w:val="none" w:sz="0" w:space="0" w:color="auto"/>
            <w:right w:val="none" w:sz="0" w:space="0" w:color="auto"/>
          </w:divBdr>
        </w:div>
        <w:div w:id="786046678">
          <w:marLeft w:val="288"/>
          <w:marRight w:val="0"/>
          <w:marTop w:val="0"/>
          <w:marBottom w:val="120"/>
          <w:divBdr>
            <w:top w:val="none" w:sz="0" w:space="0" w:color="auto"/>
            <w:left w:val="none" w:sz="0" w:space="0" w:color="auto"/>
            <w:bottom w:val="none" w:sz="0" w:space="0" w:color="auto"/>
            <w:right w:val="none" w:sz="0" w:space="0" w:color="auto"/>
          </w:divBdr>
        </w:div>
        <w:div w:id="823549760">
          <w:marLeft w:val="288"/>
          <w:marRight w:val="0"/>
          <w:marTop w:val="0"/>
          <w:marBottom w:val="120"/>
          <w:divBdr>
            <w:top w:val="none" w:sz="0" w:space="0" w:color="auto"/>
            <w:left w:val="none" w:sz="0" w:space="0" w:color="auto"/>
            <w:bottom w:val="none" w:sz="0" w:space="0" w:color="auto"/>
            <w:right w:val="none" w:sz="0" w:space="0" w:color="auto"/>
          </w:divBdr>
        </w:div>
        <w:div w:id="1171943313">
          <w:marLeft w:val="288"/>
          <w:marRight w:val="0"/>
          <w:marTop w:val="0"/>
          <w:marBottom w:val="120"/>
          <w:divBdr>
            <w:top w:val="none" w:sz="0" w:space="0" w:color="auto"/>
            <w:left w:val="none" w:sz="0" w:space="0" w:color="auto"/>
            <w:bottom w:val="none" w:sz="0" w:space="0" w:color="auto"/>
            <w:right w:val="none" w:sz="0" w:space="0" w:color="auto"/>
          </w:divBdr>
        </w:div>
        <w:div w:id="1957329945">
          <w:marLeft w:val="288"/>
          <w:marRight w:val="0"/>
          <w:marTop w:val="0"/>
          <w:marBottom w:val="120"/>
          <w:divBdr>
            <w:top w:val="none" w:sz="0" w:space="0" w:color="auto"/>
            <w:left w:val="none" w:sz="0" w:space="0" w:color="auto"/>
            <w:bottom w:val="none" w:sz="0" w:space="0" w:color="auto"/>
            <w:right w:val="none" w:sz="0" w:space="0" w:color="auto"/>
          </w:divBdr>
        </w:div>
      </w:divsChild>
    </w:div>
    <w:div w:id="1790512471">
      <w:bodyDiv w:val="1"/>
      <w:marLeft w:val="0"/>
      <w:marRight w:val="0"/>
      <w:marTop w:val="0"/>
      <w:marBottom w:val="0"/>
      <w:divBdr>
        <w:top w:val="none" w:sz="0" w:space="0" w:color="auto"/>
        <w:left w:val="none" w:sz="0" w:space="0" w:color="auto"/>
        <w:bottom w:val="none" w:sz="0" w:space="0" w:color="auto"/>
        <w:right w:val="none" w:sz="0" w:space="0" w:color="auto"/>
      </w:divBdr>
      <w:divsChild>
        <w:div w:id="482159552">
          <w:marLeft w:val="274"/>
          <w:marRight w:val="0"/>
          <w:marTop w:val="0"/>
          <w:marBottom w:val="120"/>
          <w:divBdr>
            <w:top w:val="none" w:sz="0" w:space="0" w:color="auto"/>
            <w:left w:val="none" w:sz="0" w:space="0" w:color="auto"/>
            <w:bottom w:val="none" w:sz="0" w:space="0" w:color="auto"/>
            <w:right w:val="none" w:sz="0" w:space="0" w:color="auto"/>
          </w:divBdr>
        </w:div>
        <w:div w:id="657610921">
          <w:marLeft w:val="274"/>
          <w:marRight w:val="0"/>
          <w:marTop w:val="0"/>
          <w:marBottom w:val="120"/>
          <w:divBdr>
            <w:top w:val="none" w:sz="0" w:space="0" w:color="auto"/>
            <w:left w:val="none" w:sz="0" w:space="0" w:color="auto"/>
            <w:bottom w:val="none" w:sz="0" w:space="0" w:color="auto"/>
            <w:right w:val="none" w:sz="0" w:space="0" w:color="auto"/>
          </w:divBdr>
        </w:div>
        <w:div w:id="1061099112">
          <w:marLeft w:val="274"/>
          <w:marRight w:val="0"/>
          <w:marTop w:val="0"/>
          <w:marBottom w:val="120"/>
          <w:divBdr>
            <w:top w:val="none" w:sz="0" w:space="0" w:color="auto"/>
            <w:left w:val="none" w:sz="0" w:space="0" w:color="auto"/>
            <w:bottom w:val="none" w:sz="0" w:space="0" w:color="auto"/>
            <w:right w:val="none" w:sz="0" w:space="0" w:color="auto"/>
          </w:divBdr>
        </w:div>
        <w:div w:id="1341278874">
          <w:marLeft w:val="274"/>
          <w:marRight w:val="0"/>
          <w:marTop w:val="0"/>
          <w:marBottom w:val="120"/>
          <w:divBdr>
            <w:top w:val="none" w:sz="0" w:space="0" w:color="auto"/>
            <w:left w:val="none" w:sz="0" w:space="0" w:color="auto"/>
            <w:bottom w:val="none" w:sz="0" w:space="0" w:color="auto"/>
            <w:right w:val="none" w:sz="0" w:space="0" w:color="auto"/>
          </w:divBdr>
        </w:div>
        <w:div w:id="1946384511">
          <w:marLeft w:val="274"/>
          <w:marRight w:val="0"/>
          <w:marTop w:val="0"/>
          <w:marBottom w:val="120"/>
          <w:divBdr>
            <w:top w:val="none" w:sz="0" w:space="0" w:color="auto"/>
            <w:left w:val="none" w:sz="0" w:space="0" w:color="auto"/>
            <w:bottom w:val="none" w:sz="0" w:space="0" w:color="auto"/>
            <w:right w:val="none" w:sz="0" w:space="0" w:color="auto"/>
          </w:divBdr>
        </w:div>
        <w:div w:id="1974559349">
          <w:marLeft w:val="274"/>
          <w:marRight w:val="0"/>
          <w:marTop w:val="0"/>
          <w:marBottom w:val="120"/>
          <w:divBdr>
            <w:top w:val="none" w:sz="0" w:space="0" w:color="auto"/>
            <w:left w:val="none" w:sz="0" w:space="0" w:color="auto"/>
            <w:bottom w:val="none" w:sz="0" w:space="0" w:color="auto"/>
            <w:right w:val="none" w:sz="0" w:space="0" w:color="auto"/>
          </w:divBdr>
        </w:div>
      </w:divsChild>
    </w:div>
    <w:div w:id="1820606501">
      <w:bodyDiv w:val="1"/>
      <w:marLeft w:val="0"/>
      <w:marRight w:val="0"/>
      <w:marTop w:val="0"/>
      <w:marBottom w:val="0"/>
      <w:divBdr>
        <w:top w:val="none" w:sz="0" w:space="0" w:color="auto"/>
        <w:left w:val="none" w:sz="0" w:space="0" w:color="auto"/>
        <w:bottom w:val="none" w:sz="0" w:space="0" w:color="auto"/>
        <w:right w:val="none" w:sz="0" w:space="0" w:color="auto"/>
      </w:divBdr>
    </w:div>
    <w:div w:id="1850173086">
      <w:bodyDiv w:val="1"/>
      <w:marLeft w:val="0"/>
      <w:marRight w:val="0"/>
      <w:marTop w:val="0"/>
      <w:marBottom w:val="0"/>
      <w:divBdr>
        <w:top w:val="none" w:sz="0" w:space="0" w:color="auto"/>
        <w:left w:val="none" w:sz="0" w:space="0" w:color="auto"/>
        <w:bottom w:val="none" w:sz="0" w:space="0" w:color="auto"/>
        <w:right w:val="none" w:sz="0" w:space="0" w:color="auto"/>
      </w:divBdr>
      <w:divsChild>
        <w:div w:id="181011995">
          <w:marLeft w:val="288"/>
          <w:marRight w:val="0"/>
          <w:marTop w:val="0"/>
          <w:marBottom w:val="160"/>
          <w:divBdr>
            <w:top w:val="none" w:sz="0" w:space="0" w:color="auto"/>
            <w:left w:val="none" w:sz="0" w:space="0" w:color="auto"/>
            <w:bottom w:val="none" w:sz="0" w:space="0" w:color="auto"/>
            <w:right w:val="none" w:sz="0" w:space="0" w:color="auto"/>
          </w:divBdr>
        </w:div>
        <w:div w:id="1276211500">
          <w:marLeft w:val="288"/>
          <w:marRight w:val="0"/>
          <w:marTop w:val="0"/>
          <w:marBottom w:val="160"/>
          <w:divBdr>
            <w:top w:val="none" w:sz="0" w:space="0" w:color="auto"/>
            <w:left w:val="none" w:sz="0" w:space="0" w:color="auto"/>
            <w:bottom w:val="none" w:sz="0" w:space="0" w:color="auto"/>
            <w:right w:val="none" w:sz="0" w:space="0" w:color="auto"/>
          </w:divBdr>
        </w:div>
        <w:div w:id="1403288070">
          <w:marLeft w:val="288"/>
          <w:marRight w:val="0"/>
          <w:marTop w:val="0"/>
          <w:marBottom w:val="160"/>
          <w:divBdr>
            <w:top w:val="none" w:sz="0" w:space="0" w:color="auto"/>
            <w:left w:val="none" w:sz="0" w:space="0" w:color="auto"/>
            <w:bottom w:val="none" w:sz="0" w:space="0" w:color="auto"/>
            <w:right w:val="none" w:sz="0" w:space="0" w:color="auto"/>
          </w:divBdr>
        </w:div>
      </w:divsChild>
    </w:div>
    <w:div w:id="1857301477">
      <w:bodyDiv w:val="1"/>
      <w:marLeft w:val="0"/>
      <w:marRight w:val="0"/>
      <w:marTop w:val="0"/>
      <w:marBottom w:val="0"/>
      <w:divBdr>
        <w:top w:val="none" w:sz="0" w:space="0" w:color="auto"/>
        <w:left w:val="none" w:sz="0" w:space="0" w:color="auto"/>
        <w:bottom w:val="none" w:sz="0" w:space="0" w:color="auto"/>
        <w:right w:val="none" w:sz="0" w:space="0" w:color="auto"/>
      </w:divBdr>
      <w:divsChild>
        <w:div w:id="115759978">
          <w:marLeft w:val="288"/>
          <w:marRight w:val="0"/>
          <w:marTop w:val="0"/>
          <w:marBottom w:val="80"/>
          <w:divBdr>
            <w:top w:val="none" w:sz="0" w:space="0" w:color="auto"/>
            <w:left w:val="none" w:sz="0" w:space="0" w:color="auto"/>
            <w:bottom w:val="none" w:sz="0" w:space="0" w:color="auto"/>
            <w:right w:val="none" w:sz="0" w:space="0" w:color="auto"/>
          </w:divBdr>
        </w:div>
        <w:div w:id="489562146">
          <w:marLeft w:val="288"/>
          <w:marRight w:val="0"/>
          <w:marTop w:val="0"/>
          <w:marBottom w:val="80"/>
          <w:divBdr>
            <w:top w:val="none" w:sz="0" w:space="0" w:color="auto"/>
            <w:left w:val="none" w:sz="0" w:space="0" w:color="auto"/>
            <w:bottom w:val="none" w:sz="0" w:space="0" w:color="auto"/>
            <w:right w:val="none" w:sz="0" w:space="0" w:color="auto"/>
          </w:divBdr>
        </w:div>
        <w:div w:id="522793611">
          <w:marLeft w:val="288"/>
          <w:marRight w:val="0"/>
          <w:marTop w:val="0"/>
          <w:marBottom w:val="80"/>
          <w:divBdr>
            <w:top w:val="none" w:sz="0" w:space="0" w:color="auto"/>
            <w:left w:val="none" w:sz="0" w:space="0" w:color="auto"/>
            <w:bottom w:val="none" w:sz="0" w:space="0" w:color="auto"/>
            <w:right w:val="none" w:sz="0" w:space="0" w:color="auto"/>
          </w:divBdr>
        </w:div>
        <w:div w:id="576482344">
          <w:marLeft w:val="288"/>
          <w:marRight w:val="0"/>
          <w:marTop w:val="0"/>
          <w:marBottom w:val="80"/>
          <w:divBdr>
            <w:top w:val="none" w:sz="0" w:space="0" w:color="auto"/>
            <w:left w:val="none" w:sz="0" w:space="0" w:color="auto"/>
            <w:bottom w:val="none" w:sz="0" w:space="0" w:color="auto"/>
            <w:right w:val="none" w:sz="0" w:space="0" w:color="auto"/>
          </w:divBdr>
        </w:div>
        <w:div w:id="965700081">
          <w:marLeft w:val="288"/>
          <w:marRight w:val="0"/>
          <w:marTop w:val="0"/>
          <w:marBottom w:val="80"/>
          <w:divBdr>
            <w:top w:val="none" w:sz="0" w:space="0" w:color="auto"/>
            <w:left w:val="none" w:sz="0" w:space="0" w:color="auto"/>
            <w:bottom w:val="none" w:sz="0" w:space="0" w:color="auto"/>
            <w:right w:val="none" w:sz="0" w:space="0" w:color="auto"/>
          </w:divBdr>
        </w:div>
        <w:div w:id="1539662902">
          <w:marLeft w:val="288"/>
          <w:marRight w:val="0"/>
          <w:marTop w:val="0"/>
          <w:marBottom w:val="80"/>
          <w:divBdr>
            <w:top w:val="none" w:sz="0" w:space="0" w:color="auto"/>
            <w:left w:val="none" w:sz="0" w:space="0" w:color="auto"/>
            <w:bottom w:val="none" w:sz="0" w:space="0" w:color="auto"/>
            <w:right w:val="none" w:sz="0" w:space="0" w:color="auto"/>
          </w:divBdr>
        </w:div>
        <w:div w:id="1803845175">
          <w:marLeft w:val="288"/>
          <w:marRight w:val="0"/>
          <w:marTop w:val="0"/>
          <w:marBottom w:val="80"/>
          <w:divBdr>
            <w:top w:val="none" w:sz="0" w:space="0" w:color="auto"/>
            <w:left w:val="none" w:sz="0" w:space="0" w:color="auto"/>
            <w:bottom w:val="none" w:sz="0" w:space="0" w:color="auto"/>
            <w:right w:val="none" w:sz="0" w:space="0" w:color="auto"/>
          </w:divBdr>
        </w:div>
        <w:div w:id="1903442160">
          <w:marLeft w:val="288"/>
          <w:marRight w:val="0"/>
          <w:marTop w:val="0"/>
          <w:marBottom w:val="80"/>
          <w:divBdr>
            <w:top w:val="none" w:sz="0" w:space="0" w:color="auto"/>
            <w:left w:val="none" w:sz="0" w:space="0" w:color="auto"/>
            <w:bottom w:val="none" w:sz="0" w:space="0" w:color="auto"/>
            <w:right w:val="none" w:sz="0" w:space="0" w:color="auto"/>
          </w:divBdr>
        </w:div>
      </w:divsChild>
    </w:div>
    <w:div w:id="1867399856">
      <w:bodyDiv w:val="1"/>
      <w:marLeft w:val="0"/>
      <w:marRight w:val="0"/>
      <w:marTop w:val="0"/>
      <w:marBottom w:val="0"/>
      <w:divBdr>
        <w:top w:val="none" w:sz="0" w:space="0" w:color="auto"/>
        <w:left w:val="none" w:sz="0" w:space="0" w:color="auto"/>
        <w:bottom w:val="none" w:sz="0" w:space="0" w:color="auto"/>
        <w:right w:val="none" w:sz="0" w:space="0" w:color="auto"/>
      </w:divBdr>
    </w:div>
    <w:div w:id="1896502432">
      <w:bodyDiv w:val="1"/>
      <w:marLeft w:val="0"/>
      <w:marRight w:val="0"/>
      <w:marTop w:val="0"/>
      <w:marBottom w:val="0"/>
      <w:divBdr>
        <w:top w:val="none" w:sz="0" w:space="0" w:color="auto"/>
        <w:left w:val="none" w:sz="0" w:space="0" w:color="auto"/>
        <w:bottom w:val="none" w:sz="0" w:space="0" w:color="auto"/>
        <w:right w:val="none" w:sz="0" w:space="0" w:color="auto"/>
      </w:divBdr>
      <w:divsChild>
        <w:div w:id="640427043">
          <w:marLeft w:val="288"/>
          <w:marRight w:val="0"/>
          <w:marTop w:val="0"/>
          <w:marBottom w:val="160"/>
          <w:divBdr>
            <w:top w:val="none" w:sz="0" w:space="0" w:color="auto"/>
            <w:left w:val="none" w:sz="0" w:space="0" w:color="auto"/>
            <w:bottom w:val="none" w:sz="0" w:space="0" w:color="auto"/>
            <w:right w:val="none" w:sz="0" w:space="0" w:color="auto"/>
          </w:divBdr>
        </w:div>
        <w:div w:id="800807764">
          <w:marLeft w:val="288"/>
          <w:marRight w:val="0"/>
          <w:marTop w:val="0"/>
          <w:marBottom w:val="160"/>
          <w:divBdr>
            <w:top w:val="none" w:sz="0" w:space="0" w:color="auto"/>
            <w:left w:val="none" w:sz="0" w:space="0" w:color="auto"/>
            <w:bottom w:val="none" w:sz="0" w:space="0" w:color="auto"/>
            <w:right w:val="none" w:sz="0" w:space="0" w:color="auto"/>
          </w:divBdr>
        </w:div>
        <w:div w:id="1276863536">
          <w:marLeft w:val="288"/>
          <w:marRight w:val="0"/>
          <w:marTop w:val="0"/>
          <w:marBottom w:val="160"/>
          <w:divBdr>
            <w:top w:val="none" w:sz="0" w:space="0" w:color="auto"/>
            <w:left w:val="none" w:sz="0" w:space="0" w:color="auto"/>
            <w:bottom w:val="none" w:sz="0" w:space="0" w:color="auto"/>
            <w:right w:val="none" w:sz="0" w:space="0" w:color="auto"/>
          </w:divBdr>
        </w:div>
      </w:divsChild>
    </w:div>
    <w:div w:id="2018917389">
      <w:bodyDiv w:val="1"/>
      <w:marLeft w:val="0"/>
      <w:marRight w:val="0"/>
      <w:marTop w:val="0"/>
      <w:marBottom w:val="0"/>
      <w:divBdr>
        <w:top w:val="none" w:sz="0" w:space="0" w:color="auto"/>
        <w:left w:val="none" w:sz="0" w:space="0" w:color="auto"/>
        <w:bottom w:val="none" w:sz="0" w:space="0" w:color="auto"/>
        <w:right w:val="none" w:sz="0" w:space="0" w:color="auto"/>
      </w:divBdr>
      <w:divsChild>
        <w:div w:id="47338949">
          <w:marLeft w:val="274"/>
          <w:marRight w:val="0"/>
          <w:marTop w:val="0"/>
          <w:marBottom w:val="60"/>
          <w:divBdr>
            <w:top w:val="none" w:sz="0" w:space="0" w:color="auto"/>
            <w:left w:val="none" w:sz="0" w:space="0" w:color="auto"/>
            <w:bottom w:val="none" w:sz="0" w:space="0" w:color="auto"/>
            <w:right w:val="none" w:sz="0" w:space="0" w:color="auto"/>
          </w:divBdr>
        </w:div>
        <w:div w:id="260920167">
          <w:marLeft w:val="274"/>
          <w:marRight w:val="0"/>
          <w:marTop w:val="0"/>
          <w:marBottom w:val="60"/>
          <w:divBdr>
            <w:top w:val="none" w:sz="0" w:space="0" w:color="auto"/>
            <w:left w:val="none" w:sz="0" w:space="0" w:color="auto"/>
            <w:bottom w:val="none" w:sz="0" w:space="0" w:color="auto"/>
            <w:right w:val="none" w:sz="0" w:space="0" w:color="auto"/>
          </w:divBdr>
        </w:div>
        <w:div w:id="372584353">
          <w:marLeft w:val="274"/>
          <w:marRight w:val="0"/>
          <w:marTop w:val="0"/>
          <w:marBottom w:val="60"/>
          <w:divBdr>
            <w:top w:val="none" w:sz="0" w:space="0" w:color="auto"/>
            <w:left w:val="none" w:sz="0" w:space="0" w:color="auto"/>
            <w:bottom w:val="none" w:sz="0" w:space="0" w:color="auto"/>
            <w:right w:val="none" w:sz="0" w:space="0" w:color="auto"/>
          </w:divBdr>
        </w:div>
        <w:div w:id="464468351">
          <w:marLeft w:val="274"/>
          <w:marRight w:val="0"/>
          <w:marTop w:val="0"/>
          <w:marBottom w:val="60"/>
          <w:divBdr>
            <w:top w:val="none" w:sz="0" w:space="0" w:color="auto"/>
            <w:left w:val="none" w:sz="0" w:space="0" w:color="auto"/>
            <w:bottom w:val="none" w:sz="0" w:space="0" w:color="auto"/>
            <w:right w:val="none" w:sz="0" w:space="0" w:color="auto"/>
          </w:divBdr>
        </w:div>
        <w:div w:id="613369938">
          <w:marLeft w:val="274"/>
          <w:marRight w:val="0"/>
          <w:marTop w:val="0"/>
          <w:marBottom w:val="60"/>
          <w:divBdr>
            <w:top w:val="none" w:sz="0" w:space="0" w:color="auto"/>
            <w:left w:val="none" w:sz="0" w:space="0" w:color="auto"/>
            <w:bottom w:val="none" w:sz="0" w:space="0" w:color="auto"/>
            <w:right w:val="none" w:sz="0" w:space="0" w:color="auto"/>
          </w:divBdr>
        </w:div>
        <w:div w:id="728967182">
          <w:marLeft w:val="274"/>
          <w:marRight w:val="0"/>
          <w:marTop w:val="0"/>
          <w:marBottom w:val="60"/>
          <w:divBdr>
            <w:top w:val="none" w:sz="0" w:space="0" w:color="auto"/>
            <w:left w:val="none" w:sz="0" w:space="0" w:color="auto"/>
            <w:bottom w:val="none" w:sz="0" w:space="0" w:color="auto"/>
            <w:right w:val="none" w:sz="0" w:space="0" w:color="auto"/>
          </w:divBdr>
        </w:div>
        <w:div w:id="892043257">
          <w:marLeft w:val="274"/>
          <w:marRight w:val="0"/>
          <w:marTop w:val="0"/>
          <w:marBottom w:val="60"/>
          <w:divBdr>
            <w:top w:val="none" w:sz="0" w:space="0" w:color="auto"/>
            <w:left w:val="none" w:sz="0" w:space="0" w:color="auto"/>
            <w:bottom w:val="none" w:sz="0" w:space="0" w:color="auto"/>
            <w:right w:val="none" w:sz="0" w:space="0" w:color="auto"/>
          </w:divBdr>
        </w:div>
        <w:div w:id="1274941651">
          <w:marLeft w:val="274"/>
          <w:marRight w:val="0"/>
          <w:marTop w:val="0"/>
          <w:marBottom w:val="60"/>
          <w:divBdr>
            <w:top w:val="none" w:sz="0" w:space="0" w:color="auto"/>
            <w:left w:val="none" w:sz="0" w:space="0" w:color="auto"/>
            <w:bottom w:val="none" w:sz="0" w:space="0" w:color="auto"/>
            <w:right w:val="none" w:sz="0" w:space="0" w:color="auto"/>
          </w:divBdr>
        </w:div>
        <w:div w:id="1886522600">
          <w:marLeft w:val="274"/>
          <w:marRight w:val="0"/>
          <w:marTop w:val="0"/>
          <w:marBottom w:val="60"/>
          <w:divBdr>
            <w:top w:val="none" w:sz="0" w:space="0" w:color="auto"/>
            <w:left w:val="none" w:sz="0" w:space="0" w:color="auto"/>
            <w:bottom w:val="none" w:sz="0" w:space="0" w:color="auto"/>
            <w:right w:val="none" w:sz="0" w:space="0" w:color="auto"/>
          </w:divBdr>
        </w:div>
      </w:divsChild>
    </w:div>
    <w:div w:id="2100561282">
      <w:bodyDiv w:val="1"/>
      <w:marLeft w:val="0"/>
      <w:marRight w:val="0"/>
      <w:marTop w:val="0"/>
      <w:marBottom w:val="0"/>
      <w:divBdr>
        <w:top w:val="none" w:sz="0" w:space="0" w:color="auto"/>
        <w:left w:val="none" w:sz="0" w:space="0" w:color="auto"/>
        <w:bottom w:val="none" w:sz="0" w:space="0" w:color="auto"/>
        <w:right w:val="none" w:sz="0" w:space="0" w:color="auto"/>
      </w:divBdr>
      <w:divsChild>
        <w:div w:id="77295764">
          <w:marLeft w:val="274"/>
          <w:marRight w:val="0"/>
          <w:marTop w:val="0"/>
          <w:marBottom w:val="120"/>
          <w:divBdr>
            <w:top w:val="none" w:sz="0" w:space="0" w:color="auto"/>
            <w:left w:val="none" w:sz="0" w:space="0" w:color="auto"/>
            <w:bottom w:val="none" w:sz="0" w:space="0" w:color="auto"/>
            <w:right w:val="none" w:sz="0" w:space="0" w:color="auto"/>
          </w:divBdr>
        </w:div>
      </w:divsChild>
    </w:div>
    <w:div w:id="2146504526">
      <w:bodyDiv w:val="1"/>
      <w:marLeft w:val="0"/>
      <w:marRight w:val="0"/>
      <w:marTop w:val="0"/>
      <w:marBottom w:val="0"/>
      <w:divBdr>
        <w:top w:val="none" w:sz="0" w:space="0" w:color="auto"/>
        <w:left w:val="none" w:sz="0" w:space="0" w:color="auto"/>
        <w:bottom w:val="none" w:sz="0" w:space="0" w:color="auto"/>
        <w:right w:val="none" w:sz="0" w:space="0" w:color="auto"/>
      </w:divBdr>
      <w:divsChild>
        <w:div w:id="435516315">
          <w:marLeft w:val="274"/>
          <w:marRight w:val="0"/>
          <w:marTop w:val="0"/>
          <w:marBottom w:val="120"/>
          <w:divBdr>
            <w:top w:val="none" w:sz="0" w:space="0" w:color="auto"/>
            <w:left w:val="none" w:sz="0" w:space="0" w:color="auto"/>
            <w:bottom w:val="none" w:sz="0" w:space="0" w:color="auto"/>
            <w:right w:val="none" w:sz="0" w:space="0" w:color="auto"/>
          </w:divBdr>
        </w:div>
        <w:div w:id="1118446429">
          <w:marLeft w:val="274"/>
          <w:marRight w:val="0"/>
          <w:marTop w:val="0"/>
          <w:marBottom w:val="120"/>
          <w:divBdr>
            <w:top w:val="none" w:sz="0" w:space="0" w:color="auto"/>
            <w:left w:val="none" w:sz="0" w:space="0" w:color="auto"/>
            <w:bottom w:val="none" w:sz="0" w:space="0" w:color="auto"/>
            <w:right w:val="none" w:sz="0" w:space="0" w:color="auto"/>
          </w:divBdr>
        </w:div>
        <w:div w:id="1820030885">
          <w:marLeft w:val="274"/>
          <w:marRight w:val="0"/>
          <w:marTop w:val="0"/>
          <w:marBottom w:val="120"/>
          <w:divBdr>
            <w:top w:val="none" w:sz="0" w:space="0" w:color="auto"/>
            <w:left w:val="none" w:sz="0" w:space="0" w:color="auto"/>
            <w:bottom w:val="none" w:sz="0" w:space="0" w:color="auto"/>
            <w:right w:val="none" w:sz="0" w:space="0" w:color="auto"/>
          </w:divBdr>
        </w:div>
        <w:div w:id="1963875718">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Liabiity Benchmark £m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Loans CFR</c:v>
                </c:pt>
              </c:strCache>
            </c:strRef>
          </c:tx>
          <c:spPr>
            <a:ln w="28575" cap="rnd">
              <a:solidFill>
                <a:schemeClr val="accent1"/>
              </a:solidFill>
              <a:round/>
            </a:ln>
            <a:effectLst/>
          </c:spPr>
          <c:marker>
            <c:symbol val="none"/>
          </c:marker>
          <c:cat>
            <c:strRef>
              <c:f>Sheet1!$B$1:$F$1</c:f>
              <c:strCache>
                <c:ptCount val="5"/>
                <c:pt idx="0">
                  <c:v>31.3.25</c:v>
                </c:pt>
                <c:pt idx="1">
                  <c:v>31.3.26</c:v>
                </c:pt>
                <c:pt idx="2">
                  <c:v>31.3.27</c:v>
                </c:pt>
                <c:pt idx="3">
                  <c:v>31.3.28</c:v>
                </c:pt>
                <c:pt idx="4">
                  <c:v>31.3.29</c:v>
                </c:pt>
              </c:strCache>
            </c:strRef>
          </c:cat>
          <c:val>
            <c:numRef>
              <c:f>Sheet1!$B$2:$F$2</c:f>
              <c:numCache>
                <c:formatCode>#,##0.0_ ;[Red]\-#,##0.0\ </c:formatCode>
                <c:ptCount val="5"/>
                <c:pt idx="0">
                  <c:v>54.3</c:v>
                </c:pt>
                <c:pt idx="1">
                  <c:v>86.4</c:v>
                </c:pt>
                <c:pt idx="2">
                  <c:v>85.899999999999991</c:v>
                </c:pt>
                <c:pt idx="3">
                  <c:v>84.1</c:v>
                </c:pt>
                <c:pt idx="4">
                  <c:v>83.6</c:v>
                </c:pt>
              </c:numCache>
            </c:numRef>
          </c:val>
          <c:smooth val="0"/>
          <c:extLst>
            <c:ext xmlns:c16="http://schemas.microsoft.com/office/drawing/2014/chart" uri="{C3380CC4-5D6E-409C-BE32-E72D297353CC}">
              <c16:uniqueId val="{00000000-08A1-4003-9DD1-8B94BC570872}"/>
            </c:ext>
          </c:extLst>
        </c:ser>
        <c:ser>
          <c:idx val="1"/>
          <c:order val="1"/>
          <c:tx>
            <c:strRef>
              <c:f>Sheet1!$A$3</c:f>
              <c:strCache>
                <c:ptCount val="1"/>
                <c:pt idx="0">
                  <c:v>Net loans requirement</c:v>
                </c:pt>
              </c:strCache>
            </c:strRef>
          </c:tx>
          <c:spPr>
            <a:ln w="28575" cap="rnd">
              <a:solidFill>
                <a:schemeClr val="accent2"/>
              </a:solidFill>
              <a:round/>
            </a:ln>
            <a:effectLst/>
          </c:spPr>
          <c:marker>
            <c:symbol val="none"/>
          </c:marker>
          <c:cat>
            <c:strRef>
              <c:f>Sheet1!$B$1:$F$1</c:f>
              <c:strCache>
                <c:ptCount val="5"/>
                <c:pt idx="0">
                  <c:v>31.3.25</c:v>
                </c:pt>
                <c:pt idx="1">
                  <c:v>31.3.26</c:v>
                </c:pt>
                <c:pt idx="2">
                  <c:v>31.3.27</c:v>
                </c:pt>
                <c:pt idx="3">
                  <c:v>31.3.28</c:v>
                </c:pt>
                <c:pt idx="4">
                  <c:v>31.3.29</c:v>
                </c:pt>
              </c:strCache>
            </c:strRef>
          </c:cat>
          <c:val>
            <c:numRef>
              <c:f>Sheet1!$B$3:$F$3</c:f>
              <c:numCache>
                <c:formatCode>#,##0.0_ ;[Red]\-#,##0.0\ </c:formatCode>
                <c:ptCount val="5"/>
                <c:pt idx="0">
                  <c:v>4.7999999999999972</c:v>
                </c:pt>
                <c:pt idx="1">
                  <c:v>36.900000000000006</c:v>
                </c:pt>
                <c:pt idx="2">
                  <c:v>36.399999999999991</c:v>
                </c:pt>
                <c:pt idx="3">
                  <c:v>34.599999999999994</c:v>
                </c:pt>
                <c:pt idx="4">
                  <c:v>34.099999999999994</c:v>
                </c:pt>
              </c:numCache>
            </c:numRef>
          </c:val>
          <c:smooth val="0"/>
          <c:extLst>
            <c:ext xmlns:c16="http://schemas.microsoft.com/office/drawing/2014/chart" uri="{C3380CC4-5D6E-409C-BE32-E72D297353CC}">
              <c16:uniqueId val="{00000001-08A1-4003-9DD1-8B94BC570872}"/>
            </c:ext>
          </c:extLst>
        </c:ser>
        <c:ser>
          <c:idx val="2"/>
          <c:order val="2"/>
          <c:tx>
            <c:strRef>
              <c:f>Sheet1!$A$4</c:f>
              <c:strCache>
                <c:ptCount val="1"/>
                <c:pt idx="0">
                  <c:v>Liability benchmark</c:v>
                </c:pt>
              </c:strCache>
            </c:strRef>
          </c:tx>
          <c:spPr>
            <a:ln w="28575" cap="rnd">
              <a:solidFill>
                <a:schemeClr val="accent3"/>
              </a:solidFill>
              <a:round/>
            </a:ln>
            <a:effectLst/>
          </c:spPr>
          <c:marker>
            <c:symbol val="none"/>
          </c:marker>
          <c:cat>
            <c:strRef>
              <c:f>Sheet1!$B$1:$F$1</c:f>
              <c:strCache>
                <c:ptCount val="5"/>
                <c:pt idx="0">
                  <c:v>31.3.25</c:v>
                </c:pt>
                <c:pt idx="1">
                  <c:v>31.3.26</c:v>
                </c:pt>
                <c:pt idx="2">
                  <c:v>31.3.27</c:v>
                </c:pt>
                <c:pt idx="3">
                  <c:v>31.3.28</c:v>
                </c:pt>
                <c:pt idx="4">
                  <c:v>31.3.29</c:v>
                </c:pt>
              </c:strCache>
            </c:strRef>
          </c:cat>
          <c:val>
            <c:numRef>
              <c:f>Sheet1!$B$4:$F$4</c:f>
              <c:numCache>
                <c:formatCode>#,##0.0_ ;[Red]\-#,##0.0\ </c:formatCode>
                <c:ptCount val="5"/>
                <c:pt idx="0">
                  <c:v>14.799999999999997</c:v>
                </c:pt>
                <c:pt idx="1">
                  <c:v>46.900000000000006</c:v>
                </c:pt>
                <c:pt idx="2">
                  <c:v>46.399999999999991</c:v>
                </c:pt>
                <c:pt idx="3">
                  <c:v>44.599999999999994</c:v>
                </c:pt>
                <c:pt idx="4">
                  <c:v>44.099999999999994</c:v>
                </c:pt>
              </c:numCache>
            </c:numRef>
          </c:val>
          <c:smooth val="0"/>
          <c:extLst>
            <c:ext xmlns:c16="http://schemas.microsoft.com/office/drawing/2014/chart" uri="{C3380CC4-5D6E-409C-BE32-E72D297353CC}">
              <c16:uniqueId val="{00000002-08A1-4003-9DD1-8B94BC570872}"/>
            </c:ext>
          </c:extLst>
        </c:ser>
        <c:dLbls>
          <c:showLegendKey val="0"/>
          <c:showVal val="0"/>
          <c:showCatName val="0"/>
          <c:showSerName val="0"/>
          <c:showPercent val="0"/>
          <c:showBubbleSize val="0"/>
        </c:dLbls>
        <c:smooth val="0"/>
        <c:axId val="453424400"/>
        <c:axId val="34102400"/>
      </c:lineChart>
      <c:dateAx>
        <c:axId val="45342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02400"/>
        <c:crosses val="autoZero"/>
        <c:auto val="0"/>
        <c:lblOffset val="100"/>
        <c:baseTimeUnit val="days"/>
      </c:dateAx>
      <c:valAx>
        <c:axId val="34102400"/>
        <c:scaling>
          <c:orientation val="minMax"/>
          <c:min val="-5"/>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424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5b49a6-b746-41bd-866f-d8359e45cde9">
      <UserInfo>
        <DisplayName>Philip Wilson 46062174</DisplayName>
        <AccountId>459</AccountId>
        <AccountType/>
      </UserInfo>
      <UserInfo>
        <DisplayName>Jonathan Castle 46062049</DisplayName>
        <AccountId>57</AccountId>
        <AccountType/>
      </UserInfo>
      <UserInfo>
        <DisplayName>Rob Phillips 46059722</DisplayName>
        <AccountId>27</AccountId>
        <AccountType/>
      </UserInfo>
    </SharedWithUsers>
    <lcf76f155ced4ddcb4097134ff3c332f xmlns="12027084-fd86-4dce-99a2-a4f647ec8a2b">
      <Terms xmlns="http://schemas.microsoft.com/office/infopath/2007/PartnerControls"/>
    </lcf76f155ced4ddcb4097134ff3c332f>
    <TaxCatchAll xmlns="7a5b49a6-b746-41bd-866f-d8359e45cde9" xsi:nil="true"/>
    <PersonalData xmlns="12027084-fd86-4dce-99a2-a4f647ec8a2b" xsi:nil="true"/>
    <ReviewDate xmlns="12027084-fd86-4dce-99a2-a4f647ec8a2b" xsi:nil="true"/>
    <PaperNo_x002e_ xmlns="12027084-fd86-4dce-99a2-a4f647ec8a2b" xsi:nil="true"/>
    <_Flow_SignoffStatus xmlns="12027084-fd86-4dce-99a2-a4f647ec8a2b" xsi:nil="true"/>
    <Contactstrategy xmlns="12027084-fd86-4dce-99a2-a4f647ec8a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8" ma:contentTypeDescription="Create a new document." ma:contentTypeScope="" ma:versionID="1616af3e9ed1d655389c3c4ad8ea2acf">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7dc88f17a341f324269782306f024f7"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4010A-F210-4328-BA4E-5B050286FA89}">
  <ds:schemaRefs>
    <ds:schemaRef ds:uri="http://schemas.microsoft.com/office/2006/metadata/properties"/>
    <ds:schemaRef ds:uri="http://schemas.microsoft.com/office/infopath/2007/PartnerControls"/>
    <ds:schemaRef ds:uri="7a5b49a6-b746-41bd-866f-d8359e45cde9"/>
    <ds:schemaRef ds:uri="12027084-fd86-4dce-99a2-a4f647ec8a2b"/>
  </ds:schemaRefs>
</ds:datastoreItem>
</file>

<file path=customXml/itemProps2.xml><?xml version="1.0" encoding="utf-8"?>
<ds:datastoreItem xmlns:ds="http://schemas.openxmlformats.org/officeDocument/2006/customXml" ds:itemID="{B532207A-EC6E-4835-9C74-40FBF817785A}">
  <ds:schemaRefs>
    <ds:schemaRef ds:uri="http://schemas.microsoft.com/sharepoint/v3/contenttype/forms"/>
  </ds:schemaRefs>
</ds:datastoreItem>
</file>

<file path=customXml/itemProps3.xml><?xml version="1.0" encoding="utf-8"?>
<ds:datastoreItem xmlns:ds="http://schemas.openxmlformats.org/officeDocument/2006/customXml" ds:itemID="{251946CE-D4A2-45AE-863A-7CE86E574D8C}">
  <ds:schemaRefs>
    <ds:schemaRef ds:uri="http://schemas.openxmlformats.org/officeDocument/2006/bibliography"/>
  </ds:schemaRefs>
</ds:datastoreItem>
</file>

<file path=customXml/itemProps4.xml><?xml version="1.0" encoding="utf-8"?>
<ds:datastoreItem xmlns:ds="http://schemas.openxmlformats.org/officeDocument/2006/customXml" ds:itemID="{38AA5646-A489-4655-8BD9-46193572A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5380</Words>
  <Characters>28839</Characters>
  <Application>Microsoft Office Word</Application>
  <DocSecurity>0</DocSecurity>
  <Lines>655</Lines>
  <Paragraphs>412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Horsfield</dc:creator>
  <cp:keywords/>
  <cp:lastModifiedBy>Neil Wickens 46052972</cp:lastModifiedBy>
  <cp:revision>2</cp:revision>
  <cp:lastPrinted>2016-11-12T01:47:00Z</cp:lastPrinted>
  <dcterms:created xsi:type="dcterms:W3CDTF">2026-06-05T15:40:00Z</dcterms:created>
  <dcterms:modified xsi:type="dcterms:W3CDTF">2026-06-05T15:40:00Z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Order">
    <vt:r8>1923200</vt:r8>
  </property>
  <property fmtid="{D5CDD505-2E9C-101B-9397-08002B2CF9AE}" pid="4" name="MSIP_Label_8f716d1d-13e1-4569-9dd0-bef6621415c1_Enabled">
    <vt:lpwstr>true</vt:lpwstr>
  </property>
  <property fmtid="{D5CDD505-2E9C-101B-9397-08002B2CF9AE}" pid="5" name="MSIP_Label_8f716d1d-13e1-4569-9dd0-bef6621415c1_SetDate">
    <vt:lpwstr>2023-01-31T10:42:57Z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a3ab0a15-3c6e-43e0-8e6d-a9991f43ba1c</vt:lpwstr>
  </property>
  <property fmtid="{D5CDD505-2E9C-101B-9397-08002B2CF9AE}" pid="10" name="MSIP_Label_8f716d1d-13e1-4569-9dd0-bef6621415c1_ContentBits">
    <vt:lpwstr>0</vt:lpwstr>
  </property>
  <property fmtid="{D5CDD505-2E9C-101B-9397-08002B2CF9AE}" pid="11" name="MediaServiceImageTags">
    <vt:lpwstr/>
  </property>
  <property fmtid="{D5CDD505-2E9C-101B-9397-08002B2CF9AE}" pid="12" name="docLang">
    <vt:lpwstr>en</vt:lpwstr>
  </property>
</Properties>
</file>