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7261" w14:textId="77777777" w:rsidR="00FE38DA" w:rsidRPr="00FE38DA" w:rsidRDefault="00FE38DA" w:rsidP="00FE38DA">
      <w:pPr>
        <w:pStyle w:val="ListParagraph"/>
        <w:spacing w:line="240" w:lineRule="auto"/>
        <w:jc w:val="center"/>
        <w:rPr>
          <w:rFonts w:cs="Arial"/>
          <w:b/>
          <w:sz w:val="28"/>
          <w:szCs w:val="28"/>
        </w:rPr>
      </w:pPr>
      <w:r w:rsidRPr="00FE38DA">
        <w:rPr>
          <w:rFonts w:cs="Arial"/>
          <w:b/>
          <w:sz w:val="28"/>
          <w:szCs w:val="28"/>
        </w:rPr>
        <w:t>Kent Police and Crime Commissioner</w:t>
      </w:r>
    </w:p>
    <w:p w14:paraId="572EDF35" w14:textId="60A78A54" w:rsidR="00A34A45" w:rsidRDefault="00A34A45" w:rsidP="00FE38DA">
      <w:pPr>
        <w:pStyle w:val="ListParagraph"/>
        <w:spacing w:line="240" w:lineRule="auto"/>
        <w:jc w:val="center"/>
        <w:rPr>
          <w:rFonts w:cs="Arial"/>
          <w:b/>
          <w:sz w:val="28"/>
          <w:szCs w:val="28"/>
        </w:rPr>
      </w:pPr>
      <w:r w:rsidRPr="00FE38DA">
        <w:rPr>
          <w:rFonts w:cs="Arial"/>
          <w:b/>
          <w:sz w:val="28"/>
          <w:szCs w:val="28"/>
        </w:rPr>
        <w:t>Reserves Strategy</w:t>
      </w:r>
      <w:r w:rsidR="00B45712">
        <w:rPr>
          <w:rFonts w:cs="Arial"/>
          <w:b/>
          <w:sz w:val="28"/>
          <w:szCs w:val="28"/>
        </w:rPr>
        <w:t xml:space="preserve"> 202</w:t>
      </w:r>
      <w:r w:rsidR="00F533BA">
        <w:rPr>
          <w:rFonts w:cs="Arial"/>
          <w:b/>
          <w:sz w:val="28"/>
          <w:szCs w:val="28"/>
        </w:rPr>
        <w:t>6</w:t>
      </w:r>
      <w:r w:rsidR="00B45712">
        <w:rPr>
          <w:rFonts w:cs="Arial"/>
          <w:b/>
          <w:sz w:val="28"/>
          <w:szCs w:val="28"/>
        </w:rPr>
        <w:t>/202</w:t>
      </w:r>
      <w:r w:rsidR="00F533BA">
        <w:rPr>
          <w:rFonts w:cs="Arial"/>
          <w:b/>
          <w:sz w:val="28"/>
          <w:szCs w:val="28"/>
        </w:rPr>
        <w:t>7</w:t>
      </w:r>
    </w:p>
    <w:p w14:paraId="3C35EAB7" w14:textId="77777777" w:rsidR="00B45712" w:rsidRPr="00FE38DA" w:rsidRDefault="00B45712" w:rsidP="00FE38DA">
      <w:pPr>
        <w:pStyle w:val="ListParagraph"/>
        <w:spacing w:line="240" w:lineRule="auto"/>
        <w:jc w:val="center"/>
        <w:rPr>
          <w:rFonts w:cs="Arial"/>
          <w:b/>
          <w:sz w:val="28"/>
          <w:szCs w:val="28"/>
        </w:rPr>
      </w:pPr>
    </w:p>
    <w:p w14:paraId="7B7A4EFC" w14:textId="77777777" w:rsidR="00C01927" w:rsidRPr="00AA3B43" w:rsidRDefault="00C01927" w:rsidP="00AA3B43">
      <w:pPr>
        <w:pStyle w:val="ListParagraph"/>
        <w:spacing w:line="240" w:lineRule="auto"/>
        <w:contextualSpacing w:val="0"/>
        <w:jc w:val="both"/>
        <w:rPr>
          <w:rFonts w:cs="Arial"/>
          <w:b/>
        </w:rPr>
      </w:pPr>
      <w:r w:rsidRPr="00AA3B43">
        <w:rPr>
          <w:rFonts w:cs="Arial"/>
          <w:b/>
        </w:rPr>
        <w:t>Introduction</w:t>
      </w:r>
    </w:p>
    <w:p w14:paraId="75E4AF99" w14:textId="2031F09D" w:rsidR="00641AB4" w:rsidRPr="00AA3B43" w:rsidRDefault="00641AB4" w:rsidP="00AA3B43">
      <w:pPr>
        <w:pStyle w:val="ListParagraph"/>
        <w:numPr>
          <w:ilvl w:val="0"/>
          <w:numId w:val="1"/>
        </w:numPr>
        <w:spacing w:line="240" w:lineRule="auto"/>
        <w:contextualSpacing w:val="0"/>
        <w:jc w:val="both"/>
        <w:rPr>
          <w:rFonts w:cs="Arial"/>
        </w:rPr>
      </w:pPr>
      <w:r w:rsidRPr="00AA3B43">
        <w:rPr>
          <w:rFonts w:cs="Arial"/>
        </w:rPr>
        <w:t>An important element of the P</w:t>
      </w:r>
      <w:r w:rsidR="00683B68" w:rsidRPr="00AA3B43">
        <w:rPr>
          <w:rFonts w:cs="Arial"/>
        </w:rPr>
        <w:t xml:space="preserve">olice and Crime </w:t>
      </w:r>
      <w:r w:rsidR="00722C9A" w:rsidRPr="00AA3B43">
        <w:rPr>
          <w:rFonts w:cs="Arial"/>
        </w:rPr>
        <w:t>Commissioner’s</w:t>
      </w:r>
      <w:r w:rsidR="00683B68" w:rsidRPr="00AA3B43">
        <w:rPr>
          <w:rFonts w:cs="Arial"/>
        </w:rPr>
        <w:t xml:space="preserve"> (PCC</w:t>
      </w:r>
      <w:r w:rsidR="001A2D9E">
        <w:rPr>
          <w:rFonts w:cs="Arial"/>
        </w:rPr>
        <w:t>’s</w:t>
      </w:r>
      <w:r w:rsidR="00683B68" w:rsidRPr="00AA3B43">
        <w:rPr>
          <w:rFonts w:cs="Arial"/>
        </w:rPr>
        <w:t>)</w:t>
      </w:r>
      <w:r w:rsidRPr="00AA3B43">
        <w:rPr>
          <w:rFonts w:cs="Arial"/>
        </w:rPr>
        <w:t xml:space="preserve"> overall financial strategy </w:t>
      </w:r>
      <w:r w:rsidR="00F339E4" w:rsidRPr="00AA3B43">
        <w:rPr>
          <w:rFonts w:cs="Arial"/>
        </w:rPr>
        <w:t>are</w:t>
      </w:r>
      <w:r w:rsidRPr="00AA3B43">
        <w:rPr>
          <w:rFonts w:cs="Arial"/>
        </w:rPr>
        <w:t xml:space="preserve"> </w:t>
      </w:r>
      <w:r w:rsidR="00BF1B3D" w:rsidRPr="00AA3B43">
        <w:rPr>
          <w:rFonts w:cs="Arial"/>
        </w:rPr>
        <w:t>the reserves</w:t>
      </w:r>
      <w:r w:rsidR="00790B56" w:rsidRPr="00AA3B43">
        <w:rPr>
          <w:rFonts w:cs="Arial"/>
        </w:rPr>
        <w:t xml:space="preserve"> held</w:t>
      </w:r>
      <w:r w:rsidRPr="00AA3B43">
        <w:rPr>
          <w:rFonts w:cs="Arial"/>
        </w:rPr>
        <w:t xml:space="preserve"> over the life of the </w:t>
      </w:r>
      <w:r w:rsidR="00ED0BC6">
        <w:rPr>
          <w:rFonts w:cs="Arial"/>
        </w:rPr>
        <w:t>M</w:t>
      </w:r>
      <w:r w:rsidR="00FE3F29" w:rsidRPr="00AA3B43">
        <w:rPr>
          <w:rFonts w:cs="Arial"/>
        </w:rPr>
        <w:t>edium-</w:t>
      </w:r>
      <w:r w:rsidR="00ED0BC6">
        <w:rPr>
          <w:rFonts w:cs="Arial"/>
        </w:rPr>
        <w:t>T</w:t>
      </w:r>
      <w:r w:rsidR="00FE3F29" w:rsidRPr="00AA3B43">
        <w:rPr>
          <w:rFonts w:cs="Arial"/>
        </w:rPr>
        <w:t>erm</w:t>
      </w:r>
      <w:r w:rsidRPr="00AA3B43">
        <w:rPr>
          <w:rFonts w:cs="Arial"/>
        </w:rPr>
        <w:t xml:space="preserve"> </w:t>
      </w:r>
      <w:r w:rsidR="00ED0BC6">
        <w:rPr>
          <w:rFonts w:cs="Arial"/>
        </w:rPr>
        <w:t>F</w:t>
      </w:r>
      <w:r w:rsidRPr="00AA3B43">
        <w:rPr>
          <w:rFonts w:cs="Arial"/>
        </w:rPr>
        <w:t xml:space="preserve">inancial </w:t>
      </w:r>
      <w:r w:rsidR="00ED0BC6">
        <w:rPr>
          <w:rFonts w:cs="Arial"/>
        </w:rPr>
        <w:t>P</w:t>
      </w:r>
      <w:r w:rsidRPr="00AA3B43">
        <w:rPr>
          <w:rFonts w:cs="Arial"/>
        </w:rPr>
        <w:t>lan</w:t>
      </w:r>
      <w:r w:rsidR="00ED0BC6">
        <w:rPr>
          <w:rFonts w:cs="Arial"/>
        </w:rPr>
        <w:t xml:space="preserve"> (MTFP)</w:t>
      </w:r>
      <w:r w:rsidRPr="00AA3B43">
        <w:rPr>
          <w:rFonts w:cs="Arial"/>
        </w:rPr>
        <w:t xml:space="preserve">. </w:t>
      </w:r>
      <w:r w:rsidR="00C43B0D" w:rsidRPr="00AA3B43">
        <w:rPr>
          <w:rFonts w:cs="Arial"/>
        </w:rPr>
        <w:t xml:space="preserve">This strategy </w:t>
      </w:r>
      <w:r w:rsidR="00F339E4" w:rsidRPr="00AA3B43">
        <w:rPr>
          <w:rFonts w:cs="Arial"/>
        </w:rPr>
        <w:t xml:space="preserve">outlines the level of reserves, </w:t>
      </w:r>
      <w:r w:rsidR="00EC1259" w:rsidRPr="00AA3B43">
        <w:rPr>
          <w:rFonts w:cs="Arial"/>
        </w:rPr>
        <w:t>h</w:t>
      </w:r>
      <w:r w:rsidR="00EB6608" w:rsidRPr="00AA3B43">
        <w:rPr>
          <w:rFonts w:cs="Arial"/>
        </w:rPr>
        <w:t>ow and why</w:t>
      </w:r>
      <w:r w:rsidR="00EC1259" w:rsidRPr="00AA3B43">
        <w:rPr>
          <w:rFonts w:cs="Arial"/>
        </w:rPr>
        <w:t xml:space="preserve"> those reserves are held and any planned use of or transfer to reserves during the period covered.</w:t>
      </w:r>
    </w:p>
    <w:p w14:paraId="6131771E" w14:textId="77777777" w:rsidR="00EB6608" w:rsidRPr="00AA3B43" w:rsidRDefault="00EB6608" w:rsidP="00AA3B43">
      <w:pPr>
        <w:spacing w:line="240" w:lineRule="auto"/>
        <w:jc w:val="both"/>
        <w:rPr>
          <w:rFonts w:cs="Arial"/>
        </w:rPr>
      </w:pPr>
    </w:p>
    <w:p w14:paraId="41B3A186" w14:textId="25022098" w:rsidR="00DE3727" w:rsidRPr="00AA3B43" w:rsidRDefault="00641AB4" w:rsidP="00AA3B43">
      <w:pPr>
        <w:pStyle w:val="ListParagraph"/>
        <w:numPr>
          <w:ilvl w:val="0"/>
          <w:numId w:val="1"/>
        </w:numPr>
        <w:spacing w:line="240" w:lineRule="auto"/>
        <w:contextualSpacing w:val="0"/>
        <w:jc w:val="both"/>
        <w:rPr>
          <w:rFonts w:cs="Arial"/>
          <w:b/>
        </w:rPr>
      </w:pPr>
      <w:r w:rsidRPr="00AA3B43">
        <w:rPr>
          <w:rFonts w:cs="Arial"/>
        </w:rPr>
        <w:t xml:space="preserve">The </w:t>
      </w:r>
      <w:r w:rsidR="00430F5C">
        <w:rPr>
          <w:rFonts w:cs="Arial"/>
        </w:rPr>
        <w:t>R</w:t>
      </w:r>
      <w:r w:rsidRPr="00AA3B43">
        <w:rPr>
          <w:rFonts w:cs="Arial"/>
        </w:rPr>
        <w:t xml:space="preserve">eserves </w:t>
      </w:r>
      <w:r w:rsidR="00430F5C">
        <w:rPr>
          <w:rFonts w:cs="Arial"/>
        </w:rPr>
        <w:t>S</w:t>
      </w:r>
      <w:r w:rsidRPr="00AA3B43">
        <w:rPr>
          <w:rFonts w:cs="Arial"/>
        </w:rPr>
        <w:t xml:space="preserve">trategy </w:t>
      </w:r>
      <w:r w:rsidR="00B45712" w:rsidRPr="00AA3B43">
        <w:rPr>
          <w:rFonts w:cs="Arial"/>
        </w:rPr>
        <w:t>is</w:t>
      </w:r>
      <w:r w:rsidRPr="00AA3B43">
        <w:rPr>
          <w:rFonts w:cs="Arial"/>
        </w:rPr>
        <w:t xml:space="preserve"> published as part of the Police and Crime Plan and Budget Papers reported to the Police and Crime Panel in February each year. </w:t>
      </w:r>
      <w:r w:rsidR="007769A6" w:rsidRPr="00AA3B43">
        <w:rPr>
          <w:rFonts w:cs="Arial"/>
        </w:rPr>
        <w:t xml:space="preserve">Alongside the </w:t>
      </w:r>
      <w:r w:rsidR="005F54A2" w:rsidRPr="00AA3B43">
        <w:rPr>
          <w:rFonts w:cs="Arial"/>
        </w:rPr>
        <w:t>MTFP</w:t>
      </w:r>
      <w:r w:rsidR="007769A6" w:rsidRPr="00AA3B43">
        <w:rPr>
          <w:rFonts w:cs="Arial"/>
        </w:rPr>
        <w:t>, Capital Strategy, Commissioning Strategy</w:t>
      </w:r>
      <w:r w:rsidR="0006684F">
        <w:rPr>
          <w:rFonts w:cs="Arial"/>
        </w:rPr>
        <w:t xml:space="preserve">, </w:t>
      </w:r>
      <w:r w:rsidR="007769A6" w:rsidRPr="00AA3B43">
        <w:rPr>
          <w:rFonts w:cs="Arial"/>
        </w:rPr>
        <w:t xml:space="preserve">the Treasury </w:t>
      </w:r>
      <w:r w:rsidR="00683B68" w:rsidRPr="00AA3B43">
        <w:rPr>
          <w:rFonts w:cs="Arial"/>
        </w:rPr>
        <w:t>M</w:t>
      </w:r>
      <w:r w:rsidR="007769A6" w:rsidRPr="00AA3B43">
        <w:rPr>
          <w:rFonts w:cs="Arial"/>
        </w:rPr>
        <w:t>anagement Strategy and Minimum Revenue Provision policy</w:t>
      </w:r>
      <w:r w:rsidR="0006684F">
        <w:rPr>
          <w:rFonts w:cs="Arial"/>
        </w:rPr>
        <w:t xml:space="preserve">, the Reserves Strategy </w:t>
      </w:r>
      <w:r w:rsidRPr="00AA3B43">
        <w:rPr>
          <w:rFonts w:cs="Arial"/>
        </w:rPr>
        <w:t>form</w:t>
      </w:r>
      <w:r w:rsidR="00683B68" w:rsidRPr="00AA3B43">
        <w:rPr>
          <w:rFonts w:cs="Arial"/>
        </w:rPr>
        <w:t>s</w:t>
      </w:r>
      <w:r w:rsidRPr="00AA3B43">
        <w:rPr>
          <w:rFonts w:cs="Arial"/>
        </w:rPr>
        <w:t xml:space="preserve"> part of the overall financial </w:t>
      </w:r>
      <w:r w:rsidR="007769A6" w:rsidRPr="00AA3B43">
        <w:rPr>
          <w:rFonts w:cs="Arial"/>
        </w:rPr>
        <w:t>strategy</w:t>
      </w:r>
      <w:r w:rsidR="002873B0" w:rsidRPr="00AA3B43">
        <w:rPr>
          <w:rFonts w:cs="Arial"/>
        </w:rPr>
        <w:t xml:space="preserve"> </w:t>
      </w:r>
      <w:r w:rsidR="007769A6" w:rsidRPr="00AA3B43">
        <w:rPr>
          <w:rFonts w:cs="Arial"/>
        </w:rPr>
        <w:t>of the Kent Police Group (the PCC and Force)</w:t>
      </w:r>
      <w:r w:rsidRPr="00AA3B43">
        <w:rPr>
          <w:rFonts w:cs="Arial"/>
        </w:rPr>
        <w:t>.</w:t>
      </w:r>
    </w:p>
    <w:p w14:paraId="0277874D" w14:textId="77777777" w:rsidR="00457656" w:rsidRPr="00AA3B43" w:rsidRDefault="00457656" w:rsidP="00AA3B43">
      <w:pPr>
        <w:pStyle w:val="ListParagraph"/>
        <w:spacing w:line="240" w:lineRule="auto"/>
        <w:contextualSpacing w:val="0"/>
        <w:rPr>
          <w:rFonts w:cs="Arial"/>
          <w:b/>
        </w:rPr>
      </w:pPr>
    </w:p>
    <w:p w14:paraId="0D209170" w14:textId="4C7BA475" w:rsidR="00457656" w:rsidRPr="00AA3B43" w:rsidRDefault="00457656" w:rsidP="00AA3B43">
      <w:pPr>
        <w:pStyle w:val="ListParagraph"/>
        <w:numPr>
          <w:ilvl w:val="0"/>
          <w:numId w:val="1"/>
        </w:numPr>
        <w:spacing w:line="240" w:lineRule="auto"/>
        <w:contextualSpacing w:val="0"/>
        <w:jc w:val="both"/>
        <w:rPr>
          <w:rFonts w:cs="Arial"/>
          <w:bCs/>
        </w:rPr>
      </w:pPr>
      <w:r w:rsidRPr="00AA3B43">
        <w:rPr>
          <w:rFonts w:cs="Arial"/>
          <w:bCs/>
        </w:rPr>
        <w:t>In line with the financial papers listed above, the Reserves Strategy is reviewed and updated on an annual basis.</w:t>
      </w:r>
      <w:r w:rsidR="00DC353D">
        <w:rPr>
          <w:rFonts w:cs="Arial"/>
          <w:bCs/>
        </w:rPr>
        <w:t xml:space="preserve"> </w:t>
      </w:r>
      <w:r w:rsidR="00C460C6">
        <w:rPr>
          <w:rFonts w:cs="Arial"/>
          <w:bCs/>
        </w:rPr>
        <w:t xml:space="preserve">The </w:t>
      </w:r>
      <w:r w:rsidR="00542ADB">
        <w:rPr>
          <w:rFonts w:cs="Arial"/>
          <w:bCs/>
        </w:rPr>
        <w:t xml:space="preserve">PCC </w:t>
      </w:r>
      <w:r w:rsidR="009C638F">
        <w:rPr>
          <w:rFonts w:cs="Arial"/>
          <w:bCs/>
        </w:rPr>
        <w:t>C</w:t>
      </w:r>
      <w:r w:rsidR="000C05E1">
        <w:rPr>
          <w:rFonts w:cs="Arial"/>
          <w:bCs/>
        </w:rPr>
        <w:t>hief Finance Officer (PCC CFO)</w:t>
      </w:r>
      <w:r w:rsidR="009C638F">
        <w:rPr>
          <w:rFonts w:cs="Arial"/>
          <w:bCs/>
        </w:rPr>
        <w:t xml:space="preserve"> statement on the adequacy of reserves is included within the Section 25 statement in the budget report.</w:t>
      </w:r>
    </w:p>
    <w:p w14:paraId="2348738A" w14:textId="77777777" w:rsidR="00DE3727" w:rsidRPr="00AA3B43" w:rsidRDefault="00DE3727" w:rsidP="00AA3B43">
      <w:pPr>
        <w:pStyle w:val="ListParagraph"/>
        <w:spacing w:line="240" w:lineRule="auto"/>
        <w:contextualSpacing w:val="0"/>
        <w:jc w:val="both"/>
        <w:rPr>
          <w:rFonts w:cs="Arial"/>
        </w:rPr>
      </w:pPr>
    </w:p>
    <w:p w14:paraId="2D853127" w14:textId="77777777" w:rsidR="00C01927" w:rsidRPr="00AA3B43" w:rsidRDefault="00C01927" w:rsidP="00AA3B43">
      <w:pPr>
        <w:pStyle w:val="ListParagraph"/>
        <w:spacing w:line="240" w:lineRule="auto"/>
        <w:contextualSpacing w:val="0"/>
        <w:jc w:val="both"/>
        <w:rPr>
          <w:rFonts w:cs="Arial"/>
          <w:b/>
        </w:rPr>
      </w:pPr>
      <w:r w:rsidRPr="00AA3B43">
        <w:rPr>
          <w:rFonts w:cs="Arial"/>
          <w:b/>
        </w:rPr>
        <w:t>Background</w:t>
      </w:r>
    </w:p>
    <w:p w14:paraId="561BC2E5" w14:textId="48B3898C" w:rsidR="003C0041" w:rsidRPr="00AA3B43" w:rsidRDefault="003C0041" w:rsidP="00AA3B43">
      <w:pPr>
        <w:pStyle w:val="ListParagraph"/>
        <w:numPr>
          <w:ilvl w:val="0"/>
          <w:numId w:val="1"/>
        </w:numPr>
        <w:spacing w:line="240" w:lineRule="auto"/>
        <w:contextualSpacing w:val="0"/>
        <w:jc w:val="both"/>
        <w:rPr>
          <w:rFonts w:cs="Arial"/>
        </w:rPr>
      </w:pPr>
      <w:r w:rsidRPr="00AA3B43">
        <w:rPr>
          <w:rFonts w:cs="Arial"/>
        </w:rPr>
        <w:t xml:space="preserve">Reserves are </w:t>
      </w:r>
      <w:r w:rsidR="002873B0" w:rsidRPr="00AA3B43">
        <w:rPr>
          <w:rFonts w:cs="Arial"/>
        </w:rPr>
        <w:t>held</w:t>
      </w:r>
      <w:r w:rsidRPr="00AA3B43">
        <w:rPr>
          <w:rFonts w:cs="Arial"/>
        </w:rPr>
        <w:t xml:space="preserve"> </w:t>
      </w:r>
      <w:r w:rsidR="001F2A48" w:rsidRPr="00AA3B43">
        <w:rPr>
          <w:rFonts w:cs="Arial"/>
        </w:rPr>
        <w:t xml:space="preserve">as </w:t>
      </w:r>
      <w:r w:rsidRPr="00AA3B43">
        <w:rPr>
          <w:rFonts w:cs="Arial"/>
        </w:rPr>
        <w:t xml:space="preserve">part of </w:t>
      </w:r>
      <w:r w:rsidR="001F2A48" w:rsidRPr="00AA3B43">
        <w:rPr>
          <w:rFonts w:cs="Arial"/>
        </w:rPr>
        <w:t xml:space="preserve">the </w:t>
      </w:r>
      <w:r w:rsidRPr="00AA3B43">
        <w:rPr>
          <w:rFonts w:cs="Arial"/>
        </w:rPr>
        <w:t xml:space="preserve">overall </w:t>
      </w:r>
      <w:r w:rsidR="00BF1B3D" w:rsidRPr="00AA3B43">
        <w:rPr>
          <w:rFonts w:cs="Arial"/>
        </w:rPr>
        <w:t>MTFP,</w:t>
      </w:r>
      <w:r w:rsidR="007769A6" w:rsidRPr="00AA3B43">
        <w:rPr>
          <w:rFonts w:cs="Arial"/>
        </w:rPr>
        <w:t xml:space="preserve"> and it forms part of </w:t>
      </w:r>
      <w:r w:rsidR="00BC2E04" w:rsidRPr="00AA3B43">
        <w:rPr>
          <w:rFonts w:cs="Arial"/>
        </w:rPr>
        <w:t>several</w:t>
      </w:r>
      <w:r w:rsidRPr="00AA3B43">
        <w:rPr>
          <w:rFonts w:cs="Arial"/>
        </w:rPr>
        <w:t xml:space="preserve"> legislative safeguards in place that help prevent the PCC from over-committing financially. These include:</w:t>
      </w:r>
    </w:p>
    <w:p w14:paraId="5B43E99B" w14:textId="77777777" w:rsidR="006B1C21" w:rsidRDefault="003C0041" w:rsidP="006B1C21">
      <w:pPr>
        <w:pStyle w:val="ListParagraph"/>
        <w:numPr>
          <w:ilvl w:val="1"/>
          <w:numId w:val="3"/>
        </w:numPr>
        <w:spacing w:line="240" w:lineRule="auto"/>
        <w:ind w:left="993" w:hanging="284"/>
        <w:contextualSpacing w:val="0"/>
        <w:jc w:val="both"/>
        <w:rPr>
          <w:rFonts w:cs="Arial"/>
          <w:bCs/>
        </w:rPr>
      </w:pPr>
      <w:r w:rsidRPr="006B1C21">
        <w:rPr>
          <w:rFonts w:cs="Arial"/>
          <w:bCs/>
        </w:rPr>
        <w:t xml:space="preserve">The requirement to set a balanced budget as set out within the </w:t>
      </w:r>
      <w:r w:rsidR="009B4FDD" w:rsidRPr="006B1C21">
        <w:rPr>
          <w:rFonts w:cs="Arial"/>
          <w:bCs/>
        </w:rPr>
        <w:t>Local Government Fi</w:t>
      </w:r>
      <w:r w:rsidRPr="006B1C21">
        <w:rPr>
          <w:rFonts w:cs="Arial"/>
          <w:bCs/>
        </w:rPr>
        <w:t>n</w:t>
      </w:r>
      <w:r w:rsidR="009B4FDD" w:rsidRPr="006B1C21">
        <w:rPr>
          <w:rFonts w:cs="Arial"/>
          <w:bCs/>
        </w:rPr>
        <w:t>a</w:t>
      </w:r>
      <w:r w:rsidRPr="006B1C21">
        <w:rPr>
          <w:rFonts w:cs="Arial"/>
          <w:bCs/>
        </w:rPr>
        <w:t>n</w:t>
      </w:r>
      <w:r w:rsidR="009B4FDD" w:rsidRPr="006B1C21">
        <w:rPr>
          <w:rFonts w:cs="Arial"/>
          <w:bCs/>
        </w:rPr>
        <w:t>c</w:t>
      </w:r>
      <w:r w:rsidRPr="006B1C21">
        <w:rPr>
          <w:rFonts w:cs="Arial"/>
          <w:bCs/>
        </w:rPr>
        <w:t>e Act 1992</w:t>
      </w:r>
      <w:r w:rsidR="00A47A50" w:rsidRPr="006B1C21">
        <w:rPr>
          <w:rFonts w:cs="Arial"/>
          <w:bCs/>
        </w:rPr>
        <w:t>.</w:t>
      </w:r>
    </w:p>
    <w:p w14:paraId="6531A014" w14:textId="40CE186B" w:rsidR="008D35B0" w:rsidRPr="008D35B0" w:rsidRDefault="003C0041" w:rsidP="008D35B0">
      <w:pPr>
        <w:pStyle w:val="ListParagraph"/>
        <w:numPr>
          <w:ilvl w:val="1"/>
          <w:numId w:val="3"/>
        </w:numPr>
        <w:spacing w:line="240" w:lineRule="auto"/>
        <w:ind w:left="993" w:hanging="284"/>
        <w:contextualSpacing w:val="0"/>
        <w:jc w:val="both"/>
        <w:rPr>
          <w:rFonts w:cs="Arial"/>
          <w:bCs/>
        </w:rPr>
      </w:pPr>
      <w:r w:rsidRPr="006B1C21">
        <w:rPr>
          <w:rFonts w:cs="Arial"/>
        </w:rPr>
        <w:t xml:space="preserve">The requirement for the PCC to make </w:t>
      </w:r>
      <w:r w:rsidR="008F5373" w:rsidRPr="006B1C21">
        <w:rPr>
          <w:rFonts w:cs="Arial"/>
        </w:rPr>
        <w:t>arrangements</w:t>
      </w:r>
      <w:r w:rsidRPr="006B1C21">
        <w:rPr>
          <w:rFonts w:cs="Arial"/>
        </w:rPr>
        <w:t xml:space="preserve"> for the proper administration of their financial affairs and the appointment of a </w:t>
      </w:r>
      <w:r w:rsidR="005B3411" w:rsidRPr="006B1C21">
        <w:rPr>
          <w:rFonts w:cs="Arial"/>
        </w:rPr>
        <w:t>Chief Financ</w:t>
      </w:r>
      <w:r w:rsidR="000D4C5E">
        <w:rPr>
          <w:rFonts w:cs="Arial"/>
        </w:rPr>
        <w:t>e</w:t>
      </w:r>
      <w:r w:rsidR="005B3411" w:rsidRPr="006B1C21">
        <w:rPr>
          <w:rFonts w:cs="Arial"/>
        </w:rPr>
        <w:t xml:space="preserve"> Officer </w:t>
      </w:r>
      <w:r w:rsidR="00BF1B3D" w:rsidRPr="006B1C21">
        <w:rPr>
          <w:rFonts w:cs="Arial"/>
        </w:rPr>
        <w:t>(</w:t>
      </w:r>
      <w:r w:rsidR="002C402D" w:rsidRPr="006B1C21">
        <w:rPr>
          <w:rFonts w:cs="Arial"/>
        </w:rPr>
        <w:t xml:space="preserve">the </w:t>
      </w:r>
      <w:r w:rsidR="00BF1B3D" w:rsidRPr="006B1C21">
        <w:rPr>
          <w:rFonts w:cs="Arial"/>
        </w:rPr>
        <w:t>PCC</w:t>
      </w:r>
      <w:r w:rsidR="00683B68" w:rsidRPr="006B1C21">
        <w:rPr>
          <w:rFonts w:cs="Arial"/>
        </w:rPr>
        <w:t xml:space="preserve"> </w:t>
      </w:r>
      <w:r w:rsidR="005B3411" w:rsidRPr="006B1C21">
        <w:rPr>
          <w:rFonts w:cs="Arial"/>
        </w:rPr>
        <w:t xml:space="preserve">CFO), </w:t>
      </w:r>
      <w:r w:rsidRPr="006B1C21">
        <w:rPr>
          <w:rFonts w:cs="Arial"/>
        </w:rPr>
        <w:t>or Section 151 Officer</w:t>
      </w:r>
      <w:r w:rsidR="005B3411" w:rsidRPr="006B1C21">
        <w:rPr>
          <w:rFonts w:cs="Arial"/>
        </w:rPr>
        <w:t>,</w:t>
      </w:r>
      <w:r w:rsidRPr="006B1C21">
        <w:rPr>
          <w:rFonts w:cs="Arial"/>
        </w:rPr>
        <w:t xml:space="preserve"> to take responsibility for </w:t>
      </w:r>
      <w:r w:rsidR="009B4FDD" w:rsidRPr="006B1C21">
        <w:rPr>
          <w:rFonts w:cs="Arial"/>
        </w:rPr>
        <w:t xml:space="preserve">the administration of those </w:t>
      </w:r>
      <w:r w:rsidR="008F5373" w:rsidRPr="006B1C21">
        <w:rPr>
          <w:rFonts w:cs="Arial"/>
        </w:rPr>
        <w:t>affairs</w:t>
      </w:r>
      <w:r w:rsidRPr="006B1C21">
        <w:rPr>
          <w:rFonts w:cs="Arial"/>
        </w:rPr>
        <w:t>.</w:t>
      </w:r>
    </w:p>
    <w:p w14:paraId="433D39DC" w14:textId="77777777" w:rsidR="008D35B0" w:rsidRPr="008D35B0" w:rsidRDefault="003C0041" w:rsidP="008D35B0">
      <w:pPr>
        <w:pStyle w:val="ListParagraph"/>
        <w:numPr>
          <w:ilvl w:val="1"/>
          <w:numId w:val="3"/>
        </w:numPr>
        <w:spacing w:line="240" w:lineRule="auto"/>
        <w:ind w:left="993" w:hanging="284"/>
        <w:contextualSpacing w:val="0"/>
        <w:jc w:val="both"/>
        <w:rPr>
          <w:rFonts w:cs="Arial"/>
          <w:bCs/>
        </w:rPr>
      </w:pPr>
      <w:r w:rsidRPr="008D35B0">
        <w:rPr>
          <w:rFonts w:cs="Arial"/>
        </w:rPr>
        <w:t xml:space="preserve">The requirements of the Prudential Code, Treasury Management in Public Services Code of </w:t>
      </w:r>
      <w:r w:rsidR="00D82D23" w:rsidRPr="008D35B0">
        <w:rPr>
          <w:rFonts w:cs="Arial"/>
        </w:rPr>
        <w:t>Practice,</w:t>
      </w:r>
      <w:r w:rsidRPr="008D35B0">
        <w:rPr>
          <w:rFonts w:cs="Arial"/>
        </w:rPr>
        <w:t xml:space="preserve"> and the </w:t>
      </w:r>
      <w:r w:rsidR="008F5373" w:rsidRPr="008D35B0">
        <w:rPr>
          <w:rFonts w:cs="Arial"/>
        </w:rPr>
        <w:t>Financial</w:t>
      </w:r>
      <w:r w:rsidRPr="008D35B0">
        <w:rPr>
          <w:rFonts w:cs="Arial"/>
        </w:rPr>
        <w:t xml:space="preserve"> </w:t>
      </w:r>
      <w:r w:rsidR="008F5373" w:rsidRPr="008D35B0">
        <w:rPr>
          <w:rFonts w:cs="Arial"/>
        </w:rPr>
        <w:t>Management</w:t>
      </w:r>
      <w:r w:rsidR="006E43B9" w:rsidRPr="008D35B0">
        <w:rPr>
          <w:rFonts w:cs="Arial"/>
        </w:rPr>
        <w:t xml:space="preserve"> C</w:t>
      </w:r>
      <w:r w:rsidRPr="008D35B0">
        <w:rPr>
          <w:rFonts w:cs="Arial"/>
        </w:rPr>
        <w:t>ode of Practice.</w:t>
      </w:r>
    </w:p>
    <w:p w14:paraId="071C6818" w14:textId="52E8ACE2" w:rsidR="003C0041" w:rsidRPr="008D35B0" w:rsidRDefault="003C0041" w:rsidP="008D35B0">
      <w:pPr>
        <w:pStyle w:val="ListParagraph"/>
        <w:numPr>
          <w:ilvl w:val="1"/>
          <w:numId w:val="3"/>
        </w:numPr>
        <w:spacing w:line="240" w:lineRule="auto"/>
        <w:ind w:left="993" w:hanging="284"/>
        <w:contextualSpacing w:val="0"/>
        <w:jc w:val="both"/>
        <w:rPr>
          <w:rFonts w:cs="Arial"/>
          <w:bCs/>
        </w:rPr>
      </w:pPr>
      <w:r w:rsidRPr="008D35B0">
        <w:rPr>
          <w:rFonts w:cs="Arial"/>
        </w:rPr>
        <w:t xml:space="preserve">The </w:t>
      </w:r>
      <w:r w:rsidR="00683B68" w:rsidRPr="008D35B0">
        <w:rPr>
          <w:rFonts w:cs="Arial"/>
        </w:rPr>
        <w:t xml:space="preserve">PCC </w:t>
      </w:r>
      <w:r w:rsidRPr="008D35B0">
        <w:rPr>
          <w:rFonts w:cs="Arial"/>
        </w:rPr>
        <w:t>CFO’s duty to report on the robustness of estimates and the adequacy of reserves when the PCC is considering his budget requirement.</w:t>
      </w:r>
    </w:p>
    <w:p w14:paraId="67D21FBB" w14:textId="77777777" w:rsidR="003C0041" w:rsidRPr="00AA3B43" w:rsidRDefault="003C0041" w:rsidP="00AA3B43">
      <w:pPr>
        <w:pStyle w:val="ListParagraph"/>
        <w:spacing w:line="240" w:lineRule="auto"/>
        <w:ind w:left="1418"/>
        <w:contextualSpacing w:val="0"/>
        <w:jc w:val="both"/>
        <w:rPr>
          <w:rFonts w:cs="Arial"/>
        </w:rPr>
      </w:pPr>
    </w:p>
    <w:p w14:paraId="03183FEC" w14:textId="4EA61536" w:rsidR="009B4FDD" w:rsidRPr="00AA3B43" w:rsidRDefault="00C01927" w:rsidP="00AA3B43">
      <w:pPr>
        <w:pStyle w:val="ListParagraph"/>
        <w:numPr>
          <w:ilvl w:val="0"/>
          <w:numId w:val="1"/>
        </w:numPr>
        <w:spacing w:line="240" w:lineRule="auto"/>
        <w:contextualSpacing w:val="0"/>
        <w:jc w:val="both"/>
        <w:rPr>
          <w:rFonts w:cs="Arial"/>
        </w:rPr>
      </w:pPr>
      <w:r w:rsidRPr="00AA3B43">
        <w:rPr>
          <w:rFonts w:cs="Arial"/>
        </w:rPr>
        <w:t>Th</w:t>
      </w:r>
      <w:r w:rsidR="003C0041" w:rsidRPr="00AA3B43">
        <w:rPr>
          <w:rFonts w:cs="Arial"/>
        </w:rPr>
        <w:t xml:space="preserve">is is reinforced by Section 114 of the Local Government Act 1988 which requires the </w:t>
      </w:r>
      <w:r w:rsidR="00683B68" w:rsidRPr="00AA3B43">
        <w:rPr>
          <w:rFonts w:cs="Arial"/>
        </w:rPr>
        <w:t xml:space="preserve">PCC </w:t>
      </w:r>
      <w:r w:rsidR="003C0041" w:rsidRPr="00AA3B43">
        <w:rPr>
          <w:rFonts w:cs="Arial"/>
        </w:rPr>
        <w:t>CFO to repor</w:t>
      </w:r>
      <w:r w:rsidR="008F5373" w:rsidRPr="00AA3B43">
        <w:rPr>
          <w:rFonts w:cs="Arial"/>
        </w:rPr>
        <w:t>t to the PCC, Police and Crime P</w:t>
      </w:r>
      <w:r w:rsidR="003C0041" w:rsidRPr="00AA3B43">
        <w:rPr>
          <w:rFonts w:cs="Arial"/>
        </w:rPr>
        <w:t xml:space="preserve">anel and the </w:t>
      </w:r>
      <w:r w:rsidR="008F5373" w:rsidRPr="00AA3B43">
        <w:rPr>
          <w:rFonts w:cs="Arial"/>
        </w:rPr>
        <w:t>E</w:t>
      </w:r>
      <w:r w:rsidR="003C0041" w:rsidRPr="00AA3B43">
        <w:rPr>
          <w:rFonts w:cs="Arial"/>
        </w:rPr>
        <w:t xml:space="preserve">xternal Auditor if there is or likely </w:t>
      </w:r>
      <w:r w:rsidR="008F5373" w:rsidRPr="00AA3B43">
        <w:rPr>
          <w:rFonts w:cs="Arial"/>
        </w:rPr>
        <w:t>to</w:t>
      </w:r>
      <w:r w:rsidR="003C0041" w:rsidRPr="00AA3B43">
        <w:rPr>
          <w:rFonts w:cs="Arial"/>
        </w:rPr>
        <w:t xml:space="preserve"> be </w:t>
      </w:r>
      <w:r w:rsidR="009B4FDD" w:rsidRPr="00AA3B43">
        <w:rPr>
          <w:rFonts w:cs="Arial"/>
        </w:rPr>
        <w:t xml:space="preserve">unlawful expenditure or an unbalanced </w:t>
      </w:r>
      <w:r w:rsidR="008F5373" w:rsidRPr="00AA3B43">
        <w:rPr>
          <w:rFonts w:cs="Arial"/>
        </w:rPr>
        <w:t>budget</w:t>
      </w:r>
      <w:r w:rsidR="009B4FDD" w:rsidRPr="00AA3B43">
        <w:rPr>
          <w:rFonts w:cs="Arial"/>
        </w:rPr>
        <w:t>. This would includ</w:t>
      </w:r>
      <w:r w:rsidRPr="00AA3B43">
        <w:rPr>
          <w:rFonts w:cs="Arial"/>
        </w:rPr>
        <w:t>e</w:t>
      </w:r>
      <w:r w:rsidR="009B4FDD" w:rsidRPr="00AA3B43">
        <w:rPr>
          <w:rFonts w:cs="Arial"/>
        </w:rPr>
        <w:t xml:space="preserve"> situations where the PCC does not have sufficient resources to meet expenditure in a particular year</w:t>
      </w:r>
      <w:r w:rsidR="001211A5" w:rsidRPr="00AA3B43">
        <w:rPr>
          <w:rFonts w:cs="Arial"/>
        </w:rPr>
        <w:t>.</w:t>
      </w:r>
    </w:p>
    <w:p w14:paraId="5459054B" w14:textId="77777777" w:rsidR="009B4FDD" w:rsidRPr="00AA3B43" w:rsidRDefault="009B4FDD" w:rsidP="00AA3B43">
      <w:pPr>
        <w:pStyle w:val="ListParagraph"/>
        <w:spacing w:line="240" w:lineRule="auto"/>
        <w:contextualSpacing w:val="0"/>
        <w:jc w:val="both"/>
        <w:rPr>
          <w:rFonts w:cs="Arial"/>
        </w:rPr>
      </w:pPr>
    </w:p>
    <w:p w14:paraId="762CEFCD" w14:textId="34722075" w:rsidR="009B4FDD" w:rsidRPr="00AA3B43" w:rsidRDefault="009B4FDD" w:rsidP="00AA3B43">
      <w:pPr>
        <w:pStyle w:val="ListParagraph"/>
        <w:numPr>
          <w:ilvl w:val="0"/>
          <w:numId w:val="1"/>
        </w:numPr>
        <w:spacing w:line="240" w:lineRule="auto"/>
        <w:contextualSpacing w:val="0"/>
        <w:jc w:val="both"/>
        <w:rPr>
          <w:rFonts w:cs="Arial"/>
        </w:rPr>
      </w:pPr>
      <w:r w:rsidRPr="00AA3B43">
        <w:rPr>
          <w:rFonts w:cs="Arial"/>
        </w:rPr>
        <w:t xml:space="preserve">The </w:t>
      </w:r>
      <w:r w:rsidR="00C01927" w:rsidRPr="00AA3B43">
        <w:rPr>
          <w:rFonts w:cs="Arial"/>
        </w:rPr>
        <w:t xml:space="preserve">Local Government Finance Act 1992 </w:t>
      </w:r>
      <w:r w:rsidRPr="00AA3B43">
        <w:rPr>
          <w:rFonts w:cs="Arial"/>
        </w:rPr>
        <w:t xml:space="preserve">also </w:t>
      </w:r>
      <w:r w:rsidR="00C01927" w:rsidRPr="00AA3B43">
        <w:rPr>
          <w:rFonts w:cs="Arial"/>
        </w:rPr>
        <w:t xml:space="preserve">requires PCCs as a ‘precepting’ authority to have regard to the level of reserves needed for meeting estimated future expenditure when calculating the budget requirement. </w:t>
      </w:r>
    </w:p>
    <w:p w14:paraId="34F88F59" w14:textId="77777777" w:rsidR="008F5373" w:rsidRPr="00AA3B43" w:rsidRDefault="008F5373" w:rsidP="00AA3B43">
      <w:pPr>
        <w:pStyle w:val="ListParagraph"/>
        <w:spacing w:line="240" w:lineRule="auto"/>
        <w:contextualSpacing w:val="0"/>
        <w:jc w:val="both"/>
        <w:rPr>
          <w:rFonts w:cs="Arial"/>
        </w:rPr>
      </w:pPr>
    </w:p>
    <w:p w14:paraId="3EA0172F" w14:textId="3CA08E56" w:rsidR="009B4FDD" w:rsidRPr="00AA3B43" w:rsidRDefault="009B4FDD" w:rsidP="00AA3B43">
      <w:pPr>
        <w:pStyle w:val="ListParagraph"/>
        <w:numPr>
          <w:ilvl w:val="0"/>
          <w:numId w:val="1"/>
        </w:numPr>
        <w:spacing w:line="240" w:lineRule="auto"/>
        <w:contextualSpacing w:val="0"/>
        <w:jc w:val="both"/>
        <w:rPr>
          <w:rFonts w:cs="Arial"/>
        </w:rPr>
      </w:pPr>
      <w:r w:rsidRPr="00AA3B43">
        <w:rPr>
          <w:rFonts w:cs="Arial"/>
        </w:rPr>
        <w:t>It should be noted that there is no defined minimum level</w:t>
      </w:r>
      <w:r w:rsidR="005B3411" w:rsidRPr="00AA3B43">
        <w:rPr>
          <w:rFonts w:cs="Arial"/>
        </w:rPr>
        <w:t xml:space="preserve"> of reserves that PCC</w:t>
      </w:r>
      <w:r w:rsidRPr="00AA3B43">
        <w:rPr>
          <w:rFonts w:cs="Arial"/>
        </w:rPr>
        <w:t xml:space="preserve">s should hold. Local circumstances in terms of </w:t>
      </w:r>
      <w:r w:rsidR="008F5373" w:rsidRPr="00AA3B43">
        <w:rPr>
          <w:rFonts w:cs="Arial"/>
        </w:rPr>
        <w:t>resourcing</w:t>
      </w:r>
      <w:r w:rsidRPr="00AA3B43">
        <w:rPr>
          <w:rFonts w:cs="Arial"/>
        </w:rPr>
        <w:t>, expenditure</w:t>
      </w:r>
      <w:r w:rsidR="008F5373" w:rsidRPr="00AA3B43">
        <w:rPr>
          <w:rFonts w:cs="Arial"/>
        </w:rPr>
        <w:t xml:space="preserve"> and </w:t>
      </w:r>
      <w:r w:rsidRPr="00AA3B43">
        <w:rPr>
          <w:rFonts w:cs="Arial"/>
        </w:rPr>
        <w:t xml:space="preserve">demand vary significantly across the country and so the level of reserves held is a judgement by the PCC with advice from the </w:t>
      </w:r>
      <w:r w:rsidR="00683B68" w:rsidRPr="00AA3B43">
        <w:rPr>
          <w:rFonts w:cs="Arial"/>
        </w:rPr>
        <w:t xml:space="preserve">PCC </w:t>
      </w:r>
      <w:r w:rsidRPr="00AA3B43">
        <w:rPr>
          <w:rFonts w:cs="Arial"/>
        </w:rPr>
        <w:t xml:space="preserve">CFO </w:t>
      </w:r>
      <w:r w:rsidR="00F4427D" w:rsidRPr="00AA3B43">
        <w:rPr>
          <w:rFonts w:cs="Arial"/>
        </w:rPr>
        <w:t>considering</w:t>
      </w:r>
      <w:r w:rsidRPr="00AA3B43">
        <w:rPr>
          <w:rFonts w:cs="Arial"/>
        </w:rPr>
        <w:t xml:space="preserve"> all local and national circumstances.</w:t>
      </w:r>
      <w:r w:rsidR="006E43B9" w:rsidRPr="00AA3B43">
        <w:rPr>
          <w:rFonts w:cs="Arial"/>
        </w:rPr>
        <w:t xml:space="preserve"> However, </w:t>
      </w:r>
      <w:r w:rsidR="002873B0" w:rsidRPr="00AA3B43">
        <w:rPr>
          <w:rFonts w:cs="Arial"/>
        </w:rPr>
        <w:t xml:space="preserve">the Government have specified that </w:t>
      </w:r>
      <w:r w:rsidR="006E43B9" w:rsidRPr="00AA3B43">
        <w:rPr>
          <w:rFonts w:cs="Arial"/>
        </w:rPr>
        <w:t xml:space="preserve">any level of general reserves over 5% </w:t>
      </w:r>
      <w:r w:rsidR="00D57615">
        <w:rPr>
          <w:rFonts w:cs="Arial"/>
        </w:rPr>
        <w:t xml:space="preserve">of the net budget </w:t>
      </w:r>
      <w:r w:rsidR="006E43B9" w:rsidRPr="00AA3B43">
        <w:rPr>
          <w:rFonts w:cs="Arial"/>
        </w:rPr>
        <w:t xml:space="preserve">requires explanation </w:t>
      </w:r>
      <w:r w:rsidR="00196D51" w:rsidRPr="00AA3B43">
        <w:rPr>
          <w:rFonts w:cs="Arial"/>
        </w:rPr>
        <w:t>within</w:t>
      </w:r>
      <w:r w:rsidR="006E43B9" w:rsidRPr="00AA3B43">
        <w:rPr>
          <w:rFonts w:cs="Arial"/>
        </w:rPr>
        <w:t xml:space="preserve"> the Reserves Strategy.</w:t>
      </w:r>
      <w:r w:rsidR="009354E0">
        <w:rPr>
          <w:rFonts w:cs="Arial"/>
        </w:rPr>
        <w:t xml:space="preserve"> Kent does not hold general reserves above 5%</w:t>
      </w:r>
      <w:r w:rsidR="00792997">
        <w:rPr>
          <w:rFonts w:cs="Arial"/>
        </w:rPr>
        <w:t>.</w:t>
      </w:r>
    </w:p>
    <w:p w14:paraId="1EA6355A" w14:textId="77777777" w:rsidR="005F6AC6" w:rsidRPr="00AA3B43" w:rsidRDefault="005F6AC6" w:rsidP="00AA3B43">
      <w:pPr>
        <w:pStyle w:val="ListParagraph"/>
        <w:spacing w:line="240" w:lineRule="auto"/>
        <w:contextualSpacing w:val="0"/>
        <w:jc w:val="both"/>
        <w:rPr>
          <w:rFonts w:cs="Arial"/>
        </w:rPr>
      </w:pPr>
    </w:p>
    <w:p w14:paraId="695977EA" w14:textId="77777777" w:rsidR="00EB6608" w:rsidRPr="00AA3B43" w:rsidRDefault="00EB6608" w:rsidP="00AA3B43">
      <w:pPr>
        <w:pStyle w:val="ListParagraph"/>
        <w:spacing w:line="240" w:lineRule="auto"/>
        <w:contextualSpacing w:val="0"/>
        <w:jc w:val="both"/>
        <w:rPr>
          <w:rFonts w:cs="Arial"/>
          <w:b/>
        </w:rPr>
      </w:pPr>
      <w:r w:rsidRPr="00AA3B43">
        <w:rPr>
          <w:rFonts w:cs="Arial"/>
          <w:b/>
        </w:rPr>
        <w:t>Financial Regulations</w:t>
      </w:r>
    </w:p>
    <w:p w14:paraId="26311E95" w14:textId="6AD40CB4" w:rsidR="00EB6608" w:rsidRPr="00AA3B43" w:rsidRDefault="005F54A2" w:rsidP="00AA3B43">
      <w:pPr>
        <w:pStyle w:val="ListParagraph"/>
        <w:numPr>
          <w:ilvl w:val="0"/>
          <w:numId w:val="1"/>
        </w:numPr>
        <w:spacing w:line="240" w:lineRule="auto"/>
        <w:contextualSpacing w:val="0"/>
        <w:jc w:val="both"/>
        <w:rPr>
          <w:rFonts w:cs="Arial"/>
          <w:b/>
        </w:rPr>
      </w:pPr>
      <w:r w:rsidRPr="00AA3B43">
        <w:rPr>
          <w:rFonts w:cs="Arial"/>
        </w:rPr>
        <w:t xml:space="preserve">As all financing is issued to the PCC then it follows that </w:t>
      </w:r>
      <w:r w:rsidR="00D04FEB" w:rsidRPr="00AA3B43">
        <w:rPr>
          <w:rFonts w:cs="Arial"/>
        </w:rPr>
        <w:t xml:space="preserve">the PCC holds all </w:t>
      </w:r>
      <w:r w:rsidR="00D04FEB">
        <w:rPr>
          <w:rFonts w:cs="Arial"/>
        </w:rPr>
        <w:t xml:space="preserve">the </w:t>
      </w:r>
      <w:r w:rsidR="00D04FEB" w:rsidRPr="00AA3B43">
        <w:rPr>
          <w:rFonts w:cs="Arial"/>
        </w:rPr>
        <w:t>reserves</w:t>
      </w:r>
      <w:r w:rsidR="00643D22">
        <w:rPr>
          <w:rFonts w:cs="Arial"/>
        </w:rPr>
        <w:t xml:space="preserve">. </w:t>
      </w:r>
      <w:r w:rsidR="0070233B">
        <w:rPr>
          <w:rFonts w:cs="Arial"/>
        </w:rPr>
        <w:t>Kent’s</w:t>
      </w:r>
      <w:r w:rsidR="00EB6608" w:rsidRPr="00AA3B43">
        <w:rPr>
          <w:rFonts w:cs="Arial"/>
        </w:rPr>
        <w:t xml:space="preserve"> </w:t>
      </w:r>
      <w:r w:rsidR="00454003" w:rsidRPr="00AA3B43">
        <w:rPr>
          <w:rFonts w:cs="Arial"/>
        </w:rPr>
        <w:t>Financial</w:t>
      </w:r>
      <w:r w:rsidR="00EB6608" w:rsidRPr="00AA3B43">
        <w:rPr>
          <w:rFonts w:cs="Arial"/>
        </w:rPr>
        <w:t xml:space="preserve"> Regulations set out the key responsibilities for the PCC’s CFO, </w:t>
      </w:r>
      <w:r w:rsidR="00683B68" w:rsidRPr="00AA3B43">
        <w:rPr>
          <w:rFonts w:cs="Arial"/>
        </w:rPr>
        <w:t xml:space="preserve">Force CFO (FCFO), </w:t>
      </w:r>
      <w:r w:rsidR="00EB6608" w:rsidRPr="00AA3B43">
        <w:rPr>
          <w:rFonts w:cs="Arial"/>
        </w:rPr>
        <w:t xml:space="preserve">Chief </w:t>
      </w:r>
      <w:r w:rsidR="005E2787" w:rsidRPr="00AA3B43">
        <w:rPr>
          <w:rFonts w:cs="Arial"/>
        </w:rPr>
        <w:t>Constable,</w:t>
      </w:r>
      <w:r w:rsidR="00EB6608" w:rsidRPr="00AA3B43">
        <w:rPr>
          <w:rFonts w:cs="Arial"/>
        </w:rPr>
        <w:t xml:space="preserve"> and the PCC </w:t>
      </w:r>
      <w:r w:rsidR="00D82D23" w:rsidRPr="00AA3B43">
        <w:rPr>
          <w:rFonts w:cs="Arial"/>
        </w:rPr>
        <w:t>regarding</w:t>
      </w:r>
      <w:r w:rsidR="00EB6608" w:rsidRPr="00AA3B43">
        <w:rPr>
          <w:rFonts w:cs="Arial"/>
        </w:rPr>
        <w:t xml:space="preserve"> reserves and how they are used and maintained.</w:t>
      </w:r>
    </w:p>
    <w:p w14:paraId="776D4930" w14:textId="77777777" w:rsidR="00722C9A" w:rsidRPr="00AA3B43" w:rsidRDefault="00722C9A" w:rsidP="00AA3B43">
      <w:pPr>
        <w:pStyle w:val="ListParagraph"/>
        <w:spacing w:line="240" w:lineRule="auto"/>
        <w:contextualSpacing w:val="0"/>
        <w:jc w:val="both"/>
        <w:rPr>
          <w:rFonts w:cs="Arial"/>
          <w:b/>
        </w:rPr>
      </w:pPr>
    </w:p>
    <w:p w14:paraId="4EEE1ED4" w14:textId="51CE6E60" w:rsidR="00C01927" w:rsidRPr="00AA3B43" w:rsidRDefault="00BA0369" w:rsidP="00AA3B43">
      <w:pPr>
        <w:pStyle w:val="ListParagraph"/>
        <w:spacing w:line="240" w:lineRule="auto"/>
        <w:contextualSpacing w:val="0"/>
        <w:jc w:val="both"/>
        <w:rPr>
          <w:rFonts w:cs="Arial"/>
          <w:b/>
        </w:rPr>
      </w:pPr>
      <w:r w:rsidRPr="00AA3B43">
        <w:rPr>
          <w:rFonts w:cs="Arial"/>
          <w:b/>
        </w:rPr>
        <w:t>Reserves Strategy</w:t>
      </w:r>
      <w:r w:rsidR="00DE3727" w:rsidRPr="00AA3B43">
        <w:rPr>
          <w:rFonts w:cs="Arial"/>
          <w:b/>
        </w:rPr>
        <w:t xml:space="preserve"> </w:t>
      </w:r>
    </w:p>
    <w:p w14:paraId="42AA6372" w14:textId="4C585B02" w:rsidR="00332C88" w:rsidRPr="00AA3B43" w:rsidRDefault="00332C88" w:rsidP="00AA3B43">
      <w:pPr>
        <w:pStyle w:val="ListParagraph"/>
        <w:numPr>
          <w:ilvl w:val="0"/>
          <w:numId w:val="1"/>
        </w:numPr>
        <w:spacing w:line="240" w:lineRule="auto"/>
        <w:contextualSpacing w:val="0"/>
        <w:jc w:val="both"/>
        <w:rPr>
          <w:rFonts w:cs="Arial"/>
        </w:rPr>
      </w:pPr>
      <w:r w:rsidRPr="00AA3B43">
        <w:rPr>
          <w:rFonts w:cs="Arial"/>
        </w:rPr>
        <w:t xml:space="preserve">The PCC holds reserves for </w:t>
      </w:r>
      <w:r w:rsidR="005F54A2" w:rsidRPr="00AA3B43">
        <w:rPr>
          <w:rFonts w:cs="Arial"/>
        </w:rPr>
        <w:t>four</w:t>
      </w:r>
      <w:r w:rsidRPr="00AA3B43">
        <w:rPr>
          <w:rFonts w:cs="Arial"/>
        </w:rPr>
        <w:t xml:space="preserve"> reasons:</w:t>
      </w:r>
    </w:p>
    <w:p w14:paraId="1DB5D519" w14:textId="77777777" w:rsidR="00A47A50" w:rsidRPr="008D35B0" w:rsidRDefault="00332C88" w:rsidP="008D35B0">
      <w:pPr>
        <w:pStyle w:val="ListParagraph"/>
        <w:numPr>
          <w:ilvl w:val="1"/>
          <w:numId w:val="3"/>
        </w:numPr>
        <w:spacing w:line="240" w:lineRule="auto"/>
        <w:ind w:left="993" w:hanging="284"/>
        <w:contextualSpacing w:val="0"/>
        <w:jc w:val="both"/>
        <w:rPr>
          <w:rFonts w:cs="Arial"/>
          <w:bCs/>
        </w:rPr>
      </w:pPr>
      <w:r w:rsidRPr="008D35B0">
        <w:rPr>
          <w:rFonts w:cs="Arial"/>
          <w:bCs/>
        </w:rPr>
        <w:t>As a general contingency against unknown or unforeseen events</w:t>
      </w:r>
    </w:p>
    <w:p w14:paraId="63BCDAE6" w14:textId="77777777" w:rsidR="00A47A50" w:rsidRPr="008D35B0" w:rsidRDefault="00332C88" w:rsidP="008D35B0">
      <w:pPr>
        <w:pStyle w:val="ListParagraph"/>
        <w:numPr>
          <w:ilvl w:val="1"/>
          <w:numId w:val="3"/>
        </w:numPr>
        <w:spacing w:line="240" w:lineRule="auto"/>
        <w:ind w:left="993" w:hanging="284"/>
        <w:contextualSpacing w:val="0"/>
        <w:jc w:val="both"/>
        <w:rPr>
          <w:rFonts w:cs="Arial"/>
          <w:bCs/>
        </w:rPr>
      </w:pPr>
      <w:r w:rsidRPr="008D35B0">
        <w:rPr>
          <w:rFonts w:cs="Arial"/>
          <w:bCs/>
        </w:rPr>
        <w:t>To manage strategic risks in the organisation</w:t>
      </w:r>
    </w:p>
    <w:p w14:paraId="5F2699F2" w14:textId="74A84140" w:rsidR="00332C88" w:rsidRPr="008D35B0" w:rsidRDefault="00332C88" w:rsidP="008D35B0">
      <w:pPr>
        <w:pStyle w:val="ListParagraph"/>
        <w:numPr>
          <w:ilvl w:val="1"/>
          <w:numId w:val="3"/>
        </w:numPr>
        <w:spacing w:line="240" w:lineRule="auto"/>
        <w:ind w:left="993" w:hanging="284"/>
        <w:contextualSpacing w:val="0"/>
        <w:jc w:val="both"/>
        <w:rPr>
          <w:rFonts w:cs="Arial"/>
          <w:bCs/>
        </w:rPr>
      </w:pPr>
      <w:r w:rsidRPr="008D35B0">
        <w:rPr>
          <w:rFonts w:cs="Arial"/>
          <w:bCs/>
        </w:rPr>
        <w:t>To manage change within the organisation</w:t>
      </w:r>
    </w:p>
    <w:p w14:paraId="66ECC46F" w14:textId="2BD739FC" w:rsidR="00332C88" w:rsidRPr="008D35B0" w:rsidRDefault="00C8431E" w:rsidP="008D35B0">
      <w:pPr>
        <w:pStyle w:val="ListParagraph"/>
        <w:numPr>
          <w:ilvl w:val="1"/>
          <w:numId w:val="3"/>
        </w:numPr>
        <w:spacing w:line="240" w:lineRule="auto"/>
        <w:ind w:left="993" w:hanging="284"/>
        <w:contextualSpacing w:val="0"/>
        <w:jc w:val="both"/>
        <w:rPr>
          <w:rFonts w:cs="Arial"/>
          <w:bCs/>
        </w:rPr>
      </w:pPr>
      <w:r w:rsidRPr="008D35B0">
        <w:rPr>
          <w:rFonts w:cs="Arial"/>
          <w:bCs/>
        </w:rPr>
        <w:t>H</w:t>
      </w:r>
      <w:r w:rsidR="00332C88" w:rsidRPr="008D35B0">
        <w:rPr>
          <w:rFonts w:cs="Arial"/>
          <w:bCs/>
        </w:rPr>
        <w:t xml:space="preserve">eld for </w:t>
      </w:r>
      <w:r w:rsidR="00454003" w:rsidRPr="008D35B0">
        <w:rPr>
          <w:rFonts w:cs="Arial"/>
          <w:bCs/>
        </w:rPr>
        <w:t>statutory</w:t>
      </w:r>
      <w:r w:rsidR="00332C88" w:rsidRPr="008D35B0">
        <w:rPr>
          <w:rFonts w:cs="Arial"/>
          <w:bCs/>
        </w:rPr>
        <w:t xml:space="preserve"> re</w:t>
      </w:r>
      <w:r w:rsidRPr="008D35B0">
        <w:rPr>
          <w:rFonts w:cs="Arial"/>
          <w:bCs/>
        </w:rPr>
        <w:t>sponsibilities</w:t>
      </w:r>
    </w:p>
    <w:p w14:paraId="2175C1E8" w14:textId="77777777" w:rsidR="008D35B0" w:rsidRDefault="008D35B0" w:rsidP="00AA3B43">
      <w:pPr>
        <w:spacing w:line="240" w:lineRule="auto"/>
        <w:jc w:val="both"/>
        <w:rPr>
          <w:rFonts w:cs="Arial"/>
        </w:rPr>
      </w:pPr>
    </w:p>
    <w:p w14:paraId="318E019B" w14:textId="77777777" w:rsidR="00A34A45" w:rsidRPr="00AA3B43" w:rsidRDefault="00A34A45" w:rsidP="00AA3B43">
      <w:pPr>
        <w:pStyle w:val="ListParagraph"/>
        <w:numPr>
          <w:ilvl w:val="0"/>
          <w:numId w:val="1"/>
        </w:numPr>
        <w:spacing w:line="240" w:lineRule="auto"/>
        <w:contextualSpacing w:val="0"/>
        <w:jc w:val="both"/>
        <w:rPr>
          <w:rFonts w:cs="Arial"/>
        </w:rPr>
      </w:pPr>
      <w:r w:rsidRPr="00AA3B43">
        <w:rPr>
          <w:rFonts w:cs="Arial"/>
        </w:rPr>
        <w:t>The PCC</w:t>
      </w:r>
      <w:r w:rsidR="005B3411" w:rsidRPr="00AA3B43">
        <w:rPr>
          <w:rFonts w:cs="Arial"/>
        </w:rPr>
        <w:t>’s R</w:t>
      </w:r>
      <w:r w:rsidRPr="00AA3B43">
        <w:rPr>
          <w:rFonts w:cs="Arial"/>
        </w:rPr>
        <w:t xml:space="preserve">eserve </w:t>
      </w:r>
      <w:r w:rsidR="005B3411" w:rsidRPr="00AA3B43">
        <w:rPr>
          <w:rFonts w:cs="Arial"/>
        </w:rPr>
        <w:t>S</w:t>
      </w:r>
      <w:r w:rsidRPr="00AA3B43">
        <w:rPr>
          <w:rFonts w:cs="Arial"/>
        </w:rPr>
        <w:t>trategy has the following key elements:</w:t>
      </w:r>
    </w:p>
    <w:p w14:paraId="2FE07139" w14:textId="77777777" w:rsidR="00A34A45" w:rsidRPr="008D35B0" w:rsidRDefault="00A34A45" w:rsidP="008D35B0">
      <w:pPr>
        <w:pStyle w:val="ListParagraph"/>
        <w:numPr>
          <w:ilvl w:val="1"/>
          <w:numId w:val="3"/>
        </w:numPr>
        <w:spacing w:line="240" w:lineRule="auto"/>
        <w:ind w:left="993" w:hanging="284"/>
        <w:contextualSpacing w:val="0"/>
        <w:jc w:val="both"/>
        <w:rPr>
          <w:rFonts w:cs="Arial"/>
          <w:bCs/>
        </w:rPr>
      </w:pPr>
      <w:r w:rsidRPr="008D35B0">
        <w:rPr>
          <w:rFonts w:cs="Arial"/>
          <w:bCs/>
        </w:rPr>
        <w:t>A general non-earmarked reserve of 3% of the net budget will be maintained for unknown and/or unforeseeable events.</w:t>
      </w:r>
    </w:p>
    <w:p w14:paraId="50647059" w14:textId="0A602148" w:rsidR="00A34A45" w:rsidRPr="008D35B0" w:rsidRDefault="00A34A45" w:rsidP="008D35B0">
      <w:pPr>
        <w:pStyle w:val="ListParagraph"/>
        <w:numPr>
          <w:ilvl w:val="1"/>
          <w:numId w:val="3"/>
        </w:numPr>
        <w:spacing w:line="240" w:lineRule="auto"/>
        <w:ind w:left="993" w:hanging="284"/>
        <w:contextualSpacing w:val="0"/>
        <w:jc w:val="both"/>
        <w:rPr>
          <w:rFonts w:cs="Arial"/>
          <w:bCs/>
        </w:rPr>
      </w:pPr>
      <w:r w:rsidRPr="008D35B0">
        <w:rPr>
          <w:rFonts w:cs="Arial"/>
          <w:bCs/>
        </w:rPr>
        <w:t>A prudent approach to risk management will be maintained and accordingly earmarked reserves will be created to cover for possible significant risks.</w:t>
      </w:r>
    </w:p>
    <w:p w14:paraId="24E9777D" w14:textId="7CBDDC1C" w:rsidR="002873B0" w:rsidRPr="008D35B0" w:rsidRDefault="002873B0" w:rsidP="008D35B0">
      <w:pPr>
        <w:pStyle w:val="ListParagraph"/>
        <w:numPr>
          <w:ilvl w:val="1"/>
          <w:numId w:val="3"/>
        </w:numPr>
        <w:spacing w:line="240" w:lineRule="auto"/>
        <w:ind w:left="993" w:hanging="284"/>
        <w:contextualSpacing w:val="0"/>
        <w:jc w:val="both"/>
        <w:rPr>
          <w:rFonts w:cs="Arial"/>
          <w:bCs/>
        </w:rPr>
      </w:pPr>
      <w:r w:rsidRPr="008D35B0">
        <w:rPr>
          <w:rFonts w:cs="Arial"/>
          <w:bCs/>
        </w:rPr>
        <w:t>Reserves not required for the above purposes will be clearly identified as available for other discretionary opportunities.</w:t>
      </w:r>
    </w:p>
    <w:p w14:paraId="3836DB9A" w14:textId="77777777" w:rsidR="00A34A45" w:rsidRPr="008D35B0" w:rsidRDefault="00A34A45" w:rsidP="008D35B0">
      <w:pPr>
        <w:pStyle w:val="ListParagraph"/>
        <w:numPr>
          <w:ilvl w:val="1"/>
          <w:numId w:val="3"/>
        </w:numPr>
        <w:spacing w:line="240" w:lineRule="auto"/>
        <w:ind w:left="993" w:hanging="284"/>
        <w:contextualSpacing w:val="0"/>
        <w:jc w:val="both"/>
        <w:rPr>
          <w:rFonts w:cs="Arial"/>
          <w:bCs/>
        </w:rPr>
      </w:pPr>
      <w:r w:rsidRPr="008D35B0">
        <w:rPr>
          <w:rFonts w:cs="Arial"/>
          <w:bCs/>
        </w:rPr>
        <w:t xml:space="preserve">In the interest of the council </w:t>
      </w:r>
      <w:r w:rsidR="00FE3F29" w:rsidRPr="008D35B0">
        <w:rPr>
          <w:rFonts w:cs="Arial"/>
          <w:bCs/>
        </w:rPr>
        <w:t>taxpayer</w:t>
      </w:r>
      <w:r w:rsidRPr="008D35B0">
        <w:rPr>
          <w:rFonts w:cs="Arial"/>
          <w:bCs/>
        </w:rPr>
        <w:t xml:space="preserve">, the PCC will </w:t>
      </w:r>
      <w:r w:rsidR="00EB6608" w:rsidRPr="008D35B0">
        <w:rPr>
          <w:rFonts w:cs="Arial"/>
          <w:bCs/>
        </w:rPr>
        <w:t xml:space="preserve">where possible build up and maintain a level of reserves for investment, </w:t>
      </w:r>
      <w:r w:rsidRPr="008D35B0">
        <w:rPr>
          <w:rFonts w:cs="Arial"/>
          <w:bCs/>
        </w:rPr>
        <w:t>borrowing</w:t>
      </w:r>
      <w:r w:rsidR="00EB6608" w:rsidRPr="008D35B0">
        <w:rPr>
          <w:rFonts w:cs="Arial"/>
          <w:bCs/>
        </w:rPr>
        <w:t xml:space="preserve"> only where the life of the asset and economic </w:t>
      </w:r>
      <w:r w:rsidR="00454003" w:rsidRPr="008D35B0">
        <w:rPr>
          <w:rFonts w:cs="Arial"/>
          <w:bCs/>
        </w:rPr>
        <w:t>environment</w:t>
      </w:r>
      <w:r w:rsidR="00EB6608" w:rsidRPr="008D35B0">
        <w:rPr>
          <w:rFonts w:cs="Arial"/>
          <w:bCs/>
        </w:rPr>
        <w:t xml:space="preserve"> make </w:t>
      </w:r>
      <w:r w:rsidR="00BF403E" w:rsidRPr="008D35B0">
        <w:rPr>
          <w:rFonts w:cs="Arial"/>
          <w:bCs/>
        </w:rPr>
        <w:t xml:space="preserve">it the most </w:t>
      </w:r>
      <w:r w:rsidR="00EB6608" w:rsidRPr="008D35B0">
        <w:rPr>
          <w:rFonts w:cs="Arial"/>
          <w:bCs/>
        </w:rPr>
        <w:t xml:space="preserve">efficient way of financing </w:t>
      </w:r>
      <w:r w:rsidRPr="008D35B0">
        <w:rPr>
          <w:rFonts w:cs="Arial"/>
          <w:bCs/>
        </w:rPr>
        <w:t>investment.</w:t>
      </w:r>
    </w:p>
    <w:p w14:paraId="5976E017" w14:textId="77777777" w:rsidR="007903D1" w:rsidRPr="00AA3B43" w:rsidRDefault="007903D1" w:rsidP="00AA3B43">
      <w:pPr>
        <w:pStyle w:val="ListParagraph"/>
        <w:spacing w:line="240" w:lineRule="auto"/>
        <w:ind w:left="1440"/>
        <w:contextualSpacing w:val="0"/>
        <w:jc w:val="both"/>
        <w:rPr>
          <w:rFonts w:cs="Arial"/>
        </w:rPr>
      </w:pPr>
    </w:p>
    <w:p w14:paraId="407FB51C" w14:textId="064C7087" w:rsidR="0039410C" w:rsidRPr="00AA3B43" w:rsidRDefault="0039410C" w:rsidP="00AA3B43">
      <w:pPr>
        <w:pStyle w:val="ListParagraph"/>
        <w:numPr>
          <w:ilvl w:val="0"/>
          <w:numId w:val="1"/>
        </w:numPr>
        <w:spacing w:line="240" w:lineRule="auto"/>
        <w:contextualSpacing w:val="0"/>
        <w:jc w:val="both"/>
        <w:rPr>
          <w:rFonts w:cs="Arial"/>
        </w:rPr>
      </w:pPr>
      <w:r w:rsidRPr="00AA3B43">
        <w:rPr>
          <w:rFonts w:cs="Arial"/>
        </w:rPr>
        <w:t xml:space="preserve">These elements are the aims of the PCC’s </w:t>
      </w:r>
      <w:r w:rsidR="00312CA4">
        <w:rPr>
          <w:rFonts w:cs="Arial"/>
        </w:rPr>
        <w:t>R</w:t>
      </w:r>
      <w:r w:rsidRPr="00AA3B43">
        <w:rPr>
          <w:rFonts w:cs="Arial"/>
        </w:rPr>
        <w:t xml:space="preserve">eserves </w:t>
      </w:r>
      <w:r w:rsidR="00312CA4">
        <w:rPr>
          <w:rFonts w:cs="Arial"/>
        </w:rPr>
        <w:t>S</w:t>
      </w:r>
      <w:r w:rsidRPr="00AA3B43">
        <w:rPr>
          <w:rFonts w:cs="Arial"/>
        </w:rPr>
        <w:t xml:space="preserve">trategy and have not changed, however, the attainment of these aims has </w:t>
      </w:r>
      <w:r w:rsidR="002873B0" w:rsidRPr="00AA3B43">
        <w:rPr>
          <w:rFonts w:cs="Arial"/>
        </w:rPr>
        <w:t>become more challenging due to the current financial climate</w:t>
      </w:r>
      <w:r w:rsidRPr="00AA3B43">
        <w:rPr>
          <w:rFonts w:cs="Arial"/>
        </w:rPr>
        <w:t xml:space="preserve">. The aims are the </w:t>
      </w:r>
      <w:r w:rsidR="00FE3F29" w:rsidRPr="00AA3B43">
        <w:rPr>
          <w:rFonts w:cs="Arial"/>
        </w:rPr>
        <w:t>overarching</w:t>
      </w:r>
      <w:r w:rsidRPr="00AA3B43">
        <w:rPr>
          <w:rFonts w:cs="Arial"/>
        </w:rPr>
        <w:t xml:space="preserve"> guiding principle</w:t>
      </w:r>
      <w:r w:rsidR="00683B68" w:rsidRPr="00AA3B43">
        <w:rPr>
          <w:rFonts w:cs="Arial"/>
        </w:rPr>
        <w:t>s</w:t>
      </w:r>
      <w:r w:rsidRPr="00AA3B43">
        <w:rPr>
          <w:rFonts w:cs="Arial"/>
        </w:rPr>
        <w:t xml:space="preserve"> to which the </w:t>
      </w:r>
      <w:r w:rsidR="009036F1">
        <w:rPr>
          <w:rFonts w:cs="Arial"/>
        </w:rPr>
        <w:t>R</w:t>
      </w:r>
      <w:r w:rsidRPr="00AA3B43">
        <w:rPr>
          <w:rFonts w:cs="Arial"/>
        </w:rPr>
        <w:t xml:space="preserve">eserves </w:t>
      </w:r>
      <w:r w:rsidR="009036F1">
        <w:rPr>
          <w:rFonts w:cs="Arial"/>
        </w:rPr>
        <w:t>S</w:t>
      </w:r>
      <w:r w:rsidRPr="00AA3B43">
        <w:rPr>
          <w:rFonts w:cs="Arial"/>
        </w:rPr>
        <w:t>trate</w:t>
      </w:r>
      <w:r w:rsidR="00097C21" w:rsidRPr="00AA3B43">
        <w:rPr>
          <w:rFonts w:cs="Arial"/>
        </w:rPr>
        <w:t>g</w:t>
      </w:r>
      <w:r w:rsidRPr="00AA3B43">
        <w:rPr>
          <w:rFonts w:cs="Arial"/>
        </w:rPr>
        <w:t xml:space="preserve">y </w:t>
      </w:r>
      <w:r w:rsidR="00B76684">
        <w:rPr>
          <w:rFonts w:cs="Arial"/>
        </w:rPr>
        <w:t>aspires</w:t>
      </w:r>
      <w:r w:rsidRPr="00AA3B43">
        <w:rPr>
          <w:rFonts w:cs="Arial"/>
        </w:rPr>
        <w:t xml:space="preserve">. </w:t>
      </w:r>
    </w:p>
    <w:p w14:paraId="7E53DC71" w14:textId="77777777" w:rsidR="00BF403E" w:rsidRPr="00AA3B43" w:rsidRDefault="00BF403E" w:rsidP="00AA3B43">
      <w:pPr>
        <w:spacing w:line="240" w:lineRule="auto"/>
        <w:jc w:val="both"/>
        <w:rPr>
          <w:rFonts w:cs="Arial"/>
        </w:rPr>
      </w:pPr>
    </w:p>
    <w:p w14:paraId="723CE31E" w14:textId="77777777" w:rsidR="00BF403E" w:rsidRPr="00AA3B43" w:rsidRDefault="00BF403E" w:rsidP="00AA3B43">
      <w:pPr>
        <w:pStyle w:val="ListParagraph"/>
        <w:spacing w:line="240" w:lineRule="auto"/>
        <w:contextualSpacing w:val="0"/>
        <w:jc w:val="both"/>
        <w:rPr>
          <w:rFonts w:cs="Arial"/>
          <w:b/>
        </w:rPr>
      </w:pPr>
      <w:r w:rsidRPr="00AA3B43">
        <w:rPr>
          <w:rFonts w:cs="Arial"/>
          <w:b/>
        </w:rPr>
        <w:t>Reserve Levels</w:t>
      </w:r>
    </w:p>
    <w:p w14:paraId="27193567" w14:textId="69218DCF" w:rsidR="000B7F03" w:rsidRPr="00AA3B43" w:rsidRDefault="000B7F03" w:rsidP="00AA3B43">
      <w:pPr>
        <w:pStyle w:val="ListParagraph"/>
        <w:numPr>
          <w:ilvl w:val="0"/>
          <w:numId w:val="1"/>
        </w:numPr>
        <w:spacing w:line="240" w:lineRule="auto"/>
        <w:contextualSpacing w:val="0"/>
        <w:jc w:val="both"/>
        <w:rPr>
          <w:rFonts w:cs="Arial"/>
        </w:rPr>
      </w:pPr>
      <w:r w:rsidRPr="00AA3B43">
        <w:rPr>
          <w:rFonts w:cs="Arial"/>
        </w:rPr>
        <w:t xml:space="preserve">The </w:t>
      </w:r>
      <w:r w:rsidR="00552559">
        <w:rPr>
          <w:rFonts w:cs="Arial"/>
        </w:rPr>
        <w:t>number and type of reserves</w:t>
      </w:r>
      <w:r w:rsidR="004E1EB6">
        <w:rPr>
          <w:rFonts w:cs="Arial"/>
        </w:rPr>
        <w:t xml:space="preserve"> as well as the level held in those reserves is reviewed on a regular basis. </w:t>
      </w:r>
      <w:r w:rsidR="00C1484E" w:rsidRPr="003B61FD">
        <w:rPr>
          <w:rFonts w:cs="Arial"/>
        </w:rPr>
        <w:t xml:space="preserve">The total general and earmarked reserves are expected to be </w:t>
      </w:r>
      <w:r w:rsidR="00C1484E" w:rsidRPr="001C1066">
        <w:rPr>
          <w:rFonts w:cs="Arial"/>
        </w:rPr>
        <w:t>£</w:t>
      </w:r>
      <w:r w:rsidR="001C1066" w:rsidRPr="001C1066">
        <w:rPr>
          <w:rFonts w:cs="Arial"/>
        </w:rPr>
        <w:t>44.8</w:t>
      </w:r>
      <w:r w:rsidR="00C1484E" w:rsidRPr="001C1066">
        <w:rPr>
          <w:rFonts w:cs="Arial"/>
        </w:rPr>
        <w:t xml:space="preserve">m </w:t>
      </w:r>
      <w:r w:rsidR="00C1484E" w:rsidRPr="003B61FD">
        <w:rPr>
          <w:rFonts w:cs="Arial"/>
        </w:rPr>
        <w:t>as at 1 April 202</w:t>
      </w:r>
      <w:r w:rsidR="003260A4">
        <w:rPr>
          <w:rFonts w:cs="Arial"/>
        </w:rPr>
        <w:t>6</w:t>
      </w:r>
      <w:r w:rsidR="00C1484E" w:rsidRPr="003B61FD">
        <w:rPr>
          <w:rFonts w:cs="Arial"/>
        </w:rPr>
        <w:t xml:space="preserve">. Of this, the general reserve will amount to </w:t>
      </w:r>
      <w:r w:rsidR="00C1484E" w:rsidRPr="001C1066">
        <w:rPr>
          <w:rFonts w:cs="Arial"/>
        </w:rPr>
        <w:t>£13.</w:t>
      </w:r>
      <w:r w:rsidR="001C1066" w:rsidRPr="001C1066">
        <w:rPr>
          <w:rFonts w:cs="Arial"/>
        </w:rPr>
        <w:t>6</w:t>
      </w:r>
      <w:r w:rsidR="00C1484E" w:rsidRPr="001C1066">
        <w:rPr>
          <w:rFonts w:cs="Arial"/>
        </w:rPr>
        <w:t xml:space="preserve">m </w:t>
      </w:r>
      <w:r w:rsidR="00C1484E" w:rsidRPr="003B61FD">
        <w:rPr>
          <w:rFonts w:cs="Arial"/>
        </w:rPr>
        <w:t xml:space="preserve">or 3% of the net budget. </w:t>
      </w:r>
      <w:r w:rsidRPr="00AA3B43">
        <w:rPr>
          <w:rFonts w:cs="Arial"/>
        </w:rPr>
        <w:t>This is the current level of reserves recommended by the PCC CFO</w:t>
      </w:r>
      <w:r w:rsidR="00AD337D" w:rsidRPr="00AA3B43">
        <w:rPr>
          <w:rFonts w:cs="Arial"/>
        </w:rPr>
        <w:t xml:space="preserve"> in the </w:t>
      </w:r>
      <w:r w:rsidRPr="00AA3B43">
        <w:rPr>
          <w:rFonts w:cs="Arial"/>
        </w:rPr>
        <w:t xml:space="preserve">strategy </w:t>
      </w:r>
      <w:r w:rsidR="005F54A2" w:rsidRPr="00AA3B43">
        <w:rPr>
          <w:rFonts w:cs="Arial"/>
        </w:rPr>
        <w:t xml:space="preserve">to be held </w:t>
      </w:r>
      <w:r w:rsidRPr="00AA3B43">
        <w:rPr>
          <w:rFonts w:cs="Arial"/>
        </w:rPr>
        <w:t>for general contingency</w:t>
      </w:r>
      <w:r w:rsidR="00AD337D" w:rsidRPr="00AA3B43">
        <w:rPr>
          <w:rFonts w:cs="Arial"/>
        </w:rPr>
        <w:t xml:space="preserve">. This level is </w:t>
      </w:r>
      <w:r w:rsidR="00F4427D" w:rsidRPr="00AA3B43">
        <w:rPr>
          <w:rFonts w:cs="Arial"/>
        </w:rPr>
        <w:t>regarded</w:t>
      </w:r>
      <w:r w:rsidR="00AD337D" w:rsidRPr="00AA3B43">
        <w:rPr>
          <w:rFonts w:cs="Arial"/>
        </w:rPr>
        <w:t xml:space="preserve"> </w:t>
      </w:r>
      <w:r w:rsidRPr="00AA3B43">
        <w:rPr>
          <w:rFonts w:cs="Arial"/>
        </w:rPr>
        <w:t xml:space="preserve">best practice and comparable with other PCCs. The MTFP, budget and </w:t>
      </w:r>
      <w:r w:rsidR="00430F5C">
        <w:rPr>
          <w:rFonts w:cs="Arial"/>
        </w:rPr>
        <w:t>R</w:t>
      </w:r>
      <w:r w:rsidRPr="00AA3B43">
        <w:rPr>
          <w:rFonts w:cs="Arial"/>
        </w:rPr>
        <w:t xml:space="preserve">eserves </w:t>
      </w:r>
      <w:r w:rsidR="00430F5C">
        <w:rPr>
          <w:rFonts w:cs="Arial"/>
        </w:rPr>
        <w:t>S</w:t>
      </w:r>
      <w:r w:rsidRPr="00AA3B43">
        <w:rPr>
          <w:rFonts w:cs="Arial"/>
        </w:rPr>
        <w:t>trategy all have clear guidance on the use of general reserves</w:t>
      </w:r>
      <w:r w:rsidR="00AD337D" w:rsidRPr="00AA3B43">
        <w:rPr>
          <w:rFonts w:cs="Arial"/>
        </w:rPr>
        <w:t>.</w:t>
      </w:r>
      <w:r w:rsidRPr="00AA3B43">
        <w:rPr>
          <w:rFonts w:cs="Arial"/>
        </w:rPr>
        <w:t xml:space="preserve"> </w:t>
      </w:r>
      <w:r w:rsidR="00AD337D" w:rsidRPr="00AA3B43">
        <w:rPr>
          <w:rFonts w:cs="Arial"/>
        </w:rPr>
        <w:t xml:space="preserve">If at any time </w:t>
      </w:r>
      <w:r w:rsidR="00CF1CBF" w:rsidRPr="00AA3B43">
        <w:rPr>
          <w:rFonts w:cs="Arial"/>
        </w:rPr>
        <w:t>g</w:t>
      </w:r>
      <w:r w:rsidR="00AD337D" w:rsidRPr="00AA3B43">
        <w:rPr>
          <w:rFonts w:cs="Arial"/>
        </w:rPr>
        <w:t xml:space="preserve">eneral </w:t>
      </w:r>
      <w:r w:rsidR="00CF1CBF" w:rsidRPr="00AA3B43">
        <w:rPr>
          <w:rFonts w:cs="Arial"/>
        </w:rPr>
        <w:t>r</w:t>
      </w:r>
      <w:r w:rsidR="00AD337D" w:rsidRPr="00AA3B43">
        <w:rPr>
          <w:rFonts w:cs="Arial"/>
        </w:rPr>
        <w:t xml:space="preserve">eserves are utilised so that their level falls below the recommended </w:t>
      </w:r>
      <w:r w:rsidR="005D021E" w:rsidRPr="00AA3B43">
        <w:rPr>
          <w:rFonts w:cs="Arial"/>
        </w:rPr>
        <w:t>level,</w:t>
      </w:r>
      <w:r w:rsidR="00AD337D" w:rsidRPr="00AA3B43">
        <w:rPr>
          <w:rFonts w:cs="Arial"/>
        </w:rPr>
        <w:t xml:space="preserve"> then </w:t>
      </w:r>
      <w:r w:rsidRPr="00AA3B43">
        <w:rPr>
          <w:rFonts w:cs="Arial"/>
        </w:rPr>
        <w:t xml:space="preserve">the first call on the budget is to replenish the general reserves to 3% of the net revenue budget. </w:t>
      </w:r>
    </w:p>
    <w:p w14:paraId="0D226D90" w14:textId="77777777" w:rsidR="00097C21" w:rsidRPr="00AA3B43" w:rsidRDefault="00097C21" w:rsidP="00AA3B43">
      <w:pPr>
        <w:spacing w:line="240" w:lineRule="auto"/>
        <w:ind w:left="709"/>
        <w:jc w:val="both"/>
        <w:rPr>
          <w:rFonts w:cs="Arial"/>
          <w:highlight w:val="yellow"/>
        </w:rPr>
      </w:pPr>
    </w:p>
    <w:p w14:paraId="7CD1E92D" w14:textId="0A727DE7" w:rsidR="00097C21" w:rsidRPr="00AA3B43" w:rsidRDefault="00097C21" w:rsidP="00AA3B43">
      <w:pPr>
        <w:pStyle w:val="ListParagraph"/>
        <w:numPr>
          <w:ilvl w:val="0"/>
          <w:numId w:val="1"/>
        </w:numPr>
        <w:spacing w:line="240" w:lineRule="auto"/>
        <w:ind w:left="709"/>
        <w:contextualSpacing w:val="0"/>
        <w:jc w:val="both"/>
        <w:rPr>
          <w:rFonts w:cs="Arial"/>
        </w:rPr>
      </w:pPr>
      <w:r w:rsidRPr="00AA3B43">
        <w:rPr>
          <w:rFonts w:cs="Arial"/>
        </w:rPr>
        <w:t xml:space="preserve">The remaining reserves are all earmarked. </w:t>
      </w:r>
      <w:r w:rsidRPr="00F41F92">
        <w:rPr>
          <w:rFonts w:cs="Arial"/>
        </w:rPr>
        <w:t xml:space="preserve">It should be noted that the investment reserve is expected to have a balance </w:t>
      </w:r>
      <w:r w:rsidR="000B7F03" w:rsidRPr="00F41F92">
        <w:rPr>
          <w:rFonts w:cs="Arial"/>
        </w:rPr>
        <w:t xml:space="preserve">of </w:t>
      </w:r>
      <w:r w:rsidR="000B7F03" w:rsidRPr="00263856">
        <w:rPr>
          <w:rFonts w:cs="Arial"/>
        </w:rPr>
        <w:t>£0.</w:t>
      </w:r>
      <w:r w:rsidR="00263856" w:rsidRPr="00263856">
        <w:rPr>
          <w:rFonts w:cs="Arial"/>
        </w:rPr>
        <w:t>0</w:t>
      </w:r>
      <w:r w:rsidR="000B7F03" w:rsidRPr="00263856">
        <w:rPr>
          <w:rFonts w:cs="Arial"/>
        </w:rPr>
        <w:t xml:space="preserve">m </w:t>
      </w:r>
      <w:r w:rsidR="000B7F03" w:rsidRPr="00F41F92">
        <w:rPr>
          <w:rFonts w:cs="Arial"/>
        </w:rPr>
        <w:t>a</w:t>
      </w:r>
      <w:r w:rsidR="00702486" w:rsidRPr="00F41F92">
        <w:rPr>
          <w:rFonts w:cs="Arial"/>
        </w:rPr>
        <w:t>cross the MTFP</w:t>
      </w:r>
      <w:r w:rsidRPr="00F41F92">
        <w:rPr>
          <w:rFonts w:cs="Arial"/>
        </w:rPr>
        <w:t xml:space="preserve">. </w:t>
      </w:r>
      <w:r w:rsidRPr="00AA3B43">
        <w:rPr>
          <w:rFonts w:cs="Arial"/>
        </w:rPr>
        <w:t xml:space="preserve">Capital investment will be funded from asset sales during the year and </w:t>
      </w:r>
      <w:r w:rsidR="00F4427D" w:rsidRPr="00AA3B43">
        <w:rPr>
          <w:rFonts w:cs="Arial"/>
        </w:rPr>
        <w:t>borrowing</w:t>
      </w:r>
      <w:r w:rsidRPr="00AA3B43">
        <w:rPr>
          <w:rFonts w:cs="Arial"/>
        </w:rPr>
        <w:t xml:space="preserve">. In the first instance this will be internal borrowing, where the PCC ‘borrows’ from cashflow during the year, reducing the level of funds available for investing in the money markets but reducing the cost of borrowing. </w:t>
      </w:r>
    </w:p>
    <w:p w14:paraId="1BEB6893" w14:textId="77777777" w:rsidR="00097C21" w:rsidRPr="00AA3B43" w:rsidRDefault="00097C21" w:rsidP="00AA3B43">
      <w:pPr>
        <w:pStyle w:val="ListParagraph"/>
        <w:spacing w:line="240" w:lineRule="auto"/>
        <w:ind w:left="709" w:hanging="567"/>
        <w:contextualSpacing w:val="0"/>
        <w:jc w:val="both"/>
        <w:rPr>
          <w:rFonts w:cs="Arial"/>
        </w:rPr>
      </w:pPr>
    </w:p>
    <w:p w14:paraId="6DCB45FF" w14:textId="4BBA8A7D" w:rsidR="00097C21" w:rsidRDefault="00097C21" w:rsidP="00AA3B43">
      <w:pPr>
        <w:pStyle w:val="ListParagraph"/>
        <w:numPr>
          <w:ilvl w:val="0"/>
          <w:numId w:val="1"/>
        </w:numPr>
        <w:spacing w:line="240" w:lineRule="auto"/>
        <w:ind w:left="709"/>
        <w:contextualSpacing w:val="0"/>
        <w:jc w:val="both"/>
        <w:rPr>
          <w:rFonts w:cs="Arial"/>
        </w:rPr>
      </w:pPr>
      <w:r w:rsidRPr="00677692">
        <w:rPr>
          <w:rFonts w:cs="Arial"/>
        </w:rPr>
        <w:t xml:space="preserve">The level of reserves has reduced significantly over the last </w:t>
      </w:r>
      <w:r w:rsidR="000233FD">
        <w:rPr>
          <w:rFonts w:cs="Arial"/>
        </w:rPr>
        <w:t>decade</w:t>
      </w:r>
      <w:r w:rsidRPr="00677692">
        <w:rPr>
          <w:rFonts w:cs="Arial"/>
        </w:rPr>
        <w:t xml:space="preserve"> due to planned use to support recruitment, deliver</w:t>
      </w:r>
      <w:r w:rsidR="00CF1CBF" w:rsidRPr="00677692">
        <w:rPr>
          <w:rFonts w:cs="Arial"/>
        </w:rPr>
        <w:t>y of</w:t>
      </w:r>
      <w:r w:rsidRPr="00677692">
        <w:rPr>
          <w:rFonts w:cs="Arial"/>
        </w:rPr>
        <w:t xml:space="preserve"> capital projects</w:t>
      </w:r>
      <w:r w:rsidR="00AD337D" w:rsidRPr="00677692">
        <w:rPr>
          <w:rFonts w:cs="Arial"/>
        </w:rPr>
        <w:t xml:space="preserve"> and </w:t>
      </w:r>
      <w:r w:rsidRPr="00677692">
        <w:rPr>
          <w:rFonts w:cs="Arial"/>
        </w:rPr>
        <w:t>reducing asset sales</w:t>
      </w:r>
      <w:r w:rsidR="00AD337D" w:rsidRPr="00677692">
        <w:rPr>
          <w:rFonts w:cs="Arial"/>
        </w:rPr>
        <w:t>.</w:t>
      </w:r>
      <w:r w:rsidRPr="00677692">
        <w:rPr>
          <w:rFonts w:cs="Arial"/>
        </w:rPr>
        <w:t xml:space="preserve"> This reflects a strong direction from the Government to reduce policing reserves from </w:t>
      </w:r>
      <w:r w:rsidR="00AD337D" w:rsidRPr="00677692">
        <w:rPr>
          <w:rFonts w:cs="Arial"/>
        </w:rPr>
        <w:t xml:space="preserve">their </w:t>
      </w:r>
      <w:r w:rsidRPr="00677692">
        <w:rPr>
          <w:rFonts w:cs="Arial"/>
        </w:rPr>
        <w:t>high in 2017/18</w:t>
      </w:r>
      <w:r w:rsidR="00881FAE" w:rsidRPr="00677692">
        <w:rPr>
          <w:rFonts w:cs="Arial"/>
        </w:rPr>
        <w:t xml:space="preserve"> but also the strict financial </w:t>
      </w:r>
      <w:r w:rsidR="00EE68E1" w:rsidRPr="00677692">
        <w:rPr>
          <w:rFonts w:cs="Arial"/>
        </w:rPr>
        <w:t>environment</w:t>
      </w:r>
      <w:r w:rsidR="00881FAE" w:rsidRPr="00677692">
        <w:rPr>
          <w:rFonts w:cs="Arial"/>
        </w:rPr>
        <w:t xml:space="preserve"> in which </w:t>
      </w:r>
      <w:r w:rsidR="00EE68E1" w:rsidRPr="00677692">
        <w:rPr>
          <w:rFonts w:cs="Arial"/>
        </w:rPr>
        <w:t>policing</w:t>
      </w:r>
      <w:r w:rsidR="00881FAE" w:rsidRPr="00677692">
        <w:rPr>
          <w:rFonts w:cs="Arial"/>
        </w:rPr>
        <w:t xml:space="preserve"> </w:t>
      </w:r>
      <w:r w:rsidR="00EE68E1" w:rsidRPr="00677692">
        <w:rPr>
          <w:rFonts w:cs="Arial"/>
        </w:rPr>
        <w:t>operates.</w:t>
      </w:r>
      <w:r w:rsidRPr="00677692">
        <w:rPr>
          <w:rFonts w:cs="Arial"/>
        </w:rPr>
        <w:t xml:space="preserve"> </w:t>
      </w:r>
      <w:r w:rsidR="00AD337D" w:rsidRPr="00677692">
        <w:rPr>
          <w:rFonts w:cs="Arial"/>
        </w:rPr>
        <w:t>Re</w:t>
      </w:r>
      <w:r w:rsidR="006B137A">
        <w:rPr>
          <w:rFonts w:cs="Arial"/>
        </w:rPr>
        <w:t>serve levels have recovered and stabilised since</w:t>
      </w:r>
      <w:r w:rsidR="004C4370">
        <w:rPr>
          <w:rFonts w:cs="Arial"/>
        </w:rPr>
        <w:t xml:space="preserve"> 2020/21</w:t>
      </w:r>
      <w:r w:rsidR="001211A5" w:rsidRPr="00677692">
        <w:rPr>
          <w:rFonts w:cs="Arial"/>
        </w:rPr>
        <w:t xml:space="preserve">. </w:t>
      </w:r>
    </w:p>
    <w:p w14:paraId="332FC059" w14:textId="77777777" w:rsidR="00677692" w:rsidRPr="00677692" w:rsidRDefault="00677692" w:rsidP="00677692">
      <w:pPr>
        <w:spacing w:line="240" w:lineRule="auto"/>
        <w:jc w:val="both"/>
        <w:rPr>
          <w:rFonts w:cs="Arial"/>
        </w:rPr>
      </w:pPr>
    </w:p>
    <w:p w14:paraId="2A4926B9" w14:textId="39493A58" w:rsidR="00097C21" w:rsidRPr="00AA3B43" w:rsidRDefault="00097C21" w:rsidP="00AA3B43">
      <w:pPr>
        <w:pStyle w:val="ListParagraph"/>
        <w:numPr>
          <w:ilvl w:val="0"/>
          <w:numId w:val="1"/>
        </w:numPr>
        <w:spacing w:line="240" w:lineRule="auto"/>
        <w:ind w:left="709"/>
        <w:contextualSpacing w:val="0"/>
        <w:jc w:val="both"/>
        <w:rPr>
          <w:rFonts w:cs="Arial"/>
        </w:rPr>
      </w:pPr>
      <w:r w:rsidRPr="00AA3B43">
        <w:rPr>
          <w:rFonts w:cs="Arial"/>
        </w:rPr>
        <w:t xml:space="preserve">The PCC has notified the Chief Constable that any underspends will be taken back into reserves </w:t>
      </w:r>
      <w:r w:rsidR="00F4427D" w:rsidRPr="00AA3B43">
        <w:rPr>
          <w:rFonts w:cs="Arial"/>
        </w:rPr>
        <w:t>to</w:t>
      </w:r>
      <w:r w:rsidRPr="00AA3B43">
        <w:rPr>
          <w:rFonts w:cs="Arial"/>
        </w:rPr>
        <w:t xml:space="preserve"> mitigate risks over the medium term. Any in-year reallocations of underspends will only be considered by the PCC </w:t>
      </w:r>
      <w:r w:rsidR="004C4370">
        <w:rPr>
          <w:rFonts w:cs="Arial"/>
        </w:rPr>
        <w:t>by exception</w:t>
      </w:r>
      <w:r w:rsidRPr="00AA3B43">
        <w:rPr>
          <w:rFonts w:cs="Arial"/>
        </w:rPr>
        <w:t>.</w:t>
      </w:r>
    </w:p>
    <w:p w14:paraId="116B369D" w14:textId="77777777" w:rsidR="00722C9A" w:rsidRPr="00AA3B43" w:rsidRDefault="00722C9A" w:rsidP="00AA3B43">
      <w:pPr>
        <w:spacing w:line="240" w:lineRule="auto"/>
        <w:ind w:left="709"/>
        <w:jc w:val="both"/>
        <w:rPr>
          <w:rFonts w:cs="Arial"/>
        </w:rPr>
      </w:pPr>
    </w:p>
    <w:p w14:paraId="5C37AD82" w14:textId="77777777" w:rsidR="00097C21" w:rsidRPr="00AA3B43" w:rsidRDefault="00097C21" w:rsidP="00AA3B43">
      <w:pPr>
        <w:pStyle w:val="ListParagraph"/>
        <w:numPr>
          <w:ilvl w:val="0"/>
          <w:numId w:val="1"/>
        </w:numPr>
        <w:spacing w:line="240" w:lineRule="auto"/>
        <w:ind w:left="709"/>
        <w:contextualSpacing w:val="0"/>
        <w:jc w:val="both"/>
        <w:rPr>
          <w:rFonts w:cs="Arial"/>
        </w:rPr>
      </w:pPr>
      <w:r w:rsidRPr="00AA3B43">
        <w:rPr>
          <w:rFonts w:cs="Arial"/>
        </w:rPr>
        <w:t>The reserves position over the medium term is set out below:</w:t>
      </w:r>
    </w:p>
    <w:p w14:paraId="5F082958" w14:textId="77777777" w:rsidR="00097C21" w:rsidRPr="00AA3B43" w:rsidRDefault="00097C21" w:rsidP="00AA3B43">
      <w:pPr>
        <w:spacing w:line="240" w:lineRule="auto"/>
        <w:ind w:left="709"/>
        <w:jc w:val="both"/>
        <w:rPr>
          <w:rFonts w:cs="Arial"/>
        </w:rPr>
      </w:pPr>
    </w:p>
    <w:p w14:paraId="3237643E" w14:textId="1AEAEDC8" w:rsidR="00EB01A6" w:rsidRPr="00263856" w:rsidRDefault="000B7F03" w:rsidP="007F66BB">
      <w:pPr>
        <w:spacing w:line="240" w:lineRule="auto"/>
        <w:ind w:left="709" w:firstLine="142"/>
        <w:jc w:val="both"/>
        <w:rPr>
          <w:rFonts w:cs="Arial"/>
          <w:b/>
          <w:bCs/>
          <w:sz w:val="20"/>
          <w:szCs w:val="20"/>
        </w:rPr>
      </w:pPr>
      <w:r w:rsidRPr="00263856">
        <w:rPr>
          <w:rFonts w:cs="Arial"/>
          <w:b/>
          <w:bCs/>
          <w:sz w:val="20"/>
          <w:szCs w:val="20"/>
        </w:rPr>
        <w:t>Table 1: Reserves over the MTFP</w:t>
      </w:r>
    </w:p>
    <w:tbl>
      <w:tblPr>
        <w:tblpPr w:leftFromText="180" w:rightFromText="180" w:vertAnchor="text" w:horzAnchor="margin" w:tblpXSpec="center" w:tblpY="166"/>
        <w:tblW w:w="9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1125"/>
        <w:gridCol w:w="1125"/>
        <w:gridCol w:w="1050"/>
        <w:gridCol w:w="1050"/>
        <w:gridCol w:w="1275"/>
        <w:gridCol w:w="1050"/>
      </w:tblGrid>
      <w:tr w:rsidR="006371CE" w:rsidRPr="006371CE" w14:paraId="17EBB027" w14:textId="77777777" w:rsidTr="006371CE">
        <w:trPr>
          <w:trHeight w:val="300"/>
        </w:trPr>
        <w:tc>
          <w:tcPr>
            <w:tcW w:w="2550" w:type="dxa"/>
            <w:tcBorders>
              <w:top w:val="single" w:sz="6" w:space="0" w:color="auto"/>
              <w:left w:val="single" w:sz="6" w:space="0" w:color="auto"/>
              <w:bottom w:val="single" w:sz="6" w:space="0" w:color="auto"/>
              <w:right w:val="single" w:sz="6" w:space="0" w:color="auto"/>
            </w:tcBorders>
            <w:hideMark/>
          </w:tcPr>
          <w:p w14:paraId="329FBCB6" w14:textId="77777777" w:rsidR="006371CE" w:rsidRPr="006371CE" w:rsidRDefault="006371CE" w:rsidP="006371CE">
            <w:pPr>
              <w:spacing w:line="240" w:lineRule="auto"/>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Reserve</w:t>
            </w:r>
            <w:r w:rsidRPr="006371CE">
              <w:rPr>
                <w:rFonts w:eastAsia="Times New Roman" w:cs="Arial"/>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hideMark/>
          </w:tcPr>
          <w:p w14:paraId="35177240"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2025/26</w:t>
            </w:r>
            <w:r w:rsidRPr="006371CE">
              <w:rPr>
                <w:rFonts w:eastAsia="Times New Roman" w:cs="Arial"/>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hideMark/>
          </w:tcPr>
          <w:p w14:paraId="5F86DCD0"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2026/27</w:t>
            </w:r>
            <w:r w:rsidRPr="006371CE">
              <w:rPr>
                <w:rFonts w:eastAsia="Times New Roman" w:cs="Arial"/>
                <w:sz w:val="20"/>
                <w:szCs w:val="20"/>
                <w:lang w:eastAsia="en-GB"/>
              </w:rPr>
              <w:t> </w:t>
            </w:r>
          </w:p>
        </w:tc>
        <w:tc>
          <w:tcPr>
            <w:tcW w:w="1050" w:type="dxa"/>
            <w:tcBorders>
              <w:top w:val="single" w:sz="6" w:space="0" w:color="auto"/>
              <w:left w:val="single" w:sz="6" w:space="0" w:color="auto"/>
              <w:bottom w:val="single" w:sz="6" w:space="0" w:color="auto"/>
              <w:right w:val="single" w:sz="6" w:space="0" w:color="auto"/>
            </w:tcBorders>
            <w:hideMark/>
          </w:tcPr>
          <w:p w14:paraId="53D1F00D"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2027/28</w:t>
            </w:r>
            <w:r w:rsidRPr="006371CE">
              <w:rPr>
                <w:rFonts w:eastAsia="Times New Roman" w:cs="Arial"/>
                <w:sz w:val="20"/>
                <w:szCs w:val="20"/>
                <w:lang w:eastAsia="en-GB"/>
              </w:rPr>
              <w:t> </w:t>
            </w:r>
          </w:p>
        </w:tc>
        <w:tc>
          <w:tcPr>
            <w:tcW w:w="1050" w:type="dxa"/>
            <w:tcBorders>
              <w:top w:val="single" w:sz="6" w:space="0" w:color="auto"/>
              <w:left w:val="single" w:sz="6" w:space="0" w:color="auto"/>
              <w:bottom w:val="single" w:sz="6" w:space="0" w:color="auto"/>
              <w:right w:val="single" w:sz="6" w:space="0" w:color="auto"/>
            </w:tcBorders>
            <w:hideMark/>
          </w:tcPr>
          <w:p w14:paraId="37F3106B"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2028/29</w:t>
            </w:r>
            <w:r w:rsidRPr="006371CE">
              <w:rPr>
                <w:rFonts w:eastAsia="Times New Roman"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hideMark/>
          </w:tcPr>
          <w:p w14:paraId="02C9AFB8"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2029/30</w:t>
            </w:r>
            <w:r w:rsidRPr="006371CE">
              <w:rPr>
                <w:rFonts w:eastAsia="Times New Roman" w:cs="Arial"/>
                <w:sz w:val="20"/>
                <w:szCs w:val="20"/>
                <w:lang w:eastAsia="en-GB"/>
              </w:rPr>
              <w:t> </w:t>
            </w:r>
          </w:p>
        </w:tc>
        <w:tc>
          <w:tcPr>
            <w:tcW w:w="1050" w:type="dxa"/>
            <w:tcBorders>
              <w:top w:val="single" w:sz="6" w:space="0" w:color="auto"/>
              <w:left w:val="single" w:sz="6" w:space="0" w:color="auto"/>
              <w:bottom w:val="single" w:sz="6" w:space="0" w:color="auto"/>
              <w:right w:val="single" w:sz="6" w:space="0" w:color="auto"/>
            </w:tcBorders>
            <w:hideMark/>
          </w:tcPr>
          <w:p w14:paraId="0E66C6F7"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2030/31</w:t>
            </w:r>
            <w:r w:rsidRPr="006371CE">
              <w:rPr>
                <w:rFonts w:eastAsia="Times New Roman" w:cs="Arial"/>
                <w:sz w:val="20"/>
                <w:szCs w:val="20"/>
                <w:lang w:eastAsia="en-GB"/>
              </w:rPr>
              <w:t> </w:t>
            </w:r>
          </w:p>
        </w:tc>
      </w:tr>
      <w:tr w:rsidR="006371CE" w:rsidRPr="006371CE" w14:paraId="7E1D3A85" w14:textId="77777777" w:rsidTr="006371CE">
        <w:trPr>
          <w:trHeight w:val="300"/>
        </w:trPr>
        <w:tc>
          <w:tcPr>
            <w:tcW w:w="2550" w:type="dxa"/>
            <w:tcBorders>
              <w:top w:val="single" w:sz="6" w:space="0" w:color="auto"/>
              <w:left w:val="single" w:sz="6" w:space="0" w:color="auto"/>
              <w:bottom w:val="single" w:sz="6" w:space="0" w:color="auto"/>
              <w:right w:val="single" w:sz="6" w:space="0" w:color="auto"/>
            </w:tcBorders>
            <w:hideMark/>
          </w:tcPr>
          <w:p w14:paraId="47D1780C" w14:textId="77777777" w:rsidR="006371CE" w:rsidRPr="006371CE" w:rsidRDefault="006371CE" w:rsidP="006371CE">
            <w:pPr>
              <w:spacing w:line="240" w:lineRule="auto"/>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hideMark/>
          </w:tcPr>
          <w:p w14:paraId="49F740D2"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£m</w:t>
            </w:r>
            <w:r w:rsidRPr="006371CE">
              <w:rPr>
                <w:rFonts w:eastAsia="Times New Roman" w:cs="Arial"/>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hideMark/>
          </w:tcPr>
          <w:p w14:paraId="2D7E97AD"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£m</w:t>
            </w:r>
            <w:r w:rsidRPr="006371CE">
              <w:rPr>
                <w:rFonts w:eastAsia="Times New Roman" w:cs="Arial"/>
                <w:sz w:val="20"/>
                <w:szCs w:val="20"/>
                <w:lang w:eastAsia="en-GB"/>
              </w:rPr>
              <w:t> </w:t>
            </w:r>
          </w:p>
        </w:tc>
        <w:tc>
          <w:tcPr>
            <w:tcW w:w="1050" w:type="dxa"/>
            <w:tcBorders>
              <w:top w:val="single" w:sz="6" w:space="0" w:color="auto"/>
              <w:left w:val="single" w:sz="6" w:space="0" w:color="auto"/>
              <w:bottom w:val="single" w:sz="6" w:space="0" w:color="auto"/>
              <w:right w:val="single" w:sz="6" w:space="0" w:color="auto"/>
            </w:tcBorders>
            <w:hideMark/>
          </w:tcPr>
          <w:p w14:paraId="6C8D8416"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£m</w:t>
            </w:r>
            <w:r w:rsidRPr="006371CE">
              <w:rPr>
                <w:rFonts w:eastAsia="Times New Roman" w:cs="Arial"/>
                <w:sz w:val="20"/>
                <w:szCs w:val="20"/>
                <w:lang w:eastAsia="en-GB"/>
              </w:rPr>
              <w:t> </w:t>
            </w:r>
          </w:p>
        </w:tc>
        <w:tc>
          <w:tcPr>
            <w:tcW w:w="1050" w:type="dxa"/>
            <w:tcBorders>
              <w:top w:val="single" w:sz="6" w:space="0" w:color="auto"/>
              <w:left w:val="single" w:sz="6" w:space="0" w:color="auto"/>
              <w:bottom w:val="single" w:sz="6" w:space="0" w:color="auto"/>
              <w:right w:val="single" w:sz="6" w:space="0" w:color="auto"/>
            </w:tcBorders>
            <w:hideMark/>
          </w:tcPr>
          <w:p w14:paraId="0C1141B2"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£m</w:t>
            </w:r>
            <w:r w:rsidRPr="006371CE">
              <w:rPr>
                <w:rFonts w:eastAsia="Times New Roman"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hideMark/>
          </w:tcPr>
          <w:p w14:paraId="0D120D54"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£m</w:t>
            </w:r>
            <w:r w:rsidRPr="006371CE">
              <w:rPr>
                <w:rFonts w:eastAsia="Times New Roman" w:cs="Arial"/>
                <w:sz w:val="20"/>
                <w:szCs w:val="20"/>
                <w:lang w:eastAsia="en-GB"/>
              </w:rPr>
              <w:t> </w:t>
            </w:r>
          </w:p>
        </w:tc>
        <w:tc>
          <w:tcPr>
            <w:tcW w:w="1050" w:type="dxa"/>
            <w:tcBorders>
              <w:top w:val="single" w:sz="6" w:space="0" w:color="auto"/>
              <w:left w:val="single" w:sz="6" w:space="0" w:color="auto"/>
              <w:bottom w:val="single" w:sz="6" w:space="0" w:color="auto"/>
              <w:right w:val="single" w:sz="6" w:space="0" w:color="auto"/>
            </w:tcBorders>
            <w:hideMark/>
          </w:tcPr>
          <w:p w14:paraId="089603D2"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£m</w:t>
            </w:r>
            <w:r w:rsidRPr="006371CE">
              <w:rPr>
                <w:rFonts w:eastAsia="Times New Roman" w:cs="Arial"/>
                <w:sz w:val="20"/>
                <w:szCs w:val="20"/>
                <w:lang w:eastAsia="en-GB"/>
              </w:rPr>
              <w:t> </w:t>
            </w:r>
          </w:p>
        </w:tc>
      </w:tr>
      <w:tr w:rsidR="006371CE" w:rsidRPr="006371CE" w14:paraId="6C4CB421" w14:textId="77777777" w:rsidTr="006371CE">
        <w:trPr>
          <w:trHeight w:val="300"/>
        </w:trPr>
        <w:tc>
          <w:tcPr>
            <w:tcW w:w="2550" w:type="dxa"/>
            <w:tcBorders>
              <w:top w:val="single" w:sz="6" w:space="0" w:color="auto"/>
              <w:left w:val="single" w:sz="6" w:space="0" w:color="auto"/>
              <w:bottom w:val="single" w:sz="6" w:space="0" w:color="auto"/>
              <w:right w:val="single" w:sz="6" w:space="0" w:color="auto"/>
            </w:tcBorders>
            <w:hideMark/>
          </w:tcPr>
          <w:p w14:paraId="425AF91A" w14:textId="77777777" w:rsidR="006371CE" w:rsidRPr="006371CE" w:rsidRDefault="006371CE" w:rsidP="006371CE">
            <w:pPr>
              <w:spacing w:line="240" w:lineRule="auto"/>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General </w:t>
            </w:r>
          </w:p>
        </w:tc>
        <w:tc>
          <w:tcPr>
            <w:tcW w:w="1125" w:type="dxa"/>
            <w:tcBorders>
              <w:top w:val="single" w:sz="6" w:space="0" w:color="auto"/>
              <w:left w:val="single" w:sz="6" w:space="0" w:color="auto"/>
              <w:bottom w:val="single" w:sz="6" w:space="0" w:color="auto"/>
              <w:right w:val="single" w:sz="6" w:space="0" w:color="auto"/>
            </w:tcBorders>
            <w:hideMark/>
          </w:tcPr>
          <w:p w14:paraId="37132CCB"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13.6 </w:t>
            </w:r>
          </w:p>
        </w:tc>
        <w:tc>
          <w:tcPr>
            <w:tcW w:w="1125" w:type="dxa"/>
            <w:tcBorders>
              <w:top w:val="single" w:sz="6" w:space="0" w:color="auto"/>
              <w:left w:val="single" w:sz="6" w:space="0" w:color="auto"/>
              <w:bottom w:val="single" w:sz="6" w:space="0" w:color="auto"/>
              <w:right w:val="single" w:sz="6" w:space="0" w:color="auto"/>
            </w:tcBorders>
            <w:hideMark/>
          </w:tcPr>
          <w:p w14:paraId="75AA331F"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13.9 </w:t>
            </w:r>
          </w:p>
        </w:tc>
        <w:tc>
          <w:tcPr>
            <w:tcW w:w="1050" w:type="dxa"/>
            <w:tcBorders>
              <w:top w:val="single" w:sz="6" w:space="0" w:color="auto"/>
              <w:left w:val="single" w:sz="6" w:space="0" w:color="auto"/>
              <w:bottom w:val="single" w:sz="6" w:space="0" w:color="auto"/>
              <w:right w:val="single" w:sz="6" w:space="0" w:color="auto"/>
            </w:tcBorders>
            <w:hideMark/>
          </w:tcPr>
          <w:p w14:paraId="1D782220"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14.2 </w:t>
            </w:r>
          </w:p>
        </w:tc>
        <w:tc>
          <w:tcPr>
            <w:tcW w:w="1050" w:type="dxa"/>
            <w:tcBorders>
              <w:top w:val="single" w:sz="6" w:space="0" w:color="auto"/>
              <w:left w:val="single" w:sz="6" w:space="0" w:color="auto"/>
              <w:bottom w:val="single" w:sz="6" w:space="0" w:color="auto"/>
              <w:right w:val="single" w:sz="6" w:space="0" w:color="auto"/>
            </w:tcBorders>
            <w:hideMark/>
          </w:tcPr>
          <w:p w14:paraId="24C1F4D4"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14.5 </w:t>
            </w:r>
          </w:p>
        </w:tc>
        <w:tc>
          <w:tcPr>
            <w:tcW w:w="1275" w:type="dxa"/>
            <w:tcBorders>
              <w:top w:val="single" w:sz="6" w:space="0" w:color="auto"/>
              <w:left w:val="single" w:sz="6" w:space="0" w:color="auto"/>
              <w:bottom w:val="single" w:sz="6" w:space="0" w:color="auto"/>
              <w:right w:val="single" w:sz="6" w:space="0" w:color="auto"/>
            </w:tcBorders>
            <w:hideMark/>
          </w:tcPr>
          <w:p w14:paraId="3FDA1C44"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14.7 </w:t>
            </w:r>
          </w:p>
        </w:tc>
        <w:tc>
          <w:tcPr>
            <w:tcW w:w="1050" w:type="dxa"/>
            <w:tcBorders>
              <w:top w:val="single" w:sz="6" w:space="0" w:color="auto"/>
              <w:left w:val="single" w:sz="6" w:space="0" w:color="auto"/>
              <w:bottom w:val="single" w:sz="6" w:space="0" w:color="auto"/>
              <w:right w:val="single" w:sz="6" w:space="0" w:color="auto"/>
            </w:tcBorders>
            <w:hideMark/>
          </w:tcPr>
          <w:p w14:paraId="2D7B3FD6"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15.0 </w:t>
            </w:r>
          </w:p>
        </w:tc>
      </w:tr>
      <w:tr w:rsidR="006371CE" w:rsidRPr="006371CE" w14:paraId="18722987" w14:textId="77777777" w:rsidTr="006371CE">
        <w:trPr>
          <w:trHeight w:val="300"/>
        </w:trPr>
        <w:tc>
          <w:tcPr>
            <w:tcW w:w="2550" w:type="dxa"/>
            <w:tcBorders>
              <w:top w:val="single" w:sz="6" w:space="0" w:color="auto"/>
              <w:left w:val="single" w:sz="6" w:space="0" w:color="auto"/>
              <w:bottom w:val="single" w:sz="6" w:space="0" w:color="auto"/>
              <w:right w:val="single" w:sz="6" w:space="0" w:color="auto"/>
            </w:tcBorders>
            <w:hideMark/>
          </w:tcPr>
          <w:p w14:paraId="55A74974" w14:textId="77777777" w:rsidR="006371CE" w:rsidRPr="006371CE" w:rsidRDefault="006371CE" w:rsidP="006371CE">
            <w:pPr>
              <w:spacing w:line="240" w:lineRule="auto"/>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Risk (inc. Insurance) </w:t>
            </w:r>
          </w:p>
        </w:tc>
        <w:tc>
          <w:tcPr>
            <w:tcW w:w="1125" w:type="dxa"/>
            <w:tcBorders>
              <w:top w:val="single" w:sz="6" w:space="0" w:color="auto"/>
              <w:left w:val="single" w:sz="6" w:space="0" w:color="auto"/>
              <w:bottom w:val="single" w:sz="6" w:space="0" w:color="auto"/>
              <w:right w:val="single" w:sz="6" w:space="0" w:color="auto"/>
            </w:tcBorders>
            <w:hideMark/>
          </w:tcPr>
          <w:p w14:paraId="0DB9BD89"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19.7 </w:t>
            </w:r>
          </w:p>
        </w:tc>
        <w:tc>
          <w:tcPr>
            <w:tcW w:w="1125" w:type="dxa"/>
            <w:tcBorders>
              <w:top w:val="single" w:sz="6" w:space="0" w:color="auto"/>
              <w:left w:val="single" w:sz="6" w:space="0" w:color="auto"/>
              <w:bottom w:val="single" w:sz="6" w:space="0" w:color="auto"/>
              <w:right w:val="single" w:sz="6" w:space="0" w:color="auto"/>
            </w:tcBorders>
            <w:hideMark/>
          </w:tcPr>
          <w:p w14:paraId="29A8F4CE"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18.8 </w:t>
            </w:r>
          </w:p>
        </w:tc>
        <w:tc>
          <w:tcPr>
            <w:tcW w:w="1050" w:type="dxa"/>
            <w:tcBorders>
              <w:top w:val="single" w:sz="6" w:space="0" w:color="auto"/>
              <w:left w:val="single" w:sz="6" w:space="0" w:color="auto"/>
              <w:bottom w:val="single" w:sz="6" w:space="0" w:color="auto"/>
              <w:right w:val="single" w:sz="6" w:space="0" w:color="auto"/>
            </w:tcBorders>
            <w:hideMark/>
          </w:tcPr>
          <w:p w14:paraId="51C459FA"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16.7 </w:t>
            </w:r>
          </w:p>
        </w:tc>
        <w:tc>
          <w:tcPr>
            <w:tcW w:w="1050" w:type="dxa"/>
            <w:tcBorders>
              <w:top w:val="single" w:sz="6" w:space="0" w:color="auto"/>
              <w:left w:val="single" w:sz="6" w:space="0" w:color="auto"/>
              <w:bottom w:val="single" w:sz="6" w:space="0" w:color="auto"/>
              <w:right w:val="single" w:sz="6" w:space="0" w:color="auto"/>
            </w:tcBorders>
            <w:hideMark/>
          </w:tcPr>
          <w:p w14:paraId="74BCAF2C"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14.8 </w:t>
            </w:r>
          </w:p>
        </w:tc>
        <w:tc>
          <w:tcPr>
            <w:tcW w:w="1275" w:type="dxa"/>
            <w:tcBorders>
              <w:top w:val="single" w:sz="6" w:space="0" w:color="auto"/>
              <w:left w:val="single" w:sz="6" w:space="0" w:color="auto"/>
              <w:bottom w:val="single" w:sz="6" w:space="0" w:color="auto"/>
              <w:right w:val="single" w:sz="6" w:space="0" w:color="auto"/>
            </w:tcBorders>
            <w:hideMark/>
          </w:tcPr>
          <w:p w14:paraId="059925A5"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13.0 </w:t>
            </w:r>
          </w:p>
        </w:tc>
        <w:tc>
          <w:tcPr>
            <w:tcW w:w="1050" w:type="dxa"/>
            <w:tcBorders>
              <w:top w:val="single" w:sz="6" w:space="0" w:color="auto"/>
              <w:left w:val="single" w:sz="6" w:space="0" w:color="auto"/>
              <w:bottom w:val="single" w:sz="6" w:space="0" w:color="auto"/>
              <w:right w:val="single" w:sz="6" w:space="0" w:color="auto"/>
            </w:tcBorders>
            <w:hideMark/>
          </w:tcPr>
          <w:p w14:paraId="5F45EBC1"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11.5 </w:t>
            </w:r>
          </w:p>
        </w:tc>
      </w:tr>
      <w:tr w:rsidR="006371CE" w:rsidRPr="006371CE" w14:paraId="60C534D2" w14:textId="77777777" w:rsidTr="006371CE">
        <w:trPr>
          <w:trHeight w:val="300"/>
        </w:trPr>
        <w:tc>
          <w:tcPr>
            <w:tcW w:w="2550" w:type="dxa"/>
            <w:tcBorders>
              <w:top w:val="single" w:sz="6" w:space="0" w:color="auto"/>
              <w:left w:val="single" w:sz="6" w:space="0" w:color="auto"/>
              <w:bottom w:val="single" w:sz="6" w:space="0" w:color="auto"/>
              <w:right w:val="single" w:sz="6" w:space="0" w:color="auto"/>
            </w:tcBorders>
            <w:hideMark/>
          </w:tcPr>
          <w:p w14:paraId="6EAFCE6C" w14:textId="77777777" w:rsidR="006371CE" w:rsidRPr="006371CE" w:rsidRDefault="006371CE" w:rsidP="006371CE">
            <w:pPr>
              <w:spacing w:line="240" w:lineRule="auto"/>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Investment Reserve </w:t>
            </w:r>
          </w:p>
        </w:tc>
        <w:tc>
          <w:tcPr>
            <w:tcW w:w="1125" w:type="dxa"/>
            <w:tcBorders>
              <w:top w:val="single" w:sz="6" w:space="0" w:color="auto"/>
              <w:left w:val="single" w:sz="6" w:space="0" w:color="auto"/>
              <w:bottom w:val="single" w:sz="6" w:space="0" w:color="auto"/>
              <w:right w:val="single" w:sz="6" w:space="0" w:color="auto"/>
            </w:tcBorders>
            <w:hideMark/>
          </w:tcPr>
          <w:p w14:paraId="698EEFC8"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0.0 </w:t>
            </w:r>
          </w:p>
        </w:tc>
        <w:tc>
          <w:tcPr>
            <w:tcW w:w="1125" w:type="dxa"/>
            <w:tcBorders>
              <w:top w:val="single" w:sz="6" w:space="0" w:color="auto"/>
              <w:left w:val="single" w:sz="6" w:space="0" w:color="auto"/>
              <w:bottom w:val="single" w:sz="6" w:space="0" w:color="auto"/>
              <w:right w:val="single" w:sz="6" w:space="0" w:color="auto"/>
            </w:tcBorders>
            <w:hideMark/>
          </w:tcPr>
          <w:p w14:paraId="2B91B0E3"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0.0 </w:t>
            </w:r>
          </w:p>
        </w:tc>
        <w:tc>
          <w:tcPr>
            <w:tcW w:w="1050" w:type="dxa"/>
            <w:tcBorders>
              <w:top w:val="single" w:sz="6" w:space="0" w:color="auto"/>
              <w:left w:val="single" w:sz="6" w:space="0" w:color="auto"/>
              <w:bottom w:val="single" w:sz="6" w:space="0" w:color="auto"/>
              <w:right w:val="single" w:sz="6" w:space="0" w:color="auto"/>
            </w:tcBorders>
            <w:hideMark/>
          </w:tcPr>
          <w:p w14:paraId="0F3BB728"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0.0 </w:t>
            </w:r>
          </w:p>
        </w:tc>
        <w:tc>
          <w:tcPr>
            <w:tcW w:w="1050" w:type="dxa"/>
            <w:tcBorders>
              <w:top w:val="single" w:sz="6" w:space="0" w:color="auto"/>
              <w:left w:val="single" w:sz="6" w:space="0" w:color="auto"/>
              <w:bottom w:val="single" w:sz="6" w:space="0" w:color="auto"/>
              <w:right w:val="single" w:sz="6" w:space="0" w:color="auto"/>
            </w:tcBorders>
            <w:hideMark/>
          </w:tcPr>
          <w:p w14:paraId="00EE1FF9"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0.0 </w:t>
            </w:r>
          </w:p>
        </w:tc>
        <w:tc>
          <w:tcPr>
            <w:tcW w:w="1275" w:type="dxa"/>
            <w:tcBorders>
              <w:top w:val="single" w:sz="6" w:space="0" w:color="auto"/>
              <w:left w:val="single" w:sz="6" w:space="0" w:color="auto"/>
              <w:bottom w:val="single" w:sz="6" w:space="0" w:color="auto"/>
              <w:right w:val="single" w:sz="6" w:space="0" w:color="auto"/>
            </w:tcBorders>
            <w:hideMark/>
          </w:tcPr>
          <w:p w14:paraId="4A4D4DE7"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0.0 </w:t>
            </w:r>
          </w:p>
        </w:tc>
        <w:tc>
          <w:tcPr>
            <w:tcW w:w="1050" w:type="dxa"/>
            <w:tcBorders>
              <w:top w:val="single" w:sz="6" w:space="0" w:color="auto"/>
              <w:left w:val="single" w:sz="6" w:space="0" w:color="auto"/>
              <w:bottom w:val="single" w:sz="6" w:space="0" w:color="auto"/>
              <w:right w:val="single" w:sz="6" w:space="0" w:color="auto"/>
            </w:tcBorders>
            <w:hideMark/>
          </w:tcPr>
          <w:p w14:paraId="12B26479"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0.0 </w:t>
            </w:r>
          </w:p>
        </w:tc>
      </w:tr>
      <w:tr w:rsidR="006371CE" w:rsidRPr="006371CE" w14:paraId="74BEEC80" w14:textId="77777777" w:rsidTr="006371CE">
        <w:trPr>
          <w:trHeight w:val="300"/>
        </w:trPr>
        <w:tc>
          <w:tcPr>
            <w:tcW w:w="2550" w:type="dxa"/>
            <w:tcBorders>
              <w:top w:val="single" w:sz="6" w:space="0" w:color="auto"/>
              <w:left w:val="single" w:sz="6" w:space="0" w:color="auto"/>
              <w:bottom w:val="single" w:sz="6" w:space="0" w:color="auto"/>
              <w:right w:val="single" w:sz="6" w:space="0" w:color="auto"/>
            </w:tcBorders>
            <w:hideMark/>
          </w:tcPr>
          <w:p w14:paraId="08884558" w14:textId="77777777" w:rsidR="006371CE" w:rsidRPr="006371CE" w:rsidRDefault="006371CE" w:rsidP="006371CE">
            <w:pPr>
              <w:spacing w:line="240" w:lineRule="auto"/>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Partnership &amp; Ring fenced </w:t>
            </w:r>
          </w:p>
        </w:tc>
        <w:tc>
          <w:tcPr>
            <w:tcW w:w="1125" w:type="dxa"/>
            <w:tcBorders>
              <w:top w:val="single" w:sz="6" w:space="0" w:color="auto"/>
              <w:left w:val="single" w:sz="6" w:space="0" w:color="auto"/>
              <w:bottom w:val="single" w:sz="6" w:space="0" w:color="auto"/>
              <w:right w:val="single" w:sz="6" w:space="0" w:color="auto"/>
            </w:tcBorders>
            <w:hideMark/>
          </w:tcPr>
          <w:p w14:paraId="6ED8E768"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11.1 </w:t>
            </w:r>
          </w:p>
        </w:tc>
        <w:tc>
          <w:tcPr>
            <w:tcW w:w="1125" w:type="dxa"/>
            <w:tcBorders>
              <w:top w:val="single" w:sz="6" w:space="0" w:color="auto"/>
              <w:left w:val="single" w:sz="6" w:space="0" w:color="auto"/>
              <w:bottom w:val="single" w:sz="6" w:space="0" w:color="auto"/>
              <w:right w:val="single" w:sz="6" w:space="0" w:color="auto"/>
            </w:tcBorders>
            <w:hideMark/>
          </w:tcPr>
          <w:p w14:paraId="12326197"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3.0 </w:t>
            </w:r>
          </w:p>
        </w:tc>
        <w:tc>
          <w:tcPr>
            <w:tcW w:w="1050" w:type="dxa"/>
            <w:tcBorders>
              <w:top w:val="single" w:sz="6" w:space="0" w:color="auto"/>
              <w:left w:val="single" w:sz="6" w:space="0" w:color="auto"/>
              <w:bottom w:val="single" w:sz="6" w:space="0" w:color="auto"/>
              <w:right w:val="single" w:sz="6" w:space="0" w:color="auto"/>
            </w:tcBorders>
            <w:hideMark/>
          </w:tcPr>
          <w:p w14:paraId="31D6AB68"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3.1 </w:t>
            </w:r>
          </w:p>
        </w:tc>
        <w:tc>
          <w:tcPr>
            <w:tcW w:w="1050" w:type="dxa"/>
            <w:tcBorders>
              <w:top w:val="single" w:sz="6" w:space="0" w:color="auto"/>
              <w:left w:val="single" w:sz="6" w:space="0" w:color="auto"/>
              <w:bottom w:val="single" w:sz="6" w:space="0" w:color="auto"/>
              <w:right w:val="single" w:sz="6" w:space="0" w:color="auto"/>
            </w:tcBorders>
            <w:hideMark/>
          </w:tcPr>
          <w:p w14:paraId="137A8E8C"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2.8 </w:t>
            </w:r>
          </w:p>
        </w:tc>
        <w:tc>
          <w:tcPr>
            <w:tcW w:w="1275" w:type="dxa"/>
            <w:tcBorders>
              <w:top w:val="single" w:sz="6" w:space="0" w:color="auto"/>
              <w:left w:val="single" w:sz="6" w:space="0" w:color="auto"/>
              <w:bottom w:val="single" w:sz="6" w:space="0" w:color="auto"/>
              <w:right w:val="single" w:sz="6" w:space="0" w:color="auto"/>
            </w:tcBorders>
            <w:hideMark/>
          </w:tcPr>
          <w:p w14:paraId="5FBB5B90"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2.8 </w:t>
            </w:r>
          </w:p>
        </w:tc>
        <w:tc>
          <w:tcPr>
            <w:tcW w:w="1050" w:type="dxa"/>
            <w:tcBorders>
              <w:top w:val="single" w:sz="6" w:space="0" w:color="auto"/>
              <w:left w:val="single" w:sz="6" w:space="0" w:color="auto"/>
              <w:bottom w:val="single" w:sz="6" w:space="0" w:color="auto"/>
              <w:right w:val="single" w:sz="6" w:space="0" w:color="auto"/>
            </w:tcBorders>
            <w:hideMark/>
          </w:tcPr>
          <w:p w14:paraId="31B480D3"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2.7 </w:t>
            </w:r>
          </w:p>
        </w:tc>
      </w:tr>
      <w:tr w:rsidR="006371CE" w:rsidRPr="006371CE" w14:paraId="6E453B43" w14:textId="77777777" w:rsidTr="006371CE">
        <w:trPr>
          <w:trHeight w:val="300"/>
        </w:trPr>
        <w:tc>
          <w:tcPr>
            <w:tcW w:w="2550" w:type="dxa"/>
            <w:tcBorders>
              <w:top w:val="single" w:sz="6" w:space="0" w:color="auto"/>
              <w:left w:val="single" w:sz="6" w:space="0" w:color="auto"/>
              <w:bottom w:val="single" w:sz="6" w:space="0" w:color="auto"/>
              <w:right w:val="single" w:sz="6" w:space="0" w:color="auto"/>
            </w:tcBorders>
            <w:hideMark/>
          </w:tcPr>
          <w:p w14:paraId="5B83E023" w14:textId="77777777" w:rsidR="006371CE" w:rsidRPr="006371CE" w:rsidRDefault="006371CE" w:rsidP="006371CE">
            <w:pPr>
              <w:spacing w:line="240" w:lineRule="auto"/>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OPCC </w:t>
            </w:r>
          </w:p>
        </w:tc>
        <w:tc>
          <w:tcPr>
            <w:tcW w:w="1125" w:type="dxa"/>
            <w:tcBorders>
              <w:top w:val="single" w:sz="6" w:space="0" w:color="auto"/>
              <w:left w:val="single" w:sz="6" w:space="0" w:color="auto"/>
              <w:bottom w:val="single" w:sz="6" w:space="0" w:color="auto"/>
              <w:right w:val="single" w:sz="6" w:space="0" w:color="auto"/>
            </w:tcBorders>
            <w:hideMark/>
          </w:tcPr>
          <w:p w14:paraId="6D3A7F72"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0.4 </w:t>
            </w:r>
          </w:p>
        </w:tc>
        <w:tc>
          <w:tcPr>
            <w:tcW w:w="1125" w:type="dxa"/>
            <w:tcBorders>
              <w:top w:val="single" w:sz="6" w:space="0" w:color="auto"/>
              <w:left w:val="single" w:sz="6" w:space="0" w:color="auto"/>
              <w:bottom w:val="single" w:sz="6" w:space="0" w:color="auto"/>
              <w:right w:val="single" w:sz="6" w:space="0" w:color="auto"/>
            </w:tcBorders>
            <w:hideMark/>
          </w:tcPr>
          <w:p w14:paraId="7838255B"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0.4 </w:t>
            </w:r>
          </w:p>
        </w:tc>
        <w:tc>
          <w:tcPr>
            <w:tcW w:w="1050" w:type="dxa"/>
            <w:tcBorders>
              <w:top w:val="single" w:sz="6" w:space="0" w:color="auto"/>
              <w:left w:val="single" w:sz="6" w:space="0" w:color="auto"/>
              <w:bottom w:val="single" w:sz="6" w:space="0" w:color="auto"/>
              <w:right w:val="single" w:sz="6" w:space="0" w:color="auto"/>
            </w:tcBorders>
            <w:hideMark/>
          </w:tcPr>
          <w:p w14:paraId="1CFE1876"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0.4 </w:t>
            </w:r>
          </w:p>
        </w:tc>
        <w:tc>
          <w:tcPr>
            <w:tcW w:w="1050" w:type="dxa"/>
            <w:tcBorders>
              <w:top w:val="single" w:sz="6" w:space="0" w:color="auto"/>
              <w:left w:val="single" w:sz="6" w:space="0" w:color="auto"/>
              <w:bottom w:val="single" w:sz="6" w:space="0" w:color="auto"/>
              <w:right w:val="single" w:sz="6" w:space="0" w:color="auto"/>
            </w:tcBorders>
            <w:hideMark/>
          </w:tcPr>
          <w:p w14:paraId="5AFD18D8"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0.4 </w:t>
            </w:r>
          </w:p>
        </w:tc>
        <w:tc>
          <w:tcPr>
            <w:tcW w:w="1275" w:type="dxa"/>
            <w:tcBorders>
              <w:top w:val="single" w:sz="6" w:space="0" w:color="auto"/>
              <w:left w:val="single" w:sz="6" w:space="0" w:color="auto"/>
              <w:bottom w:val="single" w:sz="6" w:space="0" w:color="auto"/>
              <w:right w:val="single" w:sz="6" w:space="0" w:color="auto"/>
            </w:tcBorders>
            <w:hideMark/>
          </w:tcPr>
          <w:p w14:paraId="3AAEF63A"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0.4 </w:t>
            </w:r>
          </w:p>
        </w:tc>
        <w:tc>
          <w:tcPr>
            <w:tcW w:w="1050" w:type="dxa"/>
            <w:tcBorders>
              <w:top w:val="single" w:sz="6" w:space="0" w:color="auto"/>
              <w:left w:val="single" w:sz="6" w:space="0" w:color="auto"/>
              <w:bottom w:val="single" w:sz="6" w:space="0" w:color="auto"/>
              <w:right w:val="single" w:sz="6" w:space="0" w:color="auto"/>
            </w:tcBorders>
            <w:hideMark/>
          </w:tcPr>
          <w:p w14:paraId="6528EE27"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sz w:val="20"/>
                <w:szCs w:val="20"/>
                <w:lang w:eastAsia="en-GB"/>
              </w:rPr>
              <w:t>0.4 </w:t>
            </w:r>
          </w:p>
        </w:tc>
      </w:tr>
      <w:tr w:rsidR="006371CE" w:rsidRPr="006371CE" w14:paraId="00BA52CA" w14:textId="77777777" w:rsidTr="006371CE">
        <w:trPr>
          <w:trHeight w:val="300"/>
        </w:trPr>
        <w:tc>
          <w:tcPr>
            <w:tcW w:w="2550" w:type="dxa"/>
            <w:tcBorders>
              <w:top w:val="single" w:sz="6" w:space="0" w:color="auto"/>
              <w:left w:val="single" w:sz="6" w:space="0" w:color="auto"/>
              <w:bottom w:val="single" w:sz="6" w:space="0" w:color="auto"/>
              <w:right w:val="single" w:sz="6" w:space="0" w:color="auto"/>
            </w:tcBorders>
            <w:hideMark/>
          </w:tcPr>
          <w:p w14:paraId="70FF6529" w14:textId="77777777" w:rsidR="006371CE" w:rsidRPr="006371CE" w:rsidRDefault="006371CE" w:rsidP="006371CE">
            <w:pPr>
              <w:spacing w:line="240" w:lineRule="auto"/>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Total</w:t>
            </w:r>
            <w:r w:rsidRPr="006371CE">
              <w:rPr>
                <w:rFonts w:eastAsia="Times New Roman" w:cs="Arial"/>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hideMark/>
          </w:tcPr>
          <w:p w14:paraId="10D8BE6C"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44.8</w:t>
            </w:r>
            <w:r w:rsidRPr="006371CE">
              <w:rPr>
                <w:rFonts w:eastAsia="Times New Roman" w:cs="Arial"/>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hideMark/>
          </w:tcPr>
          <w:p w14:paraId="660DF7B2"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36.1</w:t>
            </w:r>
            <w:r w:rsidRPr="006371CE">
              <w:rPr>
                <w:rFonts w:eastAsia="Times New Roman" w:cs="Arial"/>
                <w:sz w:val="20"/>
                <w:szCs w:val="20"/>
                <w:lang w:eastAsia="en-GB"/>
              </w:rPr>
              <w:t> </w:t>
            </w:r>
          </w:p>
        </w:tc>
        <w:tc>
          <w:tcPr>
            <w:tcW w:w="1050" w:type="dxa"/>
            <w:tcBorders>
              <w:top w:val="single" w:sz="6" w:space="0" w:color="auto"/>
              <w:left w:val="single" w:sz="6" w:space="0" w:color="auto"/>
              <w:bottom w:val="single" w:sz="6" w:space="0" w:color="auto"/>
              <w:right w:val="single" w:sz="6" w:space="0" w:color="auto"/>
            </w:tcBorders>
            <w:hideMark/>
          </w:tcPr>
          <w:p w14:paraId="40E445ED"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34.4</w:t>
            </w:r>
            <w:r w:rsidRPr="006371CE">
              <w:rPr>
                <w:rFonts w:eastAsia="Times New Roman" w:cs="Arial"/>
                <w:sz w:val="20"/>
                <w:szCs w:val="20"/>
                <w:lang w:eastAsia="en-GB"/>
              </w:rPr>
              <w:t> </w:t>
            </w:r>
          </w:p>
        </w:tc>
        <w:tc>
          <w:tcPr>
            <w:tcW w:w="1050" w:type="dxa"/>
            <w:tcBorders>
              <w:top w:val="single" w:sz="6" w:space="0" w:color="auto"/>
              <w:left w:val="single" w:sz="6" w:space="0" w:color="auto"/>
              <w:bottom w:val="single" w:sz="6" w:space="0" w:color="auto"/>
              <w:right w:val="single" w:sz="6" w:space="0" w:color="auto"/>
            </w:tcBorders>
            <w:hideMark/>
          </w:tcPr>
          <w:p w14:paraId="105B5BE8"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32.5</w:t>
            </w:r>
            <w:r w:rsidRPr="006371CE">
              <w:rPr>
                <w:rFonts w:eastAsia="Times New Roman"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hideMark/>
          </w:tcPr>
          <w:p w14:paraId="1BE19FB6"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30.9</w:t>
            </w:r>
            <w:r w:rsidRPr="006371CE">
              <w:rPr>
                <w:rFonts w:eastAsia="Times New Roman" w:cs="Arial"/>
                <w:sz w:val="20"/>
                <w:szCs w:val="20"/>
                <w:lang w:eastAsia="en-GB"/>
              </w:rPr>
              <w:t> </w:t>
            </w:r>
          </w:p>
        </w:tc>
        <w:tc>
          <w:tcPr>
            <w:tcW w:w="1050" w:type="dxa"/>
            <w:tcBorders>
              <w:top w:val="single" w:sz="6" w:space="0" w:color="auto"/>
              <w:left w:val="single" w:sz="6" w:space="0" w:color="auto"/>
              <w:bottom w:val="single" w:sz="6" w:space="0" w:color="auto"/>
              <w:right w:val="single" w:sz="6" w:space="0" w:color="auto"/>
            </w:tcBorders>
            <w:hideMark/>
          </w:tcPr>
          <w:p w14:paraId="39B8C715" w14:textId="77777777" w:rsidR="006371CE" w:rsidRPr="006371CE" w:rsidRDefault="006371CE" w:rsidP="006371CE">
            <w:pPr>
              <w:spacing w:line="240" w:lineRule="auto"/>
              <w:ind w:left="90"/>
              <w:jc w:val="center"/>
              <w:textAlignment w:val="baseline"/>
              <w:rPr>
                <w:rFonts w:ascii="Segoe UI" w:eastAsia="Times New Roman" w:hAnsi="Segoe UI" w:cs="Segoe UI"/>
                <w:sz w:val="18"/>
                <w:szCs w:val="18"/>
                <w:lang w:eastAsia="en-GB"/>
              </w:rPr>
            </w:pPr>
            <w:r w:rsidRPr="006371CE">
              <w:rPr>
                <w:rFonts w:eastAsia="Times New Roman" w:cs="Arial"/>
                <w:b/>
                <w:bCs/>
                <w:sz w:val="20"/>
                <w:szCs w:val="20"/>
                <w:lang w:eastAsia="en-GB"/>
              </w:rPr>
              <w:t>29.6</w:t>
            </w:r>
            <w:r w:rsidRPr="006371CE">
              <w:rPr>
                <w:rFonts w:eastAsia="Times New Roman" w:cs="Arial"/>
                <w:sz w:val="20"/>
                <w:szCs w:val="20"/>
                <w:lang w:eastAsia="en-GB"/>
              </w:rPr>
              <w:t> </w:t>
            </w:r>
          </w:p>
        </w:tc>
      </w:tr>
    </w:tbl>
    <w:p w14:paraId="6EBA3713" w14:textId="77777777" w:rsidR="006371CE" w:rsidRDefault="006371CE" w:rsidP="007F66BB">
      <w:pPr>
        <w:spacing w:line="240" w:lineRule="auto"/>
        <w:ind w:left="709" w:firstLine="142"/>
        <w:jc w:val="both"/>
        <w:rPr>
          <w:rFonts w:cs="Arial"/>
          <w:b/>
          <w:bCs/>
          <w:sz w:val="20"/>
          <w:szCs w:val="20"/>
        </w:rPr>
      </w:pPr>
    </w:p>
    <w:p w14:paraId="3B54FE86" w14:textId="77777777" w:rsidR="006371CE" w:rsidRPr="00263856" w:rsidRDefault="006371CE" w:rsidP="007F66BB">
      <w:pPr>
        <w:spacing w:line="240" w:lineRule="auto"/>
        <w:ind w:left="709" w:firstLine="142"/>
        <w:jc w:val="both"/>
        <w:rPr>
          <w:rFonts w:cs="Arial"/>
          <w:b/>
          <w:bCs/>
          <w:sz w:val="20"/>
          <w:szCs w:val="20"/>
        </w:rPr>
      </w:pPr>
    </w:p>
    <w:p w14:paraId="738C1FDC" w14:textId="77777777" w:rsidR="007D136E" w:rsidRPr="00C3008C" w:rsidRDefault="007D136E" w:rsidP="007D136E">
      <w:pPr>
        <w:pStyle w:val="ListParagraph"/>
        <w:spacing w:line="240" w:lineRule="auto"/>
        <w:contextualSpacing w:val="0"/>
        <w:jc w:val="both"/>
        <w:rPr>
          <w:rFonts w:cs="Arial"/>
          <w:b/>
          <w:color w:val="FF0000"/>
        </w:rPr>
      </w:pPr>
    </w:p>
    <w:p w14:paraId="3D0B4D6D" w14:textId="77777777" w:rsidR="000855DD" w:rsidRDefault="000855DD" w:rsidP="000855DD">
      <w:pPr>
        <w:pStyle w:val="ListParagraph"/>
        <w:spacing w:line="240" w:lineRule="auto"/>
        <w:contextualSpacing w:val="0"/>
        <w:jc w:val="both"/>
        <w:rPr>
          <w:rFonts w:cs="Arial"/>
          <w:b/>
        </w:rPr>
      </w:pPr>
    </w:p>
    <w:p w14:paraId="793D3181" w14:textId="77777777" w:rsidR="000855DD" w:rsidRDefault="000855DD" w:rsidP="000855DD">
      <w:pPr>
        <w:pStyle w:val="ListParagraph"/>
        <w:spacing w:line="240" w:lineRule="auto"/>
        <w:contextualSpacing w:val="0"/>
        <w:jc w:val="both"/>
        <w:rPr>
          <w:rFonts w:cs="Arial"/>
          <w:b/>
        </w:rPr>
      </w:pPr>
    </w:p>
    <w:p w14:paraId="30682F21" w14:textId="77777777" w:rsidR="000855DD" w:rsidRDefault="000855DD" w:rsidP="000855DD">
      <w:pPr>
        <w:pStyle w:val="ListParagraph"/>
        <w:spacing w:line="240" w:lineRule="auto"/>
        <w:contextualSpacing w:val="0"/>
        <w:jc w:val="both"/>
        <w:rPr>
          <w:rFonts w:cs="Arial"/>
          <w:b/>
        </w:rPr>
      </w:pPr>
    </w:p>
    <w:p w14:paraId="117EE59D" w14:textId="77777777" w:rsidR="000855DD" w:rsidRDefault="000855DD" w:rsidP="000855DD">
      <w:pPr>
        <w:pStyle w:val="ListParagraph"/>
        <w:spacing w:line="240" w:lineRule="auto"/>
        <w:contextualSpacing w:val="0"/>
        <w:jc w:val="both"/>
        <w:rPr>
          <w:rFonts w:cs="Arial"/>
          <w:b/>
        </w:rPr>
      </w:pPr>
    </w:p>
    <w:p w14:paraId="20E597C1" w14:textId="77777777" w:rsidR="000855DD" w:rsidRDefault="000855DD" w:rsidP="000855DD">
      <w:pPr>
        <w:pStyle w:val="ListParagraph"/>
        <w:spacing w:line="240" w:lineRule="auto"/>
        <w:contextualSpacing w:val="0"/>
        <w:jc w:val="both"/>
        <w:rPr>
          <w:rFonts w:cs="Arial"/>
          <w:b/>
        </w:rPr>
      </w:pPr>
    </w:p>
    <w:p w14:paraId="2469E6BA" w14:textId="77777777" w:rsidR="000855DD" w:rsidRDefault="000855DD" w:rsidP="000855DD">
      <w:pPr>
        <w:pStyle w:val="ListParagraph"/>
        <w:spacing w:line="240" w:lineRule="auto"/>
        <w:contextualSpacing w:val="0"/>
        <w:jc w:val="both"/>
        <w:rPr>
          <w:rFonts w:cs="Arial"/>
          <w:b/>
        </w:rPr>
      </w:pPr>
    </w:p>
    <w:p w14:paraId="6340451A" w14:textId="77777777" w:rsidR="000855DD" w:rsidRDefault="000855DD" w:rsidP="000855DD">
      <w:pPr>
        <w:pStyle w:val="ListParagraph"/>
        <w:spacing w:line="240" w:lineRule="auto"/>
        <w:contextualSpacing w:val="0"/>
        <w:jc w:val="both"/>
        <w:rPr>
          <w:rFonts w:cs="Arial"/>
          <w:b/>
        </w:rPr>
      </w:pPr>
    </w:p>
    <w:p w14:paraId="490AE563" w14:textId="77777777" w:rsidR="000855DD" w:rsidRDefault="000855DD" w:rsidP="000855DD">
      <w:pPr>
        <w:pStyle w:val="ListParagraph"/>
        <w:spacing w:line="240" w:lineRule="auto"/>
        <w:contextualSpacing w:val="0"/>
        <w:jc w:val="both"/>
        <w:rPr>
          <w:rFonts w:cs="Arial"/>
          <w:b/>
        </w:rPr>
      </w:pPr>
    </w:p>
    <w:p w14:paraId="51DB5919" w14:textId="77777777" w:rsidR="000855DD" w:rsidRPr="000855DD" w:rsidRDefault="000855DD" w:rsidP="000855DD">
      <w:pPr>
        <w:pStyle w:val="ListParagraph"/>
        <w:spacing w:line="240" w:lineRule="auto"/>
        <w:contextualSpacing w:val="0"/>
        <w:jc w:val="both"/>
        <w:rPr>
          <w:rFonts w:cs="Arial"/>
          <w:b/>
        </w:rPr>
      </w:pPr>
    </w:p>
    <w:p w14:paraId="1533BC5F" w14:textId="72302BC0" w:rsidR="00CE6306" w:rsidRPr="00C3008C" w:rsidRDefault="00CE6306" w:rsidP="00AA3B43">
      <w:pPr>
        <w:pStyle w:val="ListParagraph"/>
        <w:numPr>
          <w:ilvl w:val="0"/>
          <w:numId w:val="1"/>
        </w:numPr>
        <w:spacing w:line="240" w:lineRule="auto"/>
        <w:contextualSpacing w:val="0"/>
        <w:jc w:val="both"/>
        <w:rPr>
          <w:rFonts w:cs="Arial"/>
          <w:b/>
        </w:rPr>
      </w:pPr>
      <w:r w:rsidRPr="00C3008C">
        <w:rPr>
          <w:rFonts w:cs="Arial"/>
        </w:rPr>
        <w:t>Over the medium term, taking all the plans and provisions into account, reserves are expected to total £</w:t>
      </w:r>
      <w:r w:rsidR="007D136E" w:rsidRPr="00C3008C">
        <w:rPr>
          <w:rFonts w:cs="Arial"/>
        </w:rPr>
        <w:t>2</w:t>
      </w:r>
      <w:r w:rsidR="00263856" w:rsidRPr="00C3008C">
        <w:rPr>
          <w:rFonts w:cs="Arial"/>
        </w:rPr>
        <w:t>9.6</w:t>
      </w:r>
      <w:r w:rsidRPr="00C3008C">
        <w:rPr>
          <w:rFonts w:cs="Arial"/>
        </w:rPr>
        <w:t xml:space="preserve">m at the </w:t>
      </w:r>
      <w:r w:rsidR="005F54A2" w:rsidRPr="00C3008C">
        <w:rPr>
          <w:rFonts w:cs="Arial"/>
        </w:rPr>
        <w:t xml:space="preserve">end of </w:t>
      </w:r>
      <w:r w:rsidR="009F7757" w:rsidRPr="00C3008C">
        <w:rPr>
          <w:rFonts w:cs="Arial"/>
        </w:rPr>
        <w:t>the MTFP period</w:t>
      </w:r>
      <w:r w:rsidRPr="00C3008C">
        <w:rPr>
          <w:rFonts w:cs="Arial"/>
        </w:rPr>
        <w:t xml:space="preserve">. </w:t>
      </w:r>
    </w:p>
    <w:p w14:paraId="7C9FB863" w14:textId="77777777" w:rsidR="008D35B0" w:rsidRPr="00C3008C" w:rsidRDefault="008D35B0" w:rsidP="00AA3B43">
      <w:pPr>
        <w:pStyle w:val="ListParagraph"/>
        <w:spacing w:line="240" w:lineRule="auto"/>
        <w:contextualSpacing w:val="0"/>
        <w:jc w:val="both"/>
        <w:rPr>
          <w:rFonts w:cs="Arial"/>
          <w:b/>
        </w:rPr>
      </w:pPr>
    </w:p>
    <w:p w14:paraId="53CB34C9" w14:textId="04E767DC" w:rsidR="00097C21" w:rsidRPr="00C3008C" w:rsidRDefault="00DD778A" w:rsidP="00AA3B43">
      <w:pPr>
        <w:pStyle w:val="ListParagraph"/>
        <w:numPr>
          <w:ilvl w:val="0"/>
          <w:numId w:val="1"/>
        </w:numPr>
        <w:spacing w:line="240" w:lineRule="auto"/>
        <w:contextualSpacing w:val="0"/>
        <w:jc w:val="both"/>
        <w:rPr>
          <w:rFonts w:cs="Arial"/>
          <w:b/>
        </w:rPr>
      </w:pPr>
      <w:r>
        <w:rPr>
          <w:rFonts w:cs="Arial"/>
        </w:rPr>
        <w:lastRenderedPageBreak/>
        <w:t>E</w:t>
      </w:r>
      <w:r w:rsidR="00097C21" w:rsidRPr="00C3008C">
        <w:rPr>
          <w:rFonts w:cs="Arial"/>
        </w:rPr>
        <w:t xml:space="preserve">xpenditure from the investment reserve </w:t>
      </w:r>
      <w:r w:rsidR="00097C21" w:rsidRPr="00C3008C">
        <w:rPr>
          <w:rFonts w:eastAsia="Times New Roman" w:cs="Arial"/>
          <w:lang w:eastAsia="en-GB"/>
        </w:rPr>
        <w:t xml:space="preserve">is reliant on </w:t>
      </w:r>
      <w:r w:rsidR="006B2A16" w:rsidRPr="00C3008C">
        <w:rPr>
          <w:rFonts w:eastAsia="Times New Roman" w:cs="Arial"/>
          <w:lang w:eastAsia="en-GB"/>
        </w:rPr>
        <w:t xml:space="preserve">borrowing and </w:t>
      </w:r>
      <w:r w:rsidR="00097C21" w:rsidRPr="00C3008C">
        <w:rPr>
          <w:rFonts w:eastAsia="Times New Roman" w:cs="Arial"/>
          <w:lang w:eastAsia="en-GB"/>
        </w:rPr>
        <w:t xml:space="preserve">in-year asset disposals being realised and available to spend. A contribution to capital investment </w:t>
      </w:r>
      <w:r w:rsidR="006B2A16" w:rsidRPr="00C3008C">
        <w:rPr>
          <w:rFonts w:eastAsia="Times New Roman" w:cs="Arial"/>
          <w:lang w:eastAsia="en-GB"/>
        </w:rPr>
        <w:t xml:space="preserve">continues to be made over the life of the MTFP </w:t>
      </w:r>
      <w:r w:rsidR="00097C21" w:rsidRPr="00C3008C">
        <w:rPr>
          <w:rFonts w:eastAsia="Times New Roman" w:cs="Arial"/>
          <w:lang w:eastAsia="en-GB"/>
        </w:rPr>
        <w:t xml:space="preserve">to support the investment in ensuring that police officers have the appropriate </w:t>
      </w:r>
      <w:r w:rsidR="00FF61F7" w:rsidRPr="00C3008C">
        <w:rPr>
          <w:rFonts w:eastAsia="Times New Roman" w:cs="Arial"/>
          <w:lang w:eastAsia="en-GB"/>
        </w:rPr>
        <w:t xml:space="preserve">buildings, </w:t>
      </w:r>
      <w:r w:rsidR="00B655DE" w:rsidRPr="00C3008C">
        <w:rPr>
          <w:rFonts w:eastAsia="Times New Roman" w:cs="Arial"/>
          <w:lang w:eastAsia="en-GB"/>
        </w:rPr>
        <w:t>equipment,</w:t>
      </w:r>
      <w:r w:rsidR="00097C21" w:rsidRPr="00C3008C">
        <w:rPr>
          <w:rFonts w:eastAsia="Times New Roman" w:cs="Arial"/>
          <w:lang w:eastAsia="en-GB"/>
        </w:rPr>
        <w:t xml:space="preserve"> and technology to be as effective as possible</w:t>
      </w:r>
      <w:r w:rsidR="006B2A16" w:rsidRPr="00C3008C">
        <w:rPr>
          <w:rFonts w:eastAsia="Times New Roman" w:cs="Arial"/>
          <w:lang w:eastAsia="en-GB"/>
        </w:rPr>
        <w:t>.</w:t>
      </w:r>
    </w:p>
    <w:p w14:paraId="0C98F848" w14:textId="77777777" w:rsidR="00F818E6" w:rsidRPr="00C3008C" w:rsidRDefault="00F818E6" w:rsidP="00AA3B43">
      <w:pPr>
        <w:pStyle w:val="ListParagraph"/>
        <w:spacing w:line="240" w:lineRule="auto"/>
        <w:ind w:left="709"/>
        <w:contextualSpacing w:val="0"/>
        <w:jc w:val="both"/>
        <w:rPr>
          <w:rFonts w:cs="Arial"/>
          <w:b/>
        </w:rPr>
      </w:pPr>
    </w:p>
    <w:p w14:paraId="7821EEB1" w14:textId="77777777" w:rsidR="00097C21" w:rsidRPr="00C3008C" w:rsidRDefault="00097C21" w:rsidP="00AA3B43">
      <w:pPr>
        <w:pStyle w:val="ListParagraph"/>
        <w:numPr>
          <w:ilvl w:val="0"/>
          <w:numId w:val="1"/>
        </w:numPr>
        <w:spacing w:line="240" w:lineRule="auto"/>
        <w:contextualSpacing w:val="0"/>
        <w:jc w:val="both"/>
        <w:rPr>
          <w:rFonts w:cs="Arial"/>
          <w:b/>
        </w:rPr>
      </w:pPr>
      <w:r w:rsidRPr="00C3008C">
        <w:rPr>
          <w:rFonts w:cs="Arial"/>
        </w:rPr>
        <w:t>Any revenue underspends not required for unforeseen expenditure will be taken back into reserves</w:t>
      </w:r>
      <w:r w:rsidR="006B2A16" w:rsidRPr="00C3008C">
        <w:rPr>
          <w:rFonts w:cs="Arial"/>
        </w:rPr>
        <w:t>.</w:t>
      </w:r>
      <w:r w:rsidRPr="00C3008C">
        <w:rPr>
          <w:rFonts w:cs="Arial"/>
        </w:rPr>
        <w:t xml:space="preserve"> </w:t>
      </w:r>
    </w:p>
    <w:p w14:paraId="48CEEA4C" w14:textId="77777777" w:rsidR="006E43B9" w:rsidRPr="00C3008C" w:rsidRDefault="006E43B9" w:rsidP="00AA3B43">
      <w:pPr>
        <w:pStyle w:val="ListParagraph"/>
        <w:spacing w:line="240" w:lineRule="auto"/>
        <w:ind w:left="709"/>
        <w:contextualSpacing w:val="0"/>
        <w:jc w:val="both"/>
        <w:rPr>
          <w:rFonts w:cs="Arial"/>
        </w:rPr>
      </w:pPr>
    </w:p>
    <w:p w14:paraId="44FF31F6" w14:textId="68372F76" w:rsidR="00A34A45" w:rsidRPr="00C3008C" w:rsidRDefault="00A34A45" w:rsidP="00AA3B43">
      <w:pPr>
        <w:pStyle w:val="ListParagraph"/>
        <w:numPr>
          <w:ilvl w:val="0"/>
          <w:numId w:val="1"/>
        </w:numPr>
        <w:spacing w:line="240" w:lineRule="auto"/>
        <w:contextualSpacing w:val="0"/>
        <w:jc w:val="both"/>
        <w:rPr>
          <w:rFonts w:cs="Arial"/>
          <w:b/>
        </w:rPr>
      </w:pPr>
      <w:r w:rsidRPr="00C3008C">
        <w:rPr>
          <w:rFonts w:cs="Arial"/>
        </w:rPr>
        <w:t xml:space="preserve">The </w:t>
      </w:r>
      <w:r w:rsidR="00FF61F7" w:rsidRPr="00C3008C">
        <w:rPr>
          <w:rFonts w:cs="Arial"/>
        </w:rPr>
        <w:t xml:space="preserve">four categories of </w:t>
      </w:r>
      <w:r w:rsidRPr="00C3008C">
        <w:rPr>
          <w:rFonts w:cs="Arial"/>
        </w:rPr>
        <w:t xml:space="preserve">reserves </w:t>
      </w:r>
      <w:r w:rsidR="00FF61F7" w:rsidRPr="00C3008C">
        <w:rPr>
          <w:rFonts w:cs="Arial"/>
        </w:rPr>
        <w:t xml:space="preserve">in Table 1 </w:t>
      </w:r>
      <w:r w:rsidRPr="00C3008C">
        <w:rPr>
          <w:rFonts w:cs="Arial"/>
        </w:rPr>
        <w:t>are held for the following:</w:t>
      </w:r>
    </w:p>
    <w:p w14:paraId="0D2C87BB" w14:textId="7A1A26EC" w:rsidR="00A34A45" w:rsidRPr="00C3008C" w:rsidRDefault="00A34A45" w:rsidP="00F57F1E">
      <w:pPr>
        <w:pStyle w:val="ListParagraph"/>
        <w:numPr>
          <w:ilvl w:val="1"/>
          <w:numId w:val="3"/>
        </w:numPr>
        <w:spacing w:line="240" w:lineRule="auto"/>
        <w:ind w:left="993" w:hanging="284"/>
        <w:contextualSpacing w:val="0"/>
        <w:jc w:val="both"/>
        <w:rPr>
          <w:rFonts w:eastAsia="Times New Roman" w:cs="Arial"/>
          <w:color w:val="000000"/>
          <w:lang w:eastAsia="en-GB"/>
        </w:rPr>
      </w:pPr>
      <w:r w:rsidRPr="00C3008C">
        <w:rPr>
          <w:rFonts w:cs="Arial"/>
          <w:b/>
        </w:rPr>
        <w:t>General</w:t>
      </w:r>
      <w:r w:rsidRPr="00C3008C">
        <w:rPr>
          <w:rFonts w:cs="Arial"/>
        </w:rPr>
        <w:t xml:space="preserve"> is used </w:t>
      </w:r>
      <w:r w:rsidRPr="00C3008C">
        <w:rPr>
          <w:rFonts w:eastAsia="Times New Roman" w:cs="Arial"/>
          <w:color w:val="000000"/>
          <w:lang w:eastAsia="en-GB"/>
        </w:rPr>
        <w:t>to mitigate against unknown and unexpected events that incur considerable cost that could not be borne within the revenue budget</w:t>
      </w:r>
      <w:r w:rsidR="00D03A58" w:rsidRPr="00C3008C">
        <w:rPr>
          <w:rFonts w:eastAsia="Times New Roman" w:cs="Arial"/>
          <w:color w:val="000000"/>
          <w:lang w:eastAsia="en-GB"/>
        </w:rPr>
        <w:t xml:space="preserve">. </w:t>
      </w:r>
      <w:r w:rsidR="005552B5" w:rsidRPr="00C3008C">
        <w:rPr>
          <w:rFonts w:eastAsia="Times New Roman" w:cs="Arial"/>
          <w:color w:val="000000"/>
          <w:lang w:eastAsia="en-GB"/>
        </w:rPr>
        <w:t xml:space="preserve">This could include </w:t>
      </w:r>
      <w:r w:rsidRPr="00C3008C">
        <w:rPr>
          <w:rFonts w:eastAsia="Times New Roman" w:cs="Arial"/>
          <w:color w:val="000000"/>
          <w:lang w:eastAsia="en-GB"/>
        </w:rPr>
        <w:t>public order, major investigation costs or to fund initial costs of major disruption/disaster response (</w:t>
      </w:r>
      <w:r w:rsidR="00D04FEB" w:rsidRPr="00C3008C">
        <w:rPr>
          <w:rFonts w:eastAsia="Times New Roman" w:cs="Arial"/>
          <w:color w:val="000000"/>
          <w:lang w:eastAsia="en-GB"/>
        </w:rPr>
        <w:t>i.e.,</w:t>
      </w:r>
      <w:r w:rsidRPr="00C3008C">
        <w:rPr>
          <w:rFonts w:eastAsia="Times New Roman" w:cs="Arial"/>
          <w:color w:val="000000"/>
          <w:lang w:eastAsia="en-GB"/>
        </w:rPr>
        <w:t xml:space="preserve"> </w:t>
      </w:r>
      <w:r w:rsidR="00097C21" w:rsidRPr="00C3008C">
        <w:rPr>
          <w:rFonts w:eastAsia="Times New Roman" w:cs="Arial"/>
          <w:color w:val="000000"/>
          <w:lang w:eastAsia="en-GB"/>
        </w:rPr>
        <w:t xml:space="preserve">Covid 19 pandemic, </w:t>
      </w:r>
      <w:r w:rsidRPr="00C3008C">
        <w:rPr>
          <w:rFonts w:eastAsia="Times New Roman" w:cs="Arial"/>
          <w:color w:val="000000"/>
          <w:lang w:eastAsia="en-GB"/>
        </w:rPr>
        <w:t>flooding)</w:t>
      </w:r>
      <w:r w:rsidR="005552B5" w:rsidRPr="00C3008C">
        <w:rPr>
          <w:rFonts w:eastAsia="Times New Roman" w:cs="Arial"/>
          <w:color w:val="000000"/>
          <w:lang w:eastAsia="en-GB"/>
        </w:rPr>
        <w:t xml:space="preserve">. </w:t>
      </w:r>
      <w:r w:rsidRPr="00C3008C">
        <w:rPr>
          <w:rFonts w:eastAsia="Times New Roman" w:cs="Arial"/>
          <w:color w:val="000000"/>
          <w:lang w:eastAsia="en-GB"/>
        </w:rPr>
        <w:t>This would be used before applying to the Government’s Special Grant scheme should the criteria be met.</w:t>
      </w:r>
      <w:r w:rsidR="001D5B28" w:rsidRPr="00C3008C">
        <w:rPr>
          <w:rFonts w:eastAsia="Times New Roman" w:cs="Arial"/>
          <w:color w:val="000000"/>
          <w:lang w:eastAsia="en-GB"/>
        </w:rPr>
        <w:t xml:space="preserve"> The Special Grant scheme usually only accepts applications from those PCC’s who have incurred costs greater than 1% of their net revenue budget</w:t>
      </w:r>
      <w:r w:rsidR="00790B56" w:rsidRPr="00C3008C">
        <w:rPr>
          <w:rFonts w:eastAsia="Times New Roman" w:cs="Arial"/>
          <w:color w:val="000000"/>
          <w:lang w:eastAsia="en-GB"/>
        </w:rPr>
        <w:t xml:space="preserve"> with a further 0.5% for a second event</w:t>
      </w:r>
      <w:r w:rsidR="001D5B28" w:rsidRPr="00C3008C">
        <w:rPr>
          <w:rFonts w:eastAsia="Times New Roman" w:cs="Arial"/>
          <w:color w:val="000000"/>
          <w:lang w:eastAsia="en-GB"/>
        </w:rPr>
        <w:t xml:space="preserve">. </w:t>
      </w:r>
      <w:r w:rsidR="00FE3F29" w:rsidRPr="00C3008C">
        <w:rPr>
          <w:rFonts w:eastAsia="Times New Roman" w:cs="Arial"/>
          <w:color w:val="000000"/>
          <w:lang w:eastAsia="en-GB"/>
        </w:rPr>
        <w:t>This reserve</w:t>
      </w:r>
      <w:r w:rsidR="001D5B28" w:rsidRPr="00C3008C">
        <w:rPr>
          <w:rFonts w:eastAsia="Times New Roman" w:cs="Arial"/>
          <w:color w:val="000000"/>
          <w:lang w:eastAsia="en-GB"/>
        </w:rPr>
        <w:t xml:space="preserve"> covers two such instances plus a further 1</w:t>
      </w:r>
      <w:r w:rsidR="00790B56" w:rsidRPr="00C3008C">
        <w:rPr>
          <w:rFonts w:eastAsia="Times New Roman" w:cs="Arial"/>
          <w:color w:val="000000"/>
          <w:lang w:eastAsia="en-GB"/>
        </w:rPr>
        <w:t>.5</w:t>
      </w:r>
      <w:r w:rsidR="001D5B28" w:rsidRPr="00C3008C">
        <w:rPr>
          <w:rFonts w:eastAsia="Times New Roman" w:cs="Arial"/>
          <w:color w:val="000000"/>
          <w:lang w:eastAsia="en-GB"/>
        </w:rPr>
        <w:t>% for unknown and unexpected costs.</w:t>
      </w:r>
    </w:p>
    <w:p w14:paraId="005FD0DA" w14:textId="26CEE91C" w:rsidR="00A34A45" w:rsidRPr="00C3008C" w:rsidRDefault="004F2F3A" w:rsidP="00F57F1E">
      <w:pPr>
        <w:pStyle w:val="ListParagraph"/>
        <w:numPr>
          <w:ilvl w:val="1"/>
          <w:numId w:val="3"/>
        </w:numPr>
        <w:spacing w:line="240" w:lineRule="auto"/>
        <w:ind w:left="993" w:hanging="284"/>
        <w:contextualSpacing w:val="0"/>
        <w:jc w:val="both"/>
        <w:rPr>
          <w:rFonts w:cs="Arial"/>
          <w:b/>
        </w:rPr>
      </w:pPr>
      <w:r w:rsidRPr="00C3008C">
        <w:rPr>
          <w:rFonts w:cs="Arial"/>
          <w:b/>
        </w:rPr>
        <w:t>R</w:t>
      </w:r>
      <w:r w:rsidR="00A75CDD" w:rsidRPr="00C3008C">
        <w:rPr>
          <w:rFonts w:cs="Arial"/>
          <w:b/>
        </w:rPr>
        <w:t>isk</w:t>
      </w:r>
      <w:r w:rsidR="00A34A45" w:rsidRPr="00C3008C">
        <w:rPr>
          <w:rFonts w:cs="Arial"/>
        </w:rPr>
        <w:t xml:space="preserve"> is used to mitigate any sudden or unexpected </w:t>
      </w:r>
      <w:r w:rsidR="00A75CDD" w:rsidRPr="00C3008C">
        <w:rPr>
          <w:rFonts w:cs="Arial"/>
        </w:rPr>
        <w:t xml:space="preserve">changes in </w:t>
      </w:r>
      <w:r w:rsidR="00A34A45" w:rsidRPr="00C3008C">
        <w:rPr>
          <w:rFonts w:cs="Arial"/>
        </w:rPr>
        <w:t>funding levels.</w:t>
      </w:r>
      <w:r w:rsidRPr="00C3008C">
        <w:rPr>
          <w:rFonts w:eastAsia="Times New Roman" w:cs="Arial"/>
          <w:color w:val="000000"/>
          <w:lang w:eastAsia="en-GB"/>
        </w:rPr>
        <w:t xml:space="preserve"> This also includes the</w:t>
      </w:r>
      <w:r w:rsidR="00A34A45" w:rsidRPr="00C3008C">
        <w:rPr>
          <w:rFonts w:cs="Arial"/>
          <w:b/>
        </w:rPr>
        <w:t xml:space="preserve"> </w:t>
      </w:r>
      <w:r w:rsidR="00A34A45" w:rsidRPr="00C3008C">
        <w:rPr>
          <w:rFonts w:cs="Arial"/>
          <w:bCs/>
        </w:rPr>
        <w:t xml:space="preserve">Insurance </w:t>
      </w:r>
      <w:r w:rsidR="00A34A45" w:rsidRPr="00C3008C">
        <w:rPr>
          <w:rFonts w:eastAsia="Times New Roman" w:cs="Arial"/>
          <w:bCs/>
          <w:color w:val="000000"/>
          <w:lang w:eastAsia="en-GB"/>
        </w:rPr>
        <w:t>reserve</w:t>
      </w:r>
      <w:r w:rsidR="00A34A45" w:rsidRPr="00C3008C">
        <w:rPr>
          <w:rFonts w:eastAsia="Times New Roman" w:cs="Arial"/>
          <w:color w:val="000000"/>
          <w:lang w:eastAsia="en-GB"/>
        </w:rPr>
        <w:t xml:space="preserve"> </w:t>
      </w:r>
      <w:r w:rsidRPr="00C3008C">
        <w:rPr>
          <w:rFonts w:eastAsia="Times New Roman" w:cs="Arial"/>
          <w:color w:val="000000"/>
          <w:lang w:eastAsia="en-GB"/>
        </w:rPr>
        <w:t xml:space="preserve">which </w:t>
      </w:r>
      <w:r w:rsidR="00A34A45" w:rsidRPr="00C3008C">
        <w:rPr>
          <w:rFonts w:eastAsia="Times New Roman" w:cs="Arial"/>
          <w:color w:val="000000"/>
          <w:lang w:eastAsia="en-GB"/>
        </w:rPr>
        <w:t xml:space="preserve">is held to cover potential liabilities in any insurance claim. </w:t>
      </w:r>
      <w:r w:rsidR="00DB52AC" w:rsidRPr="00C3008C">
        <w:rPr>
          <w:rFonts w:eastAsia="Times New Roman" w:cs="Arial"/>
          <w:color w:val="000000"/>
          <w:lang w:eastAsia="en-GB"/>
        </w:rPr>
        <w:t>To</w:t>
      </w:r>
      <w:r w:rsidR="00A34A45" w:rsidRPr="00C3008C">
        <w:rPr>
          <w:rFonts w:eastAsia="Times New Roman" w:cs="Arial"/>
          <w:color w:val="000000"/>
          <w:lang w:eastAsia="en-GB"/>
        </w:rPr>
        <w:t xml:space="preserve"> keep our insurance premiums at a reasonable level we self-insure to a significant degree. Th</w:t>
      </w:r>
      <w:r w:rsidR="00DF654D" w:rsidRPr="00C3008C">
        <w:rPr>
          <w:rFonts w:eastAsia="Times New Roman" w:cs="Arial"/>
          <w:color w:val="000000"/>
          <w:lang w:eastAsia="en-GB"/>
        </w:rPr>
        <w:t>e</w:t>
      </w:r>
      <w:r w:rsidR="00A34A45" w:rsidRPr="00C3008C">
        <w:rPr>
          <w:rFonts w:eastAsia="Times New Roman" w:cs="Arial"/>
          <w:color w:val="000000"/>
          <w:lang w:eastAsia="en-GB"/>
        </w:rPr>
        <w:t xml:space="preserve"> level </w:t>
      </w:r>
      <w:r w:rsidR="00DF654D" w:rsidRPr="00C3008C">
        <w:rPr>
          <w:rFonts w:eastAsia="Times New Roman" w:cs="Arial"/>
          <w:color w:val="000000"/>
          <w:lang w:eastAsia="en-GB"/>
        </w:rPr>
        <w:t xml:space="preserve">of the Insurance Reserve </w:t>
      </w:r>
      <w:r w:rsidR="00A34A45" w:rsidRPr="00C3008C">
        <w:rPr>
          <w:rFonts w:eastAsia="Times New Roman" w:cs="Arial"/>
          <w:color w:val="000000"/>
          <w:lang w:eastAsia="en-GB"/>
        </w:rPr>
        <w:t>is suggested by our Insurance advisors as an appropriate amount to keep in reserve should we incur a large insurance claim.</w:t>
      </w:r>
      <w:r w:rsidR="00721700" w:rsidRPr="00C3008C">
        <w:rPr>
          <w:rFonts w:eastAsia="Times New Roman" w:cs="Arial"/>
          <w:color w:val="000000"/>
          <w:lang w:eastAsia="en-GB"/>
        </w:rPr>
        <w:t xml:space="preserve"> This is reviewed annually</w:t>
      </w:r>
      <w:r w:rsidR="00AD337D" w:rsidRPr="00C3008C">
        <w:rPr>
          <w:rFonts w:eastAsia="Times New Roman" w:cs="Arial"/>
          <w:color w:val="000000"/>
          <w:lang w:eastAsia="en-GB"/>
        </w:rPr>
        <w:t xml:space="preserve"> by our actuaries.</w:t>
      </w:r>
    </w:p>
    <w:p w14:paraId="76DBEC58" w14:textId="37E77242" w:rsidR="004F2F3A" w:rsidRPr="00C3008C" w:rsidRDefault="00A34A45" w:rsidP="00F57F1E">
      <w:pPr>
        <w:pStyle w:val="ListParagraph"/>
        <w:numPr>
          <w:ilvl w:val="1"/>
          <w:numId w:val="3"/>
        </w:numPr>
        <w:spacing w:line="240" w:lineRule="auto"/>
        <w:ind w:left="993" w:hanging="284"/>
        <w:contextualSpacing w:val="0"/>
        <w:jc w:val="both"/>
        <w:rPr>
          <w:rFonts w:eastAsia="Times New Roman" w:cs="Arial"/>
          <w:color w:val="000000"/>
          <w:lang w:eastAsia="en-GB"/>
        </w:rPr>
      </w:pPr>
      <w:r w:rsidRPr="00C3008C">
        <w:rPr>
          <w:rFonts w:cs="Arial"/>
          <w:b/>
        </w:rPr>
        <w:t xml:space="preserve">Investment </w:t>
      </w:r>
      <w:r w:rsidRPr="00C3008C">
        <w:rPr>
          <w:rFonts w:eastAsia="Times New Roman" w:cs="Arial"/>
          <w:color w:val="000000"/>
          <w:lang w:eastAsia="en-GB"/>
        </w:rPr>
        <w:t xml:space="preserve">funds the </w:t>
      </w:r>
      <w:r w:rsidR="00FE3F29" w:rsidRPr="00C3008C">
        <w:rPr>
          <w:rFonts w:eastAsia="Times New Roman" w:cs="Arial"/>
          <w:color w:val="000000"/>
          <w:lang w:eastAsia="en-GB"/>
        </w:rPr>
        <w:t>capital investment</w:t>
      </w:r>
      <w:r w:rsidRPr="00C3008C">
        <w:rPr>
          <w:rFonts w:eastAsia="Times New Roman" w:cs="Arial"/>
          <w:color w:val="000000"/>
          <w:lang w:eastAsia="en-GB"/>
        </w:rPr>
        <w:t xml:space="preserve"> in our investment programme. The investment programme </w:t>
      </w:r>
      <w:r w:rsidR="00DB52AC" w:rsidRPr="00C3008C">
        <w:rPr>
          <w:rFonts w:eastAsia="Times New Roman" w:cs="Arial"/>
          <w:color w:val="000000"/>
          <w:lang w:eastAsia="en-GB"/>
        </w:rPr>
        <w:t>consists of</w:t>
      </w:r>
      <w:r w:rsidRPr="00C3008C">
        <w:rPr>
          <w:rFonts w:eastAsia="Times New Roman" w:cs="Arial"/>
          <w:color w:val="000000"/>
          <w:lang w:eastAsia="en-GB"/>
        </w:rPr>
        <w:t xml:space="preserve"> </w:t>
      </w:r>
      <w:r w:rsidR="00FE3F29" w:rsidRPr="00C3008C">
        <w:rPr>
          <w:rFonts w:eastAsia="Times New Roman" w:cs="Arial"/>
          <w:color w:val="000000"/>
          <w:lang w:eastAsia="en-GB"/>
        </w:rPr>
        <w:t>medium and long-term</w:t>
      </w:r>
      <w:r w:rsidRPr="00C3008C">
        <w:rPr>
          <w:rFonts w:eastAsia="Times New Roman" w:cs="Arial"/>
          <w:color w:val="000000"/>
          <w:lang w:eastAsia="en-GB"/>
        </w:rPr>
        <w:t xml:space="preserve"> projects that are designed to improve</w:t>
      </w:r>
      <w:r w:rsidR="005552B5" w:rsidRPr="00C3008C">
        <w:rPr>
          <w:rFonts w:eastAsia="Times New Roman" w:cs="Arial"/>
          <w:color w:val="000000"/>
          <w:lang w:eastAsia="en-GB"/>
        </w:rPr>
        <w:t xml:space="preserve">, </w:t>
      </w:r>
      <w:r w:rsidR="00153663" w:rsidRPr="00C3008C">
        <w:rPr>
          <w:rFonts w:eastAsia="Times New Roman" w:cs="Arial"/>
          <w:color w:val="000000"/>
          <w:lang w:eastAsia="en-GB"/>
        </w:rPr>
        <w:t>renew,</w:t>
      </w:r>
      <w:r w:rsidR="005552B5" w:rsidRPr="00C3008C">
        <w:rPr>
          <w:rFonts w:eastAsia="Times New Roman" w:cs="Arial"/>
          <w:color w:val="000000"/>
          <w:lang w:eastAsia="en-GB"/>
        </w:rPr>
        <w:t xml:space="preserve"> or </w:t>
      </w:r>
      <w:r w:rsidRPr="00C3008C">
        <w:rPr>
          <w:rFonts w:eastAsia="Times New Roman" w:cs="Arial"/>
          <w:color w:val="000000"/>
          <w:lang w:eastAsia="en-GB"/>
        </w:rPr>
        <w:t>create assets that will reduce financial commitments and improve policing in Kent. All sales of assets (capital receipts) fall into this reserve to be used for future capital investment.</w:t>
      </w:r>
      <w:r w:rsidRPr="00C3008C">
        <w:rPr>
          <w:rFonts w:cs="Arial"/>
          <w:color w:val="000000"/>
        </w:rPr>
        <w:t xml:space="preserve"> </w:t>
      </w:r>
      <w:r w:rsidRPr="00C3008C">
        <w:rPr>
          <w:rFonts w:eastAsia="Times New Roman" w:cs="Arial"/>
          <w:color w:val="000000"/>
          <w:lang w:eastAsia="en-GB"/>
        </w:rPr>
        <w:t xml:space="preserve">Capital projects will typically incur some revenue </w:t>
      </w:r>
      <w:r w:rsidR="00722C9A" w:rsidRPr="00C3008C">
        <w:rPr>
          <w:rFonts w:eastAsia="Times New Roman" w:cs="Arial"/>
          <w:color w:val="000000"/>
          <w:lang w:eastAsia="en-GB"/>
        </w:rPr>
        <w:t>investment,</w:t>
      </w:r>
      <w:r w:rsidRPr="00C3008C">
        <w:rPr>
          <w:rFonts w:eastAsia="Times New Roman" w:cs="Arial"/>
          <w:color w:val="000000"/>
          <w:lang w:eastAsia="en-GB"/>
        </w:rPr>
        <w:t xml:space="preserve"> and this </w:t>
      </w:r>
      <w:r w:rsidR="00AD337D" w:rsidRPr="00C3008C">
        <w:rPr>
          <w:rFonts w:eastAsia="Times New Roman" w:cs="Arial"/>
          <w:color w:val="000000"/>
          <w:lang w:eastAsia="en-GB"/>
        </w:rPr>
        <w:t>is included within the revenue budget.</w:t>
      </w:r>
      <w:r w:rsidR="001E4ECD" w:rsidRPr="00C3008C">
        <w:rPr>
          <w:rFonts w:eastAsia="Times New Roman" w:cs="Arial"/>
          <w:color w:val="000000"/>
          <w:lang w:eastAsia="en-GB"/>
        </w:rPr>
        <w:t xml:space="preserve"> </w:t>
      </w:r>
    </w:p>
    <w:p w14:paraId="6E06F22A" w14:textId="7FFBAD78" w:rsidR="00A34A45" w:rsidRPr="00C3008C" w:rsidRDefault="00E1305E" w:rsidP="00F57F1E">
      <w:pPr>
        <w:pStyle w:val="ListParagraph"/>
        <w:numPr>
          <w:ilvl w:val="1"/>
          <w:numId w:val="3"/>
        </w:numPr>
        <w:spacing w:line="240" w:lineRule="auto"/>
        <w:ind w:left="993" w:hanging="284"/>
        <w:contextualSpacing w:val="0"/>
        <w:jc w:val="both"/>
        <w:rPr>
          <w:rFonts w:eastAsia="Times New Roman" w:cs="Arial"/>
          <w:color w:val="000000"/>
          <w:lang w:eastAsia="en-GB"/>
        </w:rPr>
      </w:pPr>
      <w:r w:rsidRPr="00C3008C">
        <w:rPr>
          <w:rFonts w:cs="Arial"/>
          <w:b/>
        </w:rPr>
        <w:t xml:space="preserve">Ring </w:t>
      </w:r>
      <w:r w:rsidR="00EC3278" w:rsidRPr="00C3008C">
        <w:rPr>
          <w:rFonts w:cs="Arial"/>
          <w:b/>
        </w:rPr>
        <w:t>f</w:t>
      </w:r>
      <w:r w:rsidRPr="00C3008C">
        <w:rPr>
          <w:rFonts w:cs="Arial"/>
          <w:b/>
        </w:rPr>
        <w:t xml:space="preserve">enced </w:t>
      </w:r>
      <w:r w:rsidR="008220CD" w:rsidRPr="00C3008C">
        <w:rPr>
          <w:rFonts w:cs="Arial"/>
          <w:bCs/>
        </w:rPr>
        <w:t xml:space="preserve">are funds set aside to deal with </w:t>
      </w:r>
      <w:r w:rsidR="004E66B6" w:rsidRPr="00C3008C">
        <w:rPr>
          <w:rFonts w:cs="Arial"/>
          <w:bCs/>
        </w:rPr>
        <w:t>a specific purpose</w:t>
      </w:r>
      <w:r w:rsidR="004E66B6" w:rsidRPr="00C3008C">
        <w:rPr>
          <w:rFonts w:cs="Arial"/>
          <w:b/>
        </w:rPr>
        <w:t xml:space="preserve">. </w:t>
      </w:r>
      <w:r w:rsidR="004E66B6" w:rsidRPr="00C3008C">
        <w:rPr>
          <w:rFonts w:cs="Arial"/>
          <w:bCs/>
        </w:rPr>
        <w:t xml:space="preserve">These can be </w:t>
      </w:r>
      <w:r w:rsidR="00360DC3" w:rsidRPr="00C3008C">
        <w:rPr>
          <w:rFonts w:cs="Arial"/>
          <w:bCs/>
        </w:rPr>
        <w:t>reserves</w:t>
      </w:r>
      <w:r w:rsidR="004E66B6" w:rsidRPr="00C3008C">
        <w:rPr>
          <w:rFonts w:cs="Arial"/>
          <w:bCs/>
        </w:rPr>
        <w:t xml:space="preserve"> </w:t>
      </w:r>
      <w:r w:rsidR="002A7D1A" w:rsidRPr="00C3008C">
        <w:rPr>
          <w:rFonts w:cs="Arial"/>
          <w:bCs/>
        </w:rPr>
        <w:t xml:space="preserve">that </w:t>
      </w:r>
      <w:r w:rsidR="004E66B6" w:rsidRPr="00C3008C">
        <w:rPr>
          <w:rFonts w:cs="Arial"/>
          <w:bCs/>
        </w:rPr>
        <w:t xml:space="preserve">have to </w:t>
      </w:r>
      <w:r w:rsidR="002A7D1A" w:rsidRPr="00C3008C">
        <w:rPr>
          <w:rFonts w:cs="Arial"/>
          <w:bCs/>
        </w:rPr>
        <w:t xml:space="preserve">be held </w:t>
      </w:r>
      <w:r w:rsidR="004E66B6" w:rsidRPr="00C3008C">
        <w:rPr>
          <w:rFonts w:cs="Arial"/>
          <w:bCs/>
        </w:rPr>
        <w:t>for statutory purposes or where</w:t>
      </w:r>
      <w:r w:rsidR="001C265B" w:rsidRPr="00C3008C">
        <w:rPr>
          <w:rFonts w:cs="Arial"/>
          <w:bCs/>
        </w:rPr>
        <w:t xml:space="preserve"> they have been designated to deal with a particular issue or risk. This includes the budget support reserve</w:t>
      </w:r>
      <w:r w:rsidR="00722C9A" w:rsidRPr="00C3008C">
        <w:rPr>
          <w:rFonts w:cs="Arial"/>
          <w:bCs/>
        </w:rPr>
        <w:t xml:space="preserve">s held to mitigate risks around the current year budget, including risk in the non-delivery or delayed delivery of the savings plans. It will also, where appropriate, fund costs for significant operations that would not lead to a claim for </w:t>
      </w:r>
      <w:r w:rsidR="00AC0DB5" w:rsidRPr="00C3008C">
        <w:rPr>
          <w:rFonts w:cs="Arial"/>
          <w:bCs/>
        </w:rPr>
        <w:t>S</w:t>
      </w:r>
      <w:r w:rsidR="00722C9A" w:rsidRPr="00C3008C">
        <w:rPr>
          <w:rFonts w:cs="Arial"/>
          <w:bCs/>
        </w:rPr>
        <w:t>pecial Grant avoiding the need to use general reserves.</w:t>
      </w:r>
      <w:r w:rsidR="00701458" w:rsidRPr="00C3008C">
        <w:rPr>
          <w:rFonts w:cs="Arial"/>
          <w:bCs/>
        </w:rPr>
        <w:t xml:space="preserve"> This also holds </w:t>
      </w:r>
      <w:r w:rsidR="00170CA2" w:rsidRPr="00C3008C">
        <w:rPr>
          <w:rFonts w:cs="Arial"/>
          <w:bCs/>
        </w:rPr>
        <w:t xml:space="preserve">any partnership </w:t>
      </w:r>
      <w:r w:rsidR="00AC0DB5" w:rsidRPr="00C3008C">
        <w:rPr>
          <w:rFonts w:cs="Arial"/>
          <w:bCs/>
        </w:rPr>
        <w:t>reserves</w:t>
      </w:r>
      <w:r w:rsidR="00170CA2" w:rsidRPr="00C3008C">
        <w:rPr>
          <w:rFonts w:cs="Arial"/>
          <w:bCs/>
        </w:rPr>
        <w:t xml:space="preserve"> that a</w:t>
      </w:r>
      <w:r w:rsidR="00AC0DB5" w:rsidRPr="00C3008C">
        <w:rPr>
          <w:rFonts w:cs="Arial"/>
          <w:bCs/>
        </w:rPr>
        <w:t>re held for statutory reasons and on behalf of specific partnerships. They can only be used for the purposes they were intentionally held for.</w:t>
      </w:r>
      <w:r w:rsidR="00170CA2" w:rsidRPr="00C3008C">
        <w:rPr>
          <w:rFonts w:cs="Arial"/>
          <w:bCs/>
        </w:rPr>
        <w:t xml:space="preserve"> This also holds the PCC </w:t>
      </w:r>
      <w:r w:rsidR="00A34A45" w:rsidRPr="00C3008C">
        <w:rPr>
          <w:rFonts w:eastAsia="Times New Roman" w:cs="Arial"/>
          <w:color w:val="000000"/>
          <w:lang w:eastAsia="en-GB"/>
        </w:rPr>
        <w:t>reserve</w:t>
      </w:r>
      <w:r w:rsidR="00BA411B" w:rsidRPr="00C3008C">
        <w:rPr>
          <w:rFonts w:eastAsia="Times New Roman" w:cs="Arial"/>
          <w:color w:val="000000"/>
          <w:lang w:eastAsia="en-GB"/>
        </w:rPr>
        <w:t xml:space="preserve">. These are funds </w:t>
      </w:r>
      <w:r w:rsidR="00A34A45" w:rsidRPr="00C3008C">
        <w:rPr>
          <w:rFonts w:eastAsia="Times New Roman" w:cs="Arial"/>
          <w:color w:val="000000"/>
          <w:lang w:eastAsia="en-GB"/>
        </w:rPr>
        <w:t>set aside from the PCC</w:t>
      </w:r>
      <w:r w:rsidR="005B3411" w:rsidRPr="00C3008C">
        <w:rPr>
          <w:rFonts w:eastAsia="Times New Roman" w:cs="Arial"/>
          <w:color w:val="000000"/>
          <w:lang w:eastAsia="en-GB"/>
        </w:rPr>
        <w:t>’s</w:t>
      </w:r>
      <w:r w:rsidR="00A34A45" w:rsidRPr="00C3008C">
        <w:rPr>
          <w:rFonts w:eastAsia="Times New Roman" w:cs="Arial"/>
          <w:color w:val="000000"/>
          <w:lang w:eastAsia="en-GB"/>
        </w:rPr>
        <w:t xml:space="preserve"> </w:t>
      </w:r>
      <w:r w:rsidR="00721700" w:rsidRPr="00C3008C">
        <w:rPr>
          <w:rFonts w:eastAsia="Times New Roman" w:cs="Arial"/>
          <w:color w:val="000000"/>
          <w:lang w:eastAsia="en-GB"/>
        </w:rPr>
        <w:t xml:space="preserve">own </w:t>
      </w:r>
      <w:r w:rsidR="00A34A45" w:rsidRPr="00C3008C">
        <w:rPr>
          <w:rFonts w:eastAsia="Times New Roman" w:cs="Arial"/>
          <w:color w:val="000000"/>
          <w:lang w:eastAsia="en-GB"/>
        </w:rPr>
        <w:t xml:space="preserve">budget to fund innovative projects to help transform policing and </w:t>
      </w:r>
      <w:r w:rsidR="00494EAE" w:rsidRPr="00C3008C">
        <w:rPr>
          <w:rFonts w:eastAsia="Times New Roman" w:cs="Arial"/>
          <w:color w:val="000000"/>
          <w:lang w:eastAsia="en-GB"/>
        </w:rPr>
        <w:t>for schemes</w:t>
      </w:r>
      <w:r w:rsidR="00791C0A" w:rsidRPr="00C3008C">
        <w:rPr>
          <w:rFonts w:eastAsia="Times New Roman" w:cs="Arial"/>
          <w:color w:val="000000"/>
          <w:lang w:eastAsia="en-GB"/>
        </w:rPr>
        <w:t xml:space="preserve"> or services that will support victims and witnesses.</w:t>
      </w:r>
    </w:p>
    <w:p w14:paraId="1B8529C6" w14:textId="77777777" w:rsidR="00A34A45" w:rsidRPr="00C3008C" w:rsidRDefault="00A34A45" w:rsidP="00AA3B43">
      <w:pPr>
        <w:pStyle w:val="ListParagraph"/>
        <w:spacing w:line="240" w:lineRule="auto"/>
        <w:ind w:left="1560"/>
        <w:contextualSpacing w:val="0"/>
        <w:jc w:val="both"/>
        <w:rPr>
          <w:rFonts w:cs="Arial"/>
          <w:b/>
        </w:rPr>
      </w:pPr>
    </w:p>
    <w:p w14:paraId="5EA055CA" w14:textId="20A19EC1" w:rsidR="001C367E" w:rsidRPr="00C3008C" w:rsidRDefault="009F27DE" w:rsidP="00AA3B43">
      <w:pPr>
        <w:pStyle w:val="ListParagraph"/>
        <w:numPr>
          <w:ilvl w:val="0"/>
          <w:numId w:val="1"/>
        </w:numPr>
        <w:spacing w:line="240" w:lineRule="auto"/>
        <w:contextualSpacing w:val="0"/>
        <w:jc w:val="both"/>
        <w:rPr>
          <w:rFonts w:cs="Arial"/>
          <w:b/>
        </w:rPr>
      </w:pPr>
      <w:r>
        <w:rPr>
          <w:rFonts w:cs="Arial"/>
        </w:rPr>
        <w:t>E</w:t>
      </w:r>
      <w:r w:rsidR="001E4ECD" w:rsidRPr="00C3008C">
        <w:rPr>
          <w:rFonts w:cs="Arial"/>
        </w:rPr>
        <w:t xml:space="preserve">xpenditure from the </w:t>
      </w:r>
      <w:r w:rsidR="00A34A45" w:rsidRPr="00C3008C">
        <w:rPr>
          <w:rFonts w:cs="Arial"/>
        </w:rPr>
        <w:t>investment reserve</w:t>
      </w:r>
      <w:r w:rsidR="00AD337D" w:rsidRPr="00C3008C">
        <w:rPr>
          <w:rFonts w:cs="Arial"/>
        </w:rPr>
        <w:t xml:space="preserve"> is</w:t>
      </w:r>
      <w:r w:rsidR="001E4ECD" w:rsidRPr="00C3008C">
        <w:rPr>
          <w:rFonts w:eastAsia="Times New Roman" w:cs="Arial"/>
          <w:color w:val="000000"/>
          <w:lang w:eastAsia="en-GB"/>
        </w:rPr>
        <w:t xml:space="preserve"> reliant on </w:t>
      </w:r>
      <w:r w:rsidR="00097C21" w:rsidRPr="00C3008C">
        <w:rPr>
          <w:rFonts w:eastAsia="Times New Roman" w:cs="Arial"/>
          <w:color w:val="000000"/>
          <w:lang w:eastAsia="en-GB"/>
        </w:rPr>
        <w:t xml:space="preserve">borrowing as </w:t>
      </w:r>
      <w:r w:rsidR="001E4ECD" w:rsidRPr="00C3008C">
        <w:rPr>
          <w:rFonts w:eastAsia="Times New Roman" w:cs="Arial"/>
          <w:color w:val="000000"/>
          <w:lang w:eastAsia="en-GB"/>
        </w:rPr>
        <w:t xml:space="preserve">in-year asset disposals </w:t>
      </w:r>
      <w:r w:rsidR="001C367E" w:rsidRPr="00C3008C">
        <w:rPr>
          <w:rFonts w:eastAsia="Times New Roman" w:cs="Arial"/>
          <w:color w:val="000000"/>
          <w:lang w:eastAsia="en-GB"/>
        </w:rPr>
        <w:t>reduce</w:t>
      </w:r>
      <w:r w:rsidR="001E4ECD" w:rsidRPr="00C3008C">
        <w:rPr>
          <w:rFonts w:eastAsia="Times New Roman" w:cs="Arial"/>
          <w:color w:val="000000"/>
          <w:lang w:eastAsia="en-GB"/>
        </w:rPr>
        <w:t xml:space="preserve">. </w:t>
      </w:r>
      <w:r w:rsidR="00FE3F29" w:rsidRPr="00C3008C">
        <w:rPr>
          <w:rFonts w:eastAsia="Times New Roman" w:cs="Arial"/>
          <w:color w:val="000000"/>
          <w:lang w:eastAsia="en-GB"/>
        </w:rPr>
        <w:t>A revenue</w:t>
      </w:r>
      <w:r w:rsidR="001E4ECD" w:rsidRPr="00C3008C">
        <w:rPr>
          <w:rFonts w:eastAsia="Times New Roman" w:cs="Arial"/>
          <w:color w:val="000000"/>
          <w:lang w:eastAsia="en-GB"/>
        </w:rPr>
        <w:t xml:space="preserve"> contribution to capital </w:t>
      </w:r>
      <w:r w:rsidR="00722C9A" w:rsidRPr="00C3008C">
        <w:rPr>
          <w:rFonts w:eastAsia="Times New Roman" w:cs="Arial"/>
          <w:color w:val="000000"/>
          <w:lang w:eastAsia="en-GB"/>
        </w:rPr>
        <w:t xml:space="preserve">continues to </w:t>
      </w:r>
      <w:r w:rsidR="001E4ECD" w:rsidRPr="00C3008C">
        <w:rPr>
          <w:rFonts w:eastAsia="Times New Roman" w:cs="Arial"/>
          <w:color w:val="000000"/>
          <w:lang w:eastAsia="en-GB"/>
        </w:rPr>
        <w:t xml:space="preserve">support the investment programme and this </w:t>
      </w:r>
      <w:r w:rsidR="00722C9A" w:rsidRPr="00C3008C">
        <w:rPr>
          <w:rFonts w:eastAsia="Times New Roman" w:cs="Arial"/>
          <w:color w:val="000000"/>
          <w:lang w:eastAsia="en-GB"/>
        </w:rPr>
        <w:t xml:space="preserve">contribution </w:t>
      </w:r>
      <w:r w:rsidR="001E4ECD" w:rsidRPr="00C3008C">
        <w:rPr>
          <w:rFonts w:eastAsia="Times New Roman" w:cs="Arial"/>
          <w:color w:val="000000"/>
          <w:lang w:eastAsia="en-GB"/>
        </w:rPr>
        <w:t xml:space="preserve">will increase over the medium term. Any </w:t>
      </w:r>
      <w:r w:rsidR="00454003" w:rsidRPr="00C3008C">
        <w:rPr>
          <w:rFonts w:eastAsia="Times New Roman" w:cs="Arial"/>
          <w:color w:val="000000"/>
          <w:lang w:eastAsia="en-GB"/>
        </w:rPr>
        <w:t>fluctuations</w:t>
      </w:r>
      <w:r w:rsidR="001E4ECD" w:rsidRPr="00C3008C">
        <w:rPr>
          <w:rFonts w:eastAsia="Times New Roman" w:cs="Arial"/>
          <w:color w:val="000000"/>
          <w:lang w:eastAsia="en-GB"/>
        </w:rPr>
        <w:t xml:space="preserve"> in asset disposals may mean a reduction in investment</w:t>
      </w:r>
      <w:r w:rsidR="00912847" w:rsidRPr="00C3008C">
        <w:rPr>
          <w:rFonts w:eastAsia="Times New Roman" w:cs="Arial"/>
          <w:color w:val="000000"/>
          <w:lang w:eastAsia="en-GB"/>
        </w:rPr>
        <w:t>,</w:t>
      </w:r>
      <w:r w:rsidR="001E4ECD" w:rsidRPr="00C3008C">
        <w:rPr>
          <w:rFonts w:eastAsia="Times New Roman" w:cs="Arial"/>
          <w:color w:val="000000"/>
          <w:lang w:eastAsia="en-GB"/>
        </w:rPr>
        <w:t xml:space="preserve"> or where </w:t>
      </w:r>
      <w:r w:rsidR="00454003" w:rsidRPr="00C3008C">
        <w:rPr>
          <w:rFonts w:eastAsia="Times New Roman" w:cs="Arial"/>
          <w:color w:val="000000"/>
          <w:lang w:eastAsia="en-GB"/>
        </w:rPr>
        <w:t>appropriate</w:t>
      </w:r>
      <w:r w:rsidR="001E4ECD" w:rsidRPr="00C3008C">
        <w:rPr>
          <w:rFonts w:eastAsia="Times New Roman" w:cs="Arial"/>
          <w:color w:val="000000"/>
          <w:lang w:eastAsia="en-GB"/>
        </w:rPr>
        <w:t xml:space="preserve"> for long term projects a need to borrow.</w:t>
      </w:r>
    </w:p>
    <w:p w14:paraId="562048B0" w14:textId="77777777" w:rsidR="00722C9A" w:rsidRPr="00C3008C" w:rsidRDefault="00722C9A" w:rsidP="00AA3B43">
      <w:pPr>
        <w:pStyle w:val="ListParagraph"/>
        <w:spacing w:line="240" w:lineRule="auto"/>
        <w:ind w:left="709"/>
        <w:contextualSpacing w:val="0"/>
        <w:jc w:val="both"/>
        <w:rPr>
          <w:rFonts w:cs="Arial"/>
          <w:b/>
        </w:rPr>
      </w:pPr>
    </w:p>
    <w:p w14:paraId="1EE5CAEE" w14:textId="35CA985F" w:rsidR="00BA0369" w:rsidRPr="00C3008C" w:rsidRDefault="00BA0369" w:rsidP="00AA3B43">
      <w:pPr>
        <w:pStyle w:val="ListParagraph"/>
        <w:spacing w:line="240" w:lineRule="auto"/>
        <w:ind w:left="709"/>
        <w:contextualSpacing w:val="0"/>
        <w:jc w:val="both"/>
        <w:rPr>
          <w:rFonts w:cs="Arial"/>
          <w:b/>
        </w:rPr>
      </w:pPr>
      <w:r w:rsidRPr="00C3008C">
        <w:rPr>
          <w:rFonts w:cs="Arial"/>
          <w:b/>
        </w:rPr>
        <w:t>Home Office Classification</w:t>
      </w:r>
    </w:p>
    <w:p w14:paraId="49999ACA" w14:textId="2805DC01" w:rsidR="00BA0369" w:rsidRPr="00C3008C" w:rsidRDefault="00BA0369" w:rsidP="00AA3B43">
      <w:pPr>
        <w:pStyle w:val="ListParagraph"/>
        <w:numPr>
          <w:ilvl w:val="0"/>
          <w:numId w:val="1"/>
        </w:numPr>
        <w:spacing w:line="240" w:lineRule="auto"/>
        <w:contextualSpacing w:val="0"/>
        <w:jc w:val="both"/>
        <w:rPr>
          <w:rFonts w:cs="Arial"/>
        </w:rPr>
      </w:pPr>
      <w:r w:rsidRPr="00C3008C">
        <w:rPr>
          <w:rFonts w:cs="Arial"/>
        </w:rPr>
        <w:t xml:space="preserve">The Home Office set out clear guidance on publishing the </w:t>
      </w:r>
      <w:r w:rsidR="00430F5C" w:rsidRPr="00C3008C">
        <w:rPr>
          <w:rFonts w:cs="Arial"/>
        </w:rPr>
        <w:t>R</w:t>
      </w:r>
      <w:r w:rsidRPr="00C3008C">
        <w:rPr>
          <w:rFonts w:cs="Arial"/>
        </w:rPr>
        <w:t xml:space="preserve">eserves </w:t>
      </w:r>
      <w:r w:rsidR="00430F5C" w:rsidRPr="00C3008C">
        <w:rPr>
          <w:rFonts w:cs="Arial"/>
        </w:rPr>
        <w:t>S</w:t>
      </w:r>
      <w:r w:rsidRPr="00C3008C">
        <w:rPr>
          <w:rFonts w:cs="Arial"/>
        </w:rPr>
        <w:t>trategy. It also state</w:t>
      </w:r>
      <w:r w:rsidR="00912847" w:rsidRPr="00C3008C">
        <w:rPr>
          <w:rFonts w:cs="Arial"/>
        </w:rPr>
        <w:t>s</w:t>
      </w:r>
      <w:r w:rsidRPr="00C3008C">
        <w:rPr>
          <w:rFonts w:cs="Arial"/>
        </w:rPr>
        <w:t xml:space="preserve"> that the information on each </w:t>
      </w:r>
      <w:r w:rsidR="00347C0A" w:rsidRPr="00C3008C">
        <w:rPr>
          <w:rFonts w:cs="Arial"/>
        </w:rPr>
        <w:t xml:space="preserve">revenue </w:t>
      </w:r>
      <w:r w:rsidRPr="00C3008C">
        <w:rPr>
          <w:rFonts w:cs="Arial"/>
        </w:rPr>
        <w:t xml:space="preserve">reserve should make clear how much of the funding falls into </w:t>
      </w:r>
      <w:r w:rsidR="000362FC" w:rsidRPr="00C3008C">
        <w:rPr>
          <w:rFonts w:cs="Arial"/>
        </w:rPr>
        <w:t xml:space="preserve">each </w:t>
      </w:r>
      <w:r w:rsidRPr="00C3008C">
        <w:rPr>
          <w:rFonts w:cs="Arial"/>
        </w:rPr>
        <w:t>of</w:t>
      </w:r>
      <w:r w:rsidR="005B3411" w:rsidRPr="00C3008C">
        <w:rPr>
          <w:rFonts w:cs="Arial"/>
        </w:rPr>
        <w:t xml:space="preserve"> the following three categories</w:t>
      </w:r>
      <w:r w:rsidR="00201753" w:rsidRPr="00C3008C">
        <w:rPr>
          <w:rFonts w:cs="Arial"/>
        </w:rPr>
        <w:t>:</w:t>
      </w:r>
    </w:p>
    <w:p w14:paraId="24D40A08" w14:textId="77777777" w:rsidR="00BA0369" w:rsidRPr="00C3008C" w:rsidRDefault="00BA0369" w:rsidP="00AA3B43">
      <w:pPr>
        <w:pStyle w:val="ListParagraph"/>
        <w:spacing w:line="240" w:lineRule="auto"/>
        <w:ind w:left="709"/>
        <w:contextualSpacing w:val="0"/>
        <w:jc w:val="both"/>
        <w:rPr>
          <w:rFonts w:cs="Arial"/>
        </w:rPr>
      </w:pPr>
    </w:p>
    <w:tbl>
      <w:tblPr>
        <w:tblStyle w:val="TableGrid"/>
        <w:tblW w:w="10247" w:type="dxa"/>
        <w:tblInd w:w="663" w:type="dxa"/>
        <w:tblLayout w:type="fixed"/>
        <w:tblLook w:val="04A0" w:firstRow="1" w:lastRow="0" w:firstColumn="1" w:lastColumn="0" w:noHBand="0" w:noVBand="1"/>
      </w:tblPr>
      <w:tblGrid>
        <w:gridCol w:w="4294"/>
        <w:gridCol w:w="992"/>
        <w:gridCol w:w="992"/>
        <w:gridCol w:w="992"/>
        <w:gridCol w:w="993"/>
        <w:gridCol w:w="992"/>
        <w:gridCol w:w="992"/>
      </w:tblGrid>
      <w:tr w:rsidR="00C17F7F" w:rsidRPr="00487568" w14:paraId="7D722698" w14:textId="3F437BF3" w:rsidTr="4A0B16C3">
        <w:trPr>
          <w:trHeight w:val="210"/>
        </w:trPr>
        <w:tc>
          <w:tcPr>
            <w:tcW w:w="4294" w:type="dxa"/>
          </w:tcPr>
          <w:p w14:paraId="0210AC99" w14:textId="77777777" w:rsidR="002F34C9" w:rsidRPr="002944C4" w:rsidRDefault="002F34C9" w:rsidP="005A52AD">
            <w:pPr>
              <w:jc w:val="both"/>
              <w:rPr>
                <w:rFonts w:cs="Arial"/>
                <w:b/>
                <w:bCs/>
                <w:sz w:val="20"/>
                <w:szCs w:val="20"/>
              </w:rPr>
            </w:pPr>
          </w:p>
        </w:tc>
        <w:tc>
          <w:tcPr>
            <w:tcW w:w="992" w:type="dxa"/>
            <w:vAlign w:val="center"/>
          </w:tcPr>
          <w:p w14:paraId="69AF454C" w14:textId="288259A1" w:rsidR="002F34C9" w:rsidRPr="002944C4" w:rsidRDefault="002F34C9" w:rsidP="005A52AD">
            <w:pPr>
              <w:jc w:val="center"/>
              <w:rPr>
                <w:rFonts w:cs="Arial"/>
                <w:b/>
                <w:bCs/>
                <w:sz w:val="20"/>
                <w:szCs w:val="20"/>
              </w:rPr>
            </w:pPr>
            <w:r w:rsidRPr="4A0B16C3">
              <w:rPr>
                <w:rFonts w:cs="Arial"/>
                <w:b/>
                <w:bCs/>
                <w:sz w:val="20"/>
                <w:szCs w:val="20"/>
              </w:rPr>
              <w:t>2026/27</w:t>
            </w:r>
          </w:p>
        </w:tc>
        <w:tc>
          <w:tcPr>
            <w:tcW w:w="992" w:type="dxa"/>
          </w:tcPr>
          <w:p w14:paraId="47BC512A" w14:textId="4E01F485" w:rsidR="002F34C9" w:rsidRPr="002944C4" w:rsidRDefault="002F34C9" w:rsidP="005A52AD">
            <w:pPr>
              <w:jc w:val="center"/>
              <w:rPr>
                <w:rFonts w:cs="Arial"/>
                <w:b/>
                <w:bCs/>
                <w:sz w:val="20"/>
                <w:szCs w:val="20"/>
              </w:rPr>
            </w:pPr>
            <w:r w:rsidRPr="002944C4">
              <w:rPr>
                <w:rFonts w:cs="Arial"/>
                <w:b/>
                <w:bCs/>
                <w:sz w:val="20"/>
                <w:szCs w:val="20"/>
              </w:rPr>
              <w:t>2026/27</w:t>
            </w:r>
          </w:p>
        </w:tc>
        <w:tc>
          <w:tcPr>
            <w:tcW w:w="992" w:type="dxa"/>
            <w:vAlign w:val="center"/>
          </w:tcPr>
          <w:p w14:paraId="0402641B" w14:textId="396A8D52" w:rsidR="002F34C9" w:rsidRPr="002944C4" w:rsidRDefault="002F34C9" w:rsidP="005A52AD">
            <w:pPr>
              <w:jc w:val="center"/>
              <w:rPr>
                <w:rFonts w:cs="Arial"/>
                <w:b/>
                <w:bCs/>
                <w:sz w:val="20"/>
                <w:szCs w:val="20"/>
              </w:rPr>
            </w:pPr>
            <w:r w:rsidRPr="002944C4">
              <w:rPr>
                <w:rFonts w:cs="Arial"/>
                <w:b/>
                <w:bCs/>
                <w:sz w:val="20"/>
                <w:szCs w:val="20"/>
              </w:rPr>
              <w:t>2027/28</w:t>
            </w:r>
          </w:p>
        </w:tc>
        <w:tc>
          <w:tcPr>
            <w:tcW w:w="993" w:type="dxa"/>
          </w:tcPr>
          <w:p w14:paraId="6AC71E12" w14:textId="1F33B04C" w:rsidR="002F34C9" w:rsidRPr="002944C4" w:rsidRDefault="002F34C9" w:rsidP="005A52AD">
            <w:pPr>
              <w:jc w:val="center"/>
              <w:rPr>
                <w:rFonts w:cs="Arial"/>
                <w:b/>
                <w:bCs/>
                <w:sz w:val="20"/>
                <w:szCs w:val="20"/>
              </w:rPr>
            </w:pPr>
            <w:r w:rsidRPr="002944C4">
              <w:rPr>
                <w:rFonts w:cs="Arial"/>
                <w:b/>
                <w:bCs/>
                <w:sz w:val="20"/>
                <w:szCs w:val="20"/>
              </w:rPr>
              <w:t>2028/29</w:t>
            </w:r>
          </w:p>
        </w:tc>
        <w:tc>
          <w:tcPr>
            <w:tcW w:w="992" w:type="dxa"/>
          </w:tcPr>
          <w:p w14:paraId="73D99691" w14:textId="02E17913" w:rsidR="002F34C9" w:rsidRPr="002944C4" w:rsidRDefault="002F34C9" w:rsidP="005A52AD">
            <w:pPr>
              <w:jc w:val="center"/>
              <w:rPr>
                <w:rFonts w:cs="Arial"/>
                <w:b/>
                <w:bCs/>
                <w:sz w:val="20"/>
                <w:szCs w:val="20"/>
              </w:rPr>
            </w:pPr>
            <w:r w:rsidRPr="002944C4">
              <w:rPr>
                <w:rFonts w:cs="Arial"/>
                <w:b/>
                <w:bCs/>
                <w:sz w:val="20"/>
                <w:szCs w:val="20"/>
              </w:rPr>
              <w:t>2029/30</w:t>
            </w:r>
          </w:p>
        </w:tc>
        <w:tc>
          <w:tcPr>
            <w:tcW w:w="992" w:type="dxa"/>
          </w:tcPr>
          <w:p w14:paraId="1AF6F54B" w14:textId="49441091" w:rsidR="002F34C9" w:rsidRPr="002944C4" w:rsidRDefault="002F34C9" w:rsidP="005A52AD">
            <w:pPr>
              <w:jc w:val="center"/>
              <w:rPr>
                <w:rFonts w:cs="Arial"/>
                <w:b/>
                <w:bCs/>
                <w:sz w:val="20"/>
                <w:szCs w:val="20"/>
              </w:rPr>
            </w:pPr>
            <w:r w:rsidRPr="002944C4">
              <w:rPr>
                <w:rFonts w:cs="Arial"/>
                <w:b/>
                <w:bCs/>
                <w:sz w:val="20"/>
                <w:szCs w:val="20"/>
              </w:rPr>
              <w:t>2030/31</w:t>
            </w:r>
          </w:p>
        </w:tc>
      </w:tr>
      <w:tr w:rsidR="00C17F7F" w:rsidRPr="00487568" w14:paraId="4FB56293" w14:textId="744E8110" w:rsidTr="4A0B16C3">
        <w:trPr>
          <w:trHeight w:val="210"/>
        </w:trPr>
        <w:tc>
          <w:tcPr>
            <w:tcW w:w="4294" w:type="dxa"/>
          </w:tcPr>
          <w:p w14:paraId="759195CB" w14:textId="77777777" w:rsidR="002F34C9" w:rsidRPr="002944C4" w:rsidRDefault="002F34C9" w:rsidP="005A52AD">
            <w:pPr>
              <w:jc w:val="both"/>
              <w:rPr>
                <w:rFonts w:cs="Arial"/>
                <w:b/>
                <w:bCs/>
                <w:sz w:val="20"/>
                <w:szCs w:val="20"/>
              </w:rPr>
            </w:pPr>
            <w:bookmarkStart w:id="0" w:name="_Hlk61420877"/>
            <w:r w:rsidRPr="002944C4">
              <w:rPr>
                <w:rFonts w:cs="Arial"/>
                <w:b/>
                <w:bCs/>
                <w:sz w:val="20"/>
                <w:szCs w:val="20"/>
              </w:rPr>
              <w:t>Classification</w:t>
            </w:r>
          </w:p>
        </w:tc>
        <w:tc>
          <w:tcPr>
            <w:tcW w:w="992" w:type="dxa"/>
            <w:vAlign w:val="center"/>
          </w:tcPr>
          <w:p w14:paraId="3AEEB214" w14:textId="27884D58" w:rsidR="002F34C9" w:rsidRPr="002944C4" w:rsidRDefault="002F34C9" w:rsidP="005A52AD">
            <w:pPr>
              <w:jc w:val="center"/>
              <w:rPr>
                <w:rFonts w:cs="Arial"/>
                <w:b/>
                <w:bCs/>
                <w:sz w:val="20"/>
                <w:szCs w:val="20"/>
              </w:rPr>
            </w:pPr>
            <w:r w:rsidRPr="002944C4">
              <w:rPr>
                <w:rFonts w:cs="Arial"/>
                <w:b/>
                <w:bCs/>
                <w:sz w:val="20"/>
                <w:szCs w:val="20"/>
              </w:rPr>
              <w:t>£m</w:t>
            </w:r>
          </w:p>
        </w:tc>
        <w:tc>
          <w:tcPr>
            <w:tcW w:w="992" w:type="dxa"/>
          </w:tcPr>
          <w:p w14:paraId="00DFFDB0" w14:textId="132C6B9E" w:rsidR="002F34C9" w:rsidRPr="002944C4" w:rsidRDefault="002F34C9" w:rsidP="005A52AD">
            <w:pPr>
              <w:jc w:val="center"/>
              <w:rPr>
                <w:rFonts w:cs="Arial"/>
                <w:b/>
                <w:bCs/>
                <w:sz w:val="20"/>
                <w:szCs w:val="20"/>
              </w:rPr>
            </w:pPr>
            <w:r w:rsidRPr="002944C4">
              <w:rPr>
                <w:rFonts w:cs="Arial"/>
                <w:b/>
                <w:bCs/>
                <w:sz w:val="20"/>
                <w:szCs w:val="20"/>
              </w:rPr>
              <w:t>£m</w:t>
            </w:r>
          </w:p>
        </w:tc>
        <w:tc>
          <w:tcPr>
            <w:tcW w:w="992" w:type="dxa"/>
            <w:vAlign w:val="center"/>
          </w:tcPr>
          <w:p w14:paraId="72327D08" w14:textId="514FE3B8" w:rsidR="002F34C9" w:rsidRPr="002944C4" w:rsidRDefault="002F34C9" w:rsidP="005A52AD">
            <w:pPr>
              <w:jc w:val="center"/>
              <w:rPr>
                <w:rFonts w:cs="Arial"/>
                <w:b/>
                <w:bCs/>
                <w:sz w:val="20"/>
                <w:szCs w:val="20"/>
              </w:rPr>
            </w:pPr>
            <w:r w:rsidRPr="002944C4">
              <w:rPr>
                <w:rFonts w:cs="Arial"/>
                <w:b/>
                <w:bCs/>
                <w:sz w:val="20"/>
                <w:szCs w:val="20"/>
              </w:rPr>
              <w:t>£m</w:t>
            </w:r>
          </w:p>
        </w:tc>
        <w:tc>
          <w:tcPr>
            <w:tcW w:w="993" w:type="dxa"/>
            <w:vAlign w:val="center"/>
          </w:tcPr>
          <w:p w14:paraId="15F39EF5" w14:textId="31C3C2EB" w:rsidR="002F34C9" w:rsidRPr="002944C4" w:rsidRDefault="002F34C9" w:rsidP="005A52AD">
            <w:pPr>
              <w:jc w:val="center"/>
              <w:rPr>
                <w:rFonts w:cs="Arial"/>
                <w:b/>
                <w:bCs/>
                <w:sz w:val="20"/>
                <w:szCs w:val="20"/>
              </w:rPr>
            </w:pPr>
            <w:r w:rsidRPr="002944C4">
              <w:rPr>
                <w:rFonts w:cs="Arial"/>
                <w:b/>
                <w:bCs/>
                <w:sz w:val="20"/>
                <w:szCs w:val="20"/>
              </w:rPr>
              <w:t>£m</w:t>
            </w:r>
          </w:p>
        </w:tc>
        <w:tc>
          <w:tcPr>
            <w:tcW w:w="992" w:type="dxa"/>
            <w:vAlign w:val="center"/>
          </w:tcPr>
          <w:p w14:paraId="3E25EB01" w14:textId="6C704C6A" w:rsidR="002F34C9" w:rsidRPr="002944C4" w:rsidRDefault="002F34C9" w:rsidP="005A52AD">
            <w:pPr>
              <w:jc w:val="center"/>
              <w:rPr>
                <w:rFonts w:cs="Arial"/>
                <w:b/>
                <w:bCs/>
                <w:sz w:val="20"/>
                <w:szCs w:val="20"/>
              </w:rPr>
            </w:pPr>
            <w:r w:rsidRPr="002944C4">
              <w:rPr>
                <w:rFonts w:cs="Arial"/>
                <w:b/>
                <w:bCs/>
                <w:sz w:val="20"/>
                <w:szCs w:val="20"/>
              </w:rPr>
              <w:t>£m</w:t>
            </w:r>
          </w:p>
        </w:tc>
        <w:tc>
          <w:tcPr>
            <w:tcW w:w="992" w:type="dxa"/>
          </w:tcPr>
          <w:p w14:paraId="02BA41E5" w14:textId="01F36F83" w:rsidR="002F34C9" w:rsidRPr="002944C4" w:rsidRDefault="002F34C9" w:rsidP="005A52AD">
            <w:pPr>
              <w:jc w:val="center"/>
              <w:rPr>
                <w:rFonts w:cs="Arial"/>
                <w:b/>
                <w:bCs/>
                <w:sz w:val="20"/>
                <w:szCs w:val="20"/>
              </w:rPr>
            </w:pPr>
            <w:r w:rsidRPr="002944C4">
              <w:rPr>
                <w:rFonts w:cs="Arial"/>
                <w:b/>
                <w:bCs/>
                <w:sz w:val="20"/>
                <w:szCs w:val="20"/>
              </w:rPr>
              <w:t>£m</w:t>
            </w:r>
          </w:p>
        </w:tc>
      </w:tr>
      <w:bookmarkEnd w:id="0"/>
      <w:tr w:rsidR="00C17F7F" w:rsidRPr="00487568" w14:paraId="55A46ED7" w14:textId="22FF0EA4" w:rsidTr="4A0B16C3">
        <w:trPr>
          <w:trHeight w:val="856"/>
        </w:trPr>
        <w:tc>
          <w:tcPr>
            <w:tcW w:w="4294" w:type="dxa"/>
          </w:tcPr>
          <w:p w14:paraId="7C9379BD" w14:textId="77777777" w:rsidR="00C17F7F" w:rsidRPr="002944C4" w:rsidRDefault="00C17F7F" w:rsidP="00C17F7F">
            <w:pPr>
              <w:rPr>
                <w:rFonts w:cs="Arial"/>
                <w:sz w:val="20"/>
                <w:szCs w:val="20"/>
              </w:rPr>
            </w:pPr>
            <w:r w:rsidRPr="002944C4">
              <w:rPr>
                <w:rFonts w:cs="Arial"/>
                <w:sz w:val="20"/>
                <w:szCs w:val="20"/>
              </w:rPr>
              <w:t xml:space="preserve">Funding for planned expenditure on projects and programmes over the period of the current medium-term financial plan </w:t>
            </w:r>
          </w:p>
        </w:tc>
        <w:tc>
          <w:tcPr>
            <w:tcW w:w="992" w:type="dxa"/>
            <w:vAlign w:val="center"/>
          </w:tcPr>
          <w:p w14:paraId="37808F7F" w14:textId="3F46544E" w:rsidR="00C17F7F" w:rsidRPr="002944C4" w:rsidRDefault="00C17F7F" w:rsidP="00C17F7F">
            <w:pPr>
              <w:jc w:val="center"/>
              <w:rPr>
                <w:rFonts w:cs="Arial"/>
                <w:sz w:val="20"/>
                <w:szCs w:val="20"/>
              </w:rPr>
            </w:pPr>
            <w:r w:rsidRPr="002944C4">
              <w:rPr>
                <w:rFonts w:cs="Arial"/>
                <w:sz w:val="20"/>
                <w:szCs w:val="20"/>
              </w:rPr>
              <w:t>8.1</w:t>
            </w:r>
          </w:p>
        </w:tc>
        <w:tc>
          <w:tcPr>
            <w:tcW w:w="992" w:type="dxa"/>
            <w:vAlign w:val="center"/>
          </w:tcPr>
          <w:p w14:paraId="1ED5C2C3" w14:textId="7A222398" w:rsidR="00C17F7F" w:rsidRPr="002944C4" w:rsidRDefault="00C17F7F" w:rsidP="00C17F7F">
            <w:pPr>
              <w:jc w:val="center"/>
              <w:rPr>
                <w:rFonts w:cs="Arial"/>
                <w:sz w:val="20"/>
                <w:szCs w:val="20"/>
              </w:rPr>
            </w:pPr>
            <w:r w:rsidRPr="002944C4">
              <w:rPr>
                <w:rFonts w:cs="Arial"/>
                <w:sz w:val="20"/>
                <w:szCs w:val="20"/>
              </w:rPr>
              <w:t>0.3</w:t>
            </w:r>
          </w:p>
        </w:tc>
        <w:tc>
          <w:tcPr>
            <w:tcW w:w="992" w:type="dxa"/>
            <w:vAlign w:val="center"/>
          </w:tcPr>
          <w:p w14:paraId="5A0DDEB7" w14:textId="176E2078" w:rsidR="00C17F7F" w:rsidRPr="002944C4" w:rsidRDefault="00C17F7F" w:rsidP="00C17F7F">
            <w:pPr>
              <w:jc w:val="center"/>
              <w:rPr>
                <w:rFonts w:cs="Arial"/>
                <w:sz w:val="20"/>
                <w:szCs w:val="20"/>
              </w:rPr>
            </w:pPr>
            <w:r w:rsidRPr="002944C4">
              <w:rPr>
                <w:rFonts w:cs="Arial"/>
                <w:sz w:val="20"/>
                <w:szCs w:val="20"/>
              </w:rPr>
              <w:t>0.3</w:t>
            </w:r>
          </w:p>
        </w:tc>
        <w:tc>
          <w:tcPr>
            <w:tcW w:w="993" w:type="dxa"/>
            <w:vAlign w:val="center"/>
          </w:tcPr>
          <w:p w14:paraId="6125FBAE" w14:textId="155A81D2" w:rsidR="00C17F7F" w:rsidRPr="002944C4" w:rsidRDefault="00C17F7F" w:rsidP="00C17F7F">
            <w:pPr>
              <w:jc w:val="center"/>
              <w:rPr>
                <w:rFonts w:cs="Arial"/>
                <w:sz w:val="20"/>
                <w:szCs w:val="20"/>
              </w:rPr>
            </w:pPr>
            <w:r w:rsidRPr="002944C4">
              <w:rPr>
                <w:rFonts w:cs="Arial"/>
                <w:sz w:val="20"/>
                <w:szCs w:val="20"/>
              </w:rPr>
              <w:t>0.0</w:t>
            </w:r>
          </w:p>
        </w:tc>
        <w:tc>
          <w:tcPr>
            <w:tcW w:w="992" w:type="dxa"/>
            <w:vAlign w:val="center"/>
          </w:tcPr>
          <w:p w14:paraId="09351CF4" w14:textId="2526604D" w:rsidR="00C17F7F" w:rsidRPr="002944C4" w:rsidRDefault="00C17F7F" w:rsidP="00C17F7F">
            <w:pPr>
              <w:jc w:val="center"/>
              <w:rPr>
                <w:rFonts w:cs="Arial"/>
                <w:sz w:val="20"/>
                <w:szCs w:val="20"/>
              </w:rPr>
            </w:pPr>
            <w:r w:rsidRPr="002944C4">
              <w:rPr>
                <w:rFonts w:cs="Arial"/>
                <w:sz w:val="20"/>
                <w:szCs w:val="20"/>
              </w:rPr>
              <w:t>0.0</w:t>
            </w:r>
          </w:p>
        </w:tc>
        <w:tc>
          <w:tcPr>
            <w:tcW w:w="992" w:type="dxa"/>
            <w:vAlign w:val="center"/>
          </w:tcPr>
          <w:p w14:paraId="2DE17ABA" w14:textId="4C494396" w:rsidR="00C17F7F" w:rsidRPr="002944C4" w:rsidRDefault="00C17F7F" w:rsidP="00C17F7F">
            <w:pPr>
              <w:jc w:val="center"/>
              <w:rPr>
                <w:rFonts w:cs="Arial"/>
                <w:sz w:val="20"/>
                <w:szCs w:val="20"/>
              </w:rPr>
            </w:pPr>
            <w:r w:rsidRPr="002944C4">
              <w:rPr>
                <w:rFonts w:cs="Arial"/>
                <w:sz w:val="20"/>
                <w:szCs w:val="20"/>
              </w:rPr>
              <w:t>0.0</w:t>
            </w:r>
          </w:p>
        </w:tc>
      </w:tr>
      <w:tr w:rsidR="00C17F7F" w:rsidRPr="00487568" w14:paraId="075154BB" w14:textId="40DD0D2B" w:rsidTr="4A0B16C3">
        <w:trPr>
          <w:trHeight w:val="645"/>
        </w:trPr>
        <w:tc>
          <w:tcPr>
            <w:tcW w:w="4294" w:type="dxa"/>
          </w:tcPr>
          <w:p w14:paraId="203D22C5" w14:textId="77777777" w:rsidR="00C17F7F" w:rsidRPr="002944C4" w:rsidRDefault="00C17F7F" w:rsidP="00C17F7F">
            <w:pPr>
              <w:rPr>
                <w:rFonts w:cs="Arial"/>
                <w:sz w:val="20"/>
                <w:szCs w:val="20"/>
              </w:rPr>
            </w:pPr>
            <w:r w:rsidRPr="002944C4">
              <w:rPr>
                <w:rFonts w:cs="Arial"/>
                <w:sz w:val="20"/>
                <w:szCs w:val="20"/>
              </w:rPr>
              <w:t>Funding for specific projects and programmes beyond the current planning period</w:t>
            </w:r>
          </w:p>
        </w:tc>
        <w:tc>
          <w:tcPr>
            <w:tcW w:w="992" w:type="dxa"/>
            <w:vAlign w:val="center"/>
          </w:tcPr>
          <w:p w14:paraId="26C19BEB" w14:textId="1875093E" w:rsidR="00C17F7F" w:rsidRPr="002944C4" w:rsidRDefault="00AA5F38" w:rsidP="00C17F7F">
            <w:pPr>
              <w:jc w:val="center"/>
              <w:rPr>
                <w:rFonts w:cs="Arial"/>
                <w:sz w:val="20"/>
                <w:szCs w:val="20"/>
              </w:rPr>
            </w:pPr>
            <w:r w:rsidRPr="002944C4">
              <w:rPr>
                <w:rFonts w:cs="Arial"/>
                <w:sz w:val="20"/>
                <w:szCs w:val="20"/>
              </w:rPr>
              <w:t>2.8</w:t>
            </w:r>
          </w:p>
        </w:tc>
        <w:tc>
          <w:tcPr>
            <w:tcW w:w="992" w:type="dxa"/>
            <w:vAlign w:val="center"/>
          </w:tcPr>
          <w:p w14:paraId="2B083795" w14:textId="5A033F2D" w:rsidR="00C17F7F" w:rsidRPr="002944C4" w:rsidRDefault="0016653A" w:rsidP="00C17F7F">
            <w:pPr>
              <w:jc w:val="center"/>
              <w:rPr>
                <w:rFonts w:cs="Arial"/>
                <w:sz w:val="20"/>
                <w:szCs w:val="20"/>
              </w:rPr>
            </w:pPr>
            <w:r w:rsidRPr="002944C4">
              <w:rPr>
                <w:rFonts w:cs="Arial"/>
                <w:sz w:val="20"/>
                <w:szCs w:val="20"/>
              </w:rPr>
              <w:t>2.8</w:t>
            </w:r>
          </w:p>
        </w:tc>
        <w:tc>
          <w:tcPr>
            <w:tcW w:w="992" w:type="dxa"/>
            <w:vAlign w:val="center"/>
          </w:tcPr>
          <w:p w14:paraId="6C87575E" w14:textId="5FFF33FD" w:rsidR="00C17F7F" w:rsidRPr="002944C4" w:rsidRDefault="00B431CC" w:rsidP="00C17F7F">
            <w:pPr>
              <w:jc w:val="center"/>
              <w:rPr>
                <w:rFonts w:cs="Arial"/>
                <w:sz w:val="20"/>
                <w:szCs w:val="20"/>
              </w:rPr>
            </w:pPr>
            <w:r w:rsidRPr="002944C4">
              <w:rPr>
                <w:rFonts w:cs="Arial"/>
                <w:sz w:val="20"/>
                <w:szCs w:val="20"/>
              </w:rPr>
              <w:t>2.8</w:t>
            </w:r>
          </w:p>
        </w:tc>
        <w:tc>
          <w:tcPr>
            <w:tcW w:w="993" w:type="dxa"/>
            <w:vAlign w:val="center"/>
          </w:tcPr>
          <w:p w14:paraId="1F2F988D" w14:textId="0FD9A82D" w:rsidR="00C17F7F" w:rsidRPr="002944C4" w:rsidRDefault="00B431CC" w:rsidP="00C17F7F">
            <w:pPr>
              <w:jc w:val="center"/>
              <w:rPr>
                <w:rFonts w:cs="Arial"/>
                <w:sz w:val="20"/>
                <w:szCs w:val="20"/>
              </w:rPr>
            </w:pPr>
            <w:r w:rsidRPr="002944C4">
              <w:rPr>
                <w:rFonts w:cs="Arial"/>
                <w:sz w:val="20"/>
                <w:szCs w:val="20"/>
              </w:rPr>
              <w:t>2.8</w:t>
            </w:r>
          </w:p>
        </w:tc>
        <w:tc>
          <w:tcPr>
            <w:tcW w:w="992" w:type="dxa"/>
            <w:vAlign w:val="center"/>
          </w:tcPr>
          <w:p w14:paraId="7FFC262C" w14:textId="118D2FE2" w:rsidR="00C17F7F" w:rsidRPr="002944C4" w:rsidRDefault="00B431CC" w:rsidP="00C17F7F">
            <w:pPr>
              <w:jc w:val="center"/>
              <w:rPr>
                <w:rFonts w:cs="Arial"/>
                <w:sz w:val="20"/>
                <w:szCs w:val="20"/>
              </w:rPr>
            </w:pPr>
            <w:r w:rsidRPr="002944C4">
              <w:rPr>
                <w:rFonts w:cs="Arial"/>
                <w:sz w:val="20"/>
                <w:szCs w:val="20"/>
              </w:rPr>
              <w:t>2.8</w:t>
            </w:r>
          </w:p>
        </w:tc>
        <w:tc>
          <w:tcPr>
            <w:tcW w:w="992" w:type="dxa"/>
            <w:vAlign w:val="center"/>
          </w:tcPr>
          <w:p w14:paraId="7B4F0F3F" w14:textId="32F4AFA3" w:rsidR="00C17F7F" w:rsidRPr="002944C4" w:rsidRDefault="00B431CC" w:rsidP="00C17F7F">
            <w:pPr>
              <w:jc w:val="center"/>
              <w:rPr>
                <w:rFonts w:cs="Arial"/>
                <w:sz w:val="20"/>
                <w:szCs w:val="20"/>
              </w:rPr>
            </w:pPr>
            <w:r w:rsidRPr="002944C4">
              <w:rPr>
                <w:rFonts w:cs="Arial"/>
                <w:sz w:val="20"/>
                <w:szCs w:val="20"/>
              </w:rPr>
              <w:t>2.8</w:t>
            </w:r>
          </w:p>
        </w:tc>
      </w:tr>
      <w:tr w:rsidR="00C17F7F" w:rsidRPr="00487568" w14:paraId="7D5792EE" w14:textId="0A695ED9" w:rsidTr="4A0B16C3">
        <w:trPr>
          <w:trHeight w:val="842"/>
        </w:trPr>
        <w:tc>
          <w:tcPr>
            <w:tcW w:w="4294" w:type="dxa"/>
          </w:tcPr>
          <w:p w14:paraId="562C4F64" w14:textId="77777777" w:rsidR="00C17F7F" w:rsidRPr="002944C4" w:rsidRDefault="00C17F7F" w:rsidP="00C17F7F">
            <w:pPr>
              <w:rPr>
                <w:rFonts w:cs="Arial"/>
                <w:sz w:val="20"/>
                <w:szCs w:val="20"/>
              </w:rPr>
            </w:pPr>
            <w:r w:rsidRPr="002944C4">
              <w:rPr>
                <w:rFonts w:cs="Arial"/>
                <w:sz w:val="20"/>
                <w:szCs w:val="20"/>
              </w:rPr>
              <w:t>Funding held as a general contingency or resource to meet other expenditure needs in accordance with sound principles of financial practice</w:t>
            </w:r>
          </w:p>
        </w:tc>
        <w:tc>
          <w:tcPr>
            <w:tcW w:w="992" w:type="dxa"/>
            <w:vAlign w:val="center"/>
          </w:tcPr>
          <w:p w14:paraId="361AA764" w14:textId="4C6C205D" w:rsidR="00C17F7F" w:rsidRPr="002944C4" w:rsidRDefault="002A7A21" w:rsidP="00C17F7F">
            <w:pPr>
              <w:jc w:val="center"/>
              <w:rPr>
                <w:rFonts w:cs="Arial"/>
                <w:sz w:val="20"/>
                <w:szCs w:val="20"/>
              </w:rPr>
            </w:pPr>
            <w:r w:rsidRPr="46ED4758">
              <w:rPr>
                <w:rFonts w:cs="Arial"/>
                <w:sz w:val="20"/>
                <w:szCs w:val="20"/>
              </w:rPr>
              <w:t>3</w:t>
            </w:r>
            <w:r w:rsidR="3D5B070E" w:rsidRPr="46ED4758">
              <w:rPr>
                <w:rFonts w:cs="Arial"/>
                <w:sz w:val="20"/>
                <w:szCs w:val="20"/>
              </w:rPr>
              <w:t>3.9</w:t>
            </w:r>
          </w:p>
        </w:tc>
        <w:tc>
          <w:tcPr>
            <w:tcW w:w="992" w:type="dxa"/>
            <w:vAlign w:val="center"/>
          </w:tcPr>
          <w:p w14:paraId="08EB6EC0" w14:textId="19E34693" w:rsidR="00C17F7F" w:rsidRPr="002944C4" w:rsidRDefault="002B1E0E" w:rsidP="00C17F7F">
            <w:pPr>
              <w:jc w:val="center"/>
              <w:rPr>
                <w:rFonts w:cs="Arial"/>
                <w:sz w:val="20"/>
                <w:szCs w:val="20"/>
              </w:rPr>
            </w:pPr>
            <w:r w:rsidRPr="002944C4">
              <w:rPr>
                <w:rFonts w:cs="Arial"/>
                <w:sz w:val="20"/>
                <w:szCs w:val="20"/>
              </w:rPr>
              <w:t>33.0</w:t>
            </w:r>
          </w:p>
        </w:tc>
        <w:tc>
          <w:tcPr>
            <w:tcW w:w="992" w:type="dxa"/>
            <w:vAlign w:val="center"/>
          </w:tcPr>
          <w:p w14:paraId="379478DA" w14:textId="391C6717" w:rsidR="00C17F7F" w:rsidRPr="002944C4" w:rsidRDefault="00342A2D" w:rsidP="00C17F7F">
            <w:pPr>
              <w:jc w:val="center"/>
              <w:rPr>
                <w:rFonts w:cs="Arial"/>
                <w:sz w:val="20"/>
                <w:szCs w:val="20"/>
              </w:rPr>
            </w:pPr>
            <w:r w:rsidRPr="002944C4">
              <w:rPr>
                <w:rFonts w:cs="Arial"/>
                <w:sz w:val="20"/>
                <w:szCs w:val="20"/>
              </w:rPr>
              <w:t>31.3</w:t>
            </w:r>
          </w:p>
        </w:tc>
        <w:tc>
          <w:tcPr>
            <w:tcW w:w="993" w:type="dxa"/>
            <w:vAlign w:val="center"/>
          </w:tcPr>
          <w:p w14:paraId="55ED0EA6" w14:textId="317657D1" w:rsidR="00C17F7F" w:rsidRPr="002944C4" w:rsidRDefault="002944C4" w:rsidP="00C17F7F">
            <w:pPr>
              <w:jc w:val="center"/>
              <w:rPr>
                <w:rFonts w:cs="Arial"/>
                <w:sz w:val="20"/>
                <w:szCs w:val="20"/>
              </w:rPr>
            </w:pPr>
            <w:r w:rsidRPr="002944C4">
              <w:rPr>
                <w:rFonts w:cs="Arial"/>
                <w:sz w:val="20"/>
                <w:szCs w:val="20"/>
              </w:rPr>
              <w:t>29.7</w:t>
            </w:r>
          </w:p>
        </w:tc>
        <w:tc>
          <w:tcPr>
            <w:tcW w:w="992" w:type="dxa"/>
            <w:vAlign w:val="center"/>
          </w:tcPr>
          <w:p w14:paraId="0257CCC7" w14:textId="5AAC1018" w:rsidR="00C17F7F" w:rsidRPr="002944C4" w:rsidRDefault="002944C4" w:rsidP="00C17F7F">
            <w:pPr>
              <w:jc w:val="center"/>
              <w:rPr>
                <w:rFonts w:cs="Arial"/>
                <w:sz w:val="20"/>
                <w:szCs w:val="20"/>
              </w:rPr>
            </w:pPr>
            <w:r w:rsidRPr="002944C4">
              <w:rPr>
                <w:rFonts w:cs="Arial"/>
                <w:sz w:val="20"/>
                <w:szCs w:val="20"/>
              </w:rPr>
              <w:t>28.1</w:t>
            </w:r>
          </w:p>
        </w:tc>
        <w:tc>
          <w:tcPr>
            <w:tcW w:w="992" w:type="dxa"/>
            <w:vAlign w:val="center"/>
          </w:tcPr>
          <w:p w14:paraId="076865F4" w14:textId="66DEF55D" w:rsidR="00C17F7F" w:rsidRPr="002944C4" w:rsidRDefault="002944C4" w:rsidP="00C17F7F">
            <w:pPr>
              <w:jc w:val="center"/>
              <w:rPr>
                <w:rFonts w:cs="Arial"/>
                <w:sz w:val="20"/>
                <w:szCs w:val="20"/>
              </w:rPr>
            </w:pPr>
            <w:r w:rsidRPr="002944C4">
              <w:rPr>
                <w:rFonts w:cs="Arial"/>
                <w:sz w:val="20"/>
                <w:szCs w:val="20"/>
              </w:rPr>
              <w:t>26.8</w:t>
            </w:r>
          </w:p>
        </w:tc>
      </w:tr>
    </w:tbl>
    <w:p w14:paraId="23ACADD9" w14:textId="77777777" w:rsidR="00BA0369" w:rsidRPr="00487568" w:rsidRDefault="00BA0369" w:rsidP="00604BC6">
      <w:pPr>
        <w:pStyle w:val="ListParagraph"/>
        <w:spacing w:line="240" w:lineRule="auto"/>
        <w:ind w:left="709"/>
        <w:contextualSpacing w:val="0"/>
        <w:rPr>
          <w:rFonts w:cs="Arial"/>
          <w:b/>
          <w:color w:val="FF0000"/>
        </w:rPr>
      </w:pPr>
    </w:p>
    <w:p w14:paraId="32963247" w14:textId="77777777" w:rsidR="0096656F" w:rsidRDefault="00BA0369" w:rsidP="00604BC6">
      <w:pPr>
        <w:pStyle w:val="ListParagraph"/>
        <w:numPr>
          <w:ilvl w:val="0"/>
          <w:numId w:val="1"/>
        </w:numPr>
        <w:spacing w:line="240" w:lineRule="auto"/>
        <w:contextualSpacing w:val="0"/>
        <w:jc w:val="both"/>
      </w:pPr>
      <w:r w:rsidRPr="00196D51">
        <w:rPr>
          <w:rFonts w:cs="Arial"/>
        </w:rPr>
        <w:t>Further details of the PCC’s reserves can be found in A</w:t>
      </w:r>
      <w:r w:rsidR="00A47A50">
        <w:rPr>
          <w:rFonts w:cs="Arial"/>
        </w:rPr>
        <w:t xml:space="preserve">nnex </w:t>
      </w:r>
      <w:r w:rsidR="005211D8">
        <w:rPr>
          <w:rFonts w:cs="Arial"/>
        </w:rPr>
        <w:t>B</w:t>
      </w:r>
      <w:r w:rsidR="00A47A50">
        <w:rPr>
          <w:rFonts w:cs="Arial"/>
        </w:rPr>
        <w:t>1</w:t>
      </w:r>
      <w:r w:rsidRPr="00196D51">
        <w:rPr>
          <w:rFonts w:cs="Arial"/>
        </w:rPr>
        <w:t>.</w:t>
      </w:r>
    </w:p>
    <w:sectPr w:rsidR="0096656F" w:rsidSect="00437B8B">
      <w:pgSz w:w="11906" w:h="16838"/>
      <w:pgMar w:top="915" w:right="709" w:bottom="737" w:left="425" w:header="56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65A4" w14:textId="77777777" w:rsidR="00140621" w:rsidRDefault="00140621" w:rsidP="00A47A50">
      <w:pPr>
        <w:spacing w:line="240" w:lineRule="auto"/>
      </w:pPr>
      <w:r>
        <w:separator/>
      </w:r>
    </w:p>
  </w:endnote>
  <w:endnote w:type="continuationSeparator" w:id="0">
    <w:p w14:paraId="54D03C18" w14:textId="77777777" w:rsidR="00140621" w:rsidRDefault="00140621" w:rsidP="00A47A50">
      <w:pPr>
        <w:spacing w:line="240" w:lineRule="auto"/>
      </w:pPr>
      <w:r>
        <w:continuationSeparator/>
      </w:r>
    </w:p>
  </w:endnote>
  <w:endnote w:type="continuationNotice" w:id="1">
    <w:p w14:paraId="788DC8B9" w14:textId="77777777" w:rsidR="00140621" w:rsidRDefault="001406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6114" w14:textId="77777777" w:rsidR="00140621" w:rsidRDefault="00140621" w:rsidP="00A47A50">
      <w:pPr>
        <w:spacing w:line="240" w:lineRule="auto"/>
      </w:pPr>
      <w:r>
        <w:separator/>
      </w:r>
    </w:p>
  </w:footnote>
  <w:footnote w:type="continuationSeparator" w:id="0">
    <w:p w14:paraId="5CCD6B92" w14:textId="77777777" w:rsidR="00140621" w:rsidRDefault="00140621" w:rsidP="00A47A50">
      <w:pPr>
        <w:spacing w:line="240" w:lineRule="auto"/>
      </w:pPr>
      <w:r>
        <w:continuationSeparator/>
      </w:r>
    </w:p>
  </w:footnote>
  <w:footnote w:type="continuationNotice" w:id="1">
    <w:p w14:paraId="7D254B10" w14:textId="77777777" w:rsidR="00140621" w:rsidRDefault="001406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397"/>
    <w:multiLevelType w:val="hybridMultilevel"/>
    <w:tmpl w:val="D49E7138"/>
    <w:lvl w:ilvl="0" w:tplc="08090001">
      <w:start w:val="1"/>
      <w:numFmt w:val="bullet"/>
      <w:lvlText w:val=""/>
      <w:lvlJc w:val="left"/>
      <w:pPr>
        <w:ind w:left="720" w:hanging="360"/>
      </w:pPr>
      <w:rPr>
        <w:rFonts w:ascii="Symbol" w:hAnsi="Symbol" w:hint="default"/>
        <w:b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F96E82"/>
    <w:multiLevelType w:val="hybridMultilevel"/>
    <w:tmpl w:val="7586F376"/>
    <w:lvl w:ilvl="0" w:tplc="FBA209DA">
      <w:start w:val="1"/>
      <w:numFmt w:val="decimal"/>
      <w:lvlText w:val="%1."/>
      <w:lvlJc w:val="left"/>
      <w:pPr>
        <w:ind w:left="720" w:hanging="360"/>
      </w:pPr>
      <w:rPr>
        <w:b w:val="0"/>
        <w:i w:val="0"/>
        <w:color w:val="auto"/>
      </w:rPr>
    </w:lvl>
    <w:lvl w:ilvl="1" w:tplc="08090001">
      <w:start w:val="1"/>
      <w:numFmt w:val="bullet"/>
      <w:lvlText w:val=""/>
      <w:lvlJc w:val="left"/>
      <w:pPr>
        <w:ind w:left="1440" w:hanging="360"/>
      </w:pPr>
      <w:rPr>
        <w:rFonts w:ascii="Symbol" w:hAnsi="Symbol" w:hint="default"/>
        <w:b w:val="0"/>
      </w:rPr>
    </w:lvl>
    <w:lvl w:ilvl="2" w:tplc="08090001">
      <w:start w:val="1"/>
      <w:numFmt w:val="bullet"/>
      <w:lvlText w:val=""/>
      <w:lvlJc w:val="left"/>
      <w:pPr>
        <w:ind w:left="2160" w:hanging="180"/>
      </w:pPr>
      <w:rPr>
        <w:rFonts w:ascii="Symbol" w:hAnsi="Symbol" w:hint="default"/>
      </w:rPr>
    </w:lvl>
    <w:lvl w:ilvl="3" w:tplc="456A7172">
      <w:start w:val="1"/>
      <w:numFmt w:val="lowerLetter"/>
      <w:lvlText w:val="%4)"/>
      <w:lvlJc w:val="left"/>
      <w:pPr>
        <w:ind w:left="2880" w:hanging="360"/>
      </w:pPr>
      <w:rPr>
        <w:rFonts w:ascii="Arial" w:eastAsiaTheme="minorHAnsi" w:hAnsi="Arial" w:cs="Arial"/>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CD106C"/>
    <w:multiLevelType w:val="hybridMultilevel"/>
    <w:tmpl w:val="C950BD14"/>
    <w:lvl w:ilvl="0" w:tplc="FBA209DA">
      <w:start w:val="1"/>
      <w:numFmt w:val="decimal"/>
      <w:lvlText w:val="%1."/>
      <w:lvlJc w:val="left"/>
      <w:pPr>
        <w:ind w:left="720" w:hanging="360"/>
      </w:pPr>
      <w:rPr>
        <w:b w:val="0"/>
        <w:i w:val="0"/>
        <w:color w:val="auto"/>
      </w:rPr>
    </w:lvl>
    <w:lvl w:ilvl="1" w:tplc="08090001">
      <w:start w:val="1"/>
      <w:numFmt w:val="bullet"/>
      <w:lvlText w:val=""/>
      <w:lvlJc w:val="left"/>
      <w:pPr>
        <w:ind w:left="1440" w:hanging="360"/>
      </w:pPr>
      <w:rPr>
        <w:rFonts w:ascii="Symbol" w:hAnsi="Symbol" w:hint="default"/>
        <w:b w:val="0"/>
      </w:rPr>
    </w:lvl>
    <w:lvl w:ilvl="2" w:tplc="08090001">
      <w:start w:val="1"/>
      <w:numFmt w:val="bullet"/>
      <w:lvlText w:val=""/>
      <w:lvlJc w:val="left"/>
      <w:pPr>
        <w:ind w:left="2160" w:hanging="180"/>
      </w:pPr>
      <w:rPr>
        <w:rFonts w:ascii="Symbol" w:hAnsi="Symbol" w:hint="default"/>
      </w:rPr>
    </w:lvl>
    <w:lvl w:ilvl="3" w:tplc="456A7172">
      <w:start w:val="1"/>
      <w:numFmt w:val="lowerLetter"/>
      <w:lvlText w:val="%4)"/>
      <w:lvlJc w:val="left"/>
      <w:pPr>
        <w:ind w:left="2880" w:hanging="360"/>
      </w:pPr>
      <w:rPr>
        <w:rFonts w:ascii="Arial" w:eastAsiaTheme="minorHAnsi" w:hAnsi="Arial" w:cs="Arial"/>
      </w:r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2703630">
    <w:abstractNumId w:val="1"/>
  </w:num>
  <w:num w:numId="2" w16cid:durableId="942761242">
    <w:abstractNumId w:val="0"/>
  </w:num>
  <w:num w:numId="3" w16cid:durableId="184681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45"/>
    <w:rsid w:val="000045B4"/>
    <w:rsid w:val="00004C28"/>
    <w:rsid w:val="00017673"/>
    <w:rsid w:val="00021850"/>
    <w:rsid w:val="000233FD"/>
    <w:rsid w:val="000241F6"/>
    <w:rsid w:val="00026F0C"/>
    <w:rsid w:val="000362FC"/>
    <w:rsid w:val="000451AF"/>
    <w:rsid w:val="00052D51"/>
    <w:rsid w:val="0006684F"/>
    <w:rsid w:val="00076ED9"/>
    <w:rsid w:val="000855DD"/>
    <w:rsid w:val="00093631"/>
    <w:rsid w:val="00094E49"/>
    <w:rsid w:val="00097C21"/>
    <w:rsid w:val="000B3666"/>
    <w:rsid w:val="000B6ECC"/>
    <w:rsid w:val="000B7F03"/>
    <w:rsid w:val="000C05E1"/>
    <w:rsid w:val="000C184A"/>
    <w:rsid w:val="000C5347"/>
    <w:rsid w:val="000D35AB"/>
    <w:rsid w:val="000D4C5E"/>
    <w:rsid w:val="000E14A7"/>
    <w:rsid w:val="000E3D80"/>
    <w:rsid w:val="000F3C23"/>
    <w:rsid w:val="0010304B"/>
    <w:rsid w:val="001059C4"/>
    <w:rsid w:val="001211A5"/>
    <w:rsid w:val="00140621"/>
    <w:rsid w:val="00141E50"/>
    <w:rsid w:val="0014322F"/>
    <w:rsid w:val="00150C3F"/>
    <w:rsid w:val="00153663"/>
    <w:rsid w:val="00156D0C"/>
    <w:rsid w:val="0016653A"/>
    <w:rsid w:val="00170A6F"/>
    <w:rsid w:val="00170CA2"/>
    <w:rsid w:val="00196D51"/>
    <w:rsid w:val="00197C02"/>
    <w:rsid w:val="001A2D9E"/>
    <w:rsid w:val="001B0277"/>
    <w:rsid w:val="001B7351"/>
    <w:rsid w:val="001C1066"/>
    <w:rsid w:val="001C265B"/>
    <w:rsid w:val="001C2F7C"/>
    <w:rsid w:val="001C367E"/>
    <w:rsid w:val="001D2F3E"/>
    <w:rsid w:val="001D431B"/>
    <w:rsid w:val="001D5B28"/>
    <w:rsid w:val="001D7F1C"/>
    <w:rsid w:val="001E4ECD"/>
    <w:rsid w:val="001F2A48"/>
    <w:rsid w:val="001F3B47"/>
    <w:rsid w:val="001F71D2"/>
    <w:rsid w:val="002015BD"/>
    <w:rsid w:val="00201753"/>
    <w:rsid w:val="0020778B"/>
    <w:rsid w:val="0021053F"/>
    <w:rsid w:val="002115D7"/>
    <w:rsid w:val="0022276A"/>
    <w:rsid w:val="00240402"/>
    <w:rsid w:val="00263856"/>
    <w:rsid w:val="0028578E"/>
    <w:rsid w:val="002873B0"/>
    <w:rsid w:val="002944C4"/>
    <w:rsid w:val="002A5CB3"/>
    <w:rsid w:val="002A7A21"/>
    <w:rsid w:val="002A7D1A"/>
    <w:rsid w:val="002B1E0E"/>
    <w:rsid w:val="002B1EC2"/>
    <w:rsid w:val="002B6822"/>
    <w:rsid w:val="002C1DAD"/>
    <w:rsid w:val="002C402D"/>
    <w:rsid w:val="002C50B3"/>
    <w:rsid w:val="002C50C1"/>
    <w:rsid w:val="002E0153"/>
    <w:rsid w:val="002E6042"/>
    <w:rsid w:val="002F0AA8"/>
    <w:rsid w:val="002F1881"/>
    <w:rsid w:val="002F34C9"/>
    <w:rsid w:val="00302DEA"/>
    <w:rsid w:val="00310628"/>
    <w:rsid w:val="00312CA4"/>
    <w:rsid w:val="003203CC"/>
    <w:rsid w:val="00325AF4"/>
    <w:rsid w:val="003260A4"/>
    <w:rsid w:val="00332C88"/>
    <w:rsid w:val="00336573"/>
    <w:rsid w:val="00336A28"/>
    <w:rsid w:val="00342A2D"/>
    <w:rsid w:val="003453EA"/>
    <w:rsid w:val="00347C0A"/>
    <w:rsid w:val="00360DC3"/>
    <w:rsid w:val="0036147E"/>
    <w:rsid w:val="00380F81"/>
    <w:rsid w:val="0039410C"/>
    <w:rsid w:val="003A0F60"/>
    <w:rsid w:val="003C0041"/>
    <w:rsid w:val="003C2F43"/>
    <w:rsid w:val="003D442B"/>
    <w:rsid w:val="003D7AF0"/>
    <w:rsid w:val="003D7E02"/>
    <w:rsid w:val="00403F0E"/>
    <w:rsid w:val="00430F5C"/>
    <w:rsid w:val="00437B8B"/>
    <w:rsid w:val="00437D13"/>
    <w:rsid w:val="00447C25"/>
    <w:rsid w:val="00454003"/>
    <w:rsid w:val="00457656"/>
    <w:rsid w:val="00487568"/>
    <w:rsid w:val="00494EAE"/>
    <w:rsid w:val="004B23F1"/>
    <w:rsid w:val="004C3FFE"/>
    <w:rsid w:val="004C4370"/>
    <w:rsid w:val="004D616A"/>
    <w:rsid w:val="004E1EB6"/>
    <w:rsid w:val="004E66B6"/>
    <w:rsid w:val="004F14DD"/>
    <w:rsid w:val="004F2F3A"/>
    <w:rsid w:val="004F6E7D"/>
    <w:rsid w:val="0051271D"/>
    <w:rsid w:val="005211D8"/>
    <w:rsid w:val="005365D3"/>
    <w:rsid w:val="00542ADB"/>
    <w:rsid w:val="00552559"/>
    <w:rsid w:val="005552B5"/>
    <w:rsid w:val="005657DA"/>
    <w:rsid w:val="0057689D"/>
    <w:rsid w:val="00583978"/>
    <w:rsid w:val="005A52AD"/>
    <w:rsid w:val="005B3411"/>
    <w:rsid w:val="005D021E"/>
    <w:rsid w:val="005E2787"/>
    <w:rsid w:val="005E68F6"/>
    <w:rsid w:val="005F54A2"/>
    <w:rsid w:val="005F6AC6"/>
    <w:rsid w:val="00604BC6"/>
    <w:rsid w:val="00617432"/>
    <w:rsid w:val="00634DD1"/>
    <w:rsid w:val="006371CE"/>
    <w:rsid w:val="00637315"/>
    <w:rsid w:val="00641AB4"/>
    <w:rsid w:val="006430BE"/>
    <w:rsid w:val="00643D22"/>
    <w:rsid w:val="0066035B"/>
    <w:rsid w:val="00677692"/>
    <w:rsid w:val="006811A4"/>
    <w:rsid w:val="00683B68"/>
    <w:rsid w:val="00685714"/>
    <w:rsid w:val="006876B7"/>
    <w:rsid w:val="00690383"/>
    <w:rsid w:val="006958A5"/>
    <w:rsid w:val="006B137A"/>
    <w:rsid w:val="006B1C21"/>
    <w:rsid w:val="006B2A16"/>
    <w:rsid w:val="006B2E34"/>
    <w:rsid w:val="006C1F5A"/>
    <w:rsid w:val="006C5652"/>
    <w:rsid w:val="006D2220"/>
    <w:rsid w:val="006D53B7"/>
    <w:rsid w:val="006E43B9"/>
    <w:rsid w:val="00701458"/>
    <w:rsid w:val="0070233B"/>
    <w:rsid w:val="00702486"/>
    <w:rsid w:val="00710BE2"/>
    <w:rsid w:val="00721700"/>
    <w:rsid w:val="00722C9A"/>
    <w:rsid w:val="00726C87"/>
    <w:rsid w:val="00744FBB"/>
    <w:rsid w:val="00750ED6"/>
    <w:rsid w:val="00756BCF"/>
    <w:rsid w:val="00766637"/>
    <w:rsid w:val="00773350"/>
    <w:rsid w:val="007741B4"/>
    <w:rsid w:val="00775F69"/>
    <w:rsid w:val="007767B8"/>
    <w:rsid w:val="007769A6"/>
    <w:rsid w:val="00776D52"/>
    <w:rsid w:val="00781085"/>
    <w:rsid w:val="007903D1"/>
    <w:rsid w:val="00790B56"/>
    <w:rsid w:val="00791C0A"/>
    <w:rsid w:val="00792997"/>
    <w:rsid w:val="007D136E"/>
    <w:rsid w:val="007F66BB"/>
    <w:rsid w:val="00807AF5"/>
    <w:rsid w:val="008220CD"/>
    <w:rsid w:val="00824412"/>
    <w:rsid w:val="00826B5F"/>
    <w:rsid w:val="00830AA1"/>
    <w:rsid w:val="00830BA6"/>
    <w:rsid w:val="00835C6B"/>
    <w:rsid w:val="00850889"/>
    <w:rsid w:val="00881FAE"/>
    <w:rsid w:val="008A3106"/>
    <w:rsid w:val="008A509B"/>
    <w:rsid w:val="008B2773"/>
    <w:rsid w:val="008B32B6"/>
    <w:rsid w:val="008C13D6"/>
    <w:rsid w:val="008D35B0"/>
    <w:rsid w:val="008E7CEF"/>
    <w:rsid w:val="008F52DB"/>
    <w:rsid w:val="008F5373"/>
    <w:rsid w:val="008F7851"/>
    <w:rsid w:val="009036F1"/>
    <w:rsid w:val="009050F5"/>
    <w:rsid w:val="00912847"/>
    <w:rsid w:val="009134C6"/>
    <w:rsid w:val="00914620"/>
    <w:rsid w:val="0091660B"/>
    <w:rsid w:val="0092029C"/>
    <w:rsid w:val="009273A0"/>
    <w:rsid w:val="00933151"/>
    <w:rsid w:val="009354E0"/>
    <w:rsid w:val="00955885"/>
    <w:rsid w:val="0096656F"/>
    <w:rsid w:val="0098515E"/>
    <w:rsid w:val="00992A97"/>
    <w:rsid w:val="00994190"/>
    <w:rsid w:val="009B4FDD"/>
    <w:rsid w:val="009C6019"/>
    <w:rsid w:val="009C638F"/>
    <w:rsid w:val="009C7090"/>
    <w:rsid w:val="009D469C"/>
    <w:rsid w:val="009E14A6"/>
    <w:rsid w:val="009E6943"/>
    <w:rsid w:val="009F27DE"/>
    <w:rsid w:val="009F7757"/>
    <w:rsid w:val="00A0106E"/>
    <w:rsid w:val="00A010C6"/>
    <w:rsid w:val="00A15B01"/>
    <w:rsid w:val="00A31B52"/>
    <w:rsid w:val="00A34A45"/>
    <w:rsid w:val="00A3758E"/>
    <w:rsid w:val="00A47A50"/>
    <w:rsid w:val="00A56E96"/>
    <w:rsid w:val="00A66525"/>
    <w:rsid w:val="00A75CDD"/>
    <w:rsid w:val="00A84883"/>
    <w:rsid w:val="00A8601B"/>
    <w:rsid w:val="00A876C1"/>
    <w:rsid w:val="00AA3B43"/>
    <w:rsid w:val="00AA5F38"/>
    <w:rsid w:val="00AB67E5"/>
    <w:rsid w:val="00AC0DB5"/>
    <w:rsid w:val="00AC3024"/>
    <w:rsid w:val="00AC7679"/>
    <w:rsid w:val="00AD337D"/>
    <w:rsid w:val="00B064FB"/>
    <w:rsid w:val="00B1497A"/>
    <w:rsid w:val="00B32A3D"/>
    <w:rsid w:val="00B431CC"/>
    <w:rsid w:val="00B454A7"/>
    <w:rsid w:val="00B45712"/>
    <w:rsid w:val="00B46163"/>
    <w:rsid w:val="00B64240"/>
    <w:rsid w:val="00B655DE"/>
    <w:rsid w:val="00B672A0"/>
    <w:rsid w:val="00B72102"/>
    <w:rsid w:val="00B75F82"/>
    <w:rsid w:val="00B76684"/>
    <w:rsid w:val="00B77D38"/>
    <w:rsid w:val="00B802E8"/>
    <w:rsid w:val="00BA0369"/>
    <w:rsid w:val="00BA411B"/>
    <w:rsid w:val="00BC2E04"/>
    <w:rsid w:val="00BE3EC6"/>
    <w:rsid w:val="00BF1B3D"/>
    <w:rsid w:val="00BF403E"/>
    <w:rsid w:val="00C00815"/>
    <w:rsid w:val="00C01927"/>
    <w:rsid w:val="00C1484E"/>
    <w:rsid w:val="00C17835"/>
    <w:rsid w:val="00C17F7F"/>
    <w:rsid w:val="00C3008C"/>
    <w:rsid w:val="00C33D9B"/>
    <w:rsid w:val="00C35287"/>
    <w:rsid w:val="00C43B0D"/>
    <w:rsid w:val="00C460C6"/>
    <w:rsid w:val="00C55261"/>
    <w:rsid w:val="00C6693B"/>
    <w:rsid w:val="00C703BE"/>
    <w:rsid w:val="00C77EBA"/>
    <w:rsid w:val="00C8431E"/>
    <w:rsid w:val="00C86417"/>
    <w:rsid w:val="00CB3A10"/>
    <w:rsid w:val="00CB51FD"/>
    <w:rsid w:val="00CC4000"/>
    <w:rsid w:val="00CD736B"/>
    <w:rsid w:val="00CE6306"/>
    <w:rsid w:val="00CE74C4"/>
    <w:rsid w:val="00CF1CBF"/>
    <w:rsid w:val="00CF2A97"/>
    <w:rsid w:val="00CF485A"/>
    <w:rsid w:val="00D02C4C"/>
    <w:rsid w:val="00D03A58"/>
    <w:rsid w:val="00D04FEB"/>
    <w:rsid w:val="00D131BD"/>
    <w:rsid w:val="00D167A8"/>
    <w:rsid w:val="00D25B2B"/>
    <w:rsid w:val="00D308E8"/>
    <w:rsid w:val="00D57615"/>
    <w:rsid w:val="00D70F98"/>
    <w:rsid w:val="00D7777E"/>
    <w:rsid w:val="00D82D23"/>
    <w:rsid w:val="00D83302"/>
    <w:rsid w:val="00D91698"/>
    <w:rsid w:val="00DA1373"/>
    <w:rsid w:val="00DB52AC"/>
    <w:rsid w:val="00DC08E9"/>
    <w:rsid w:val="00DC1303"/>
    <w:rsid w:val="00DC353D"/>
    <w:rsid w:val="00DD5BAA"/>
    <w:rsid w:val="00DD778A"/>
    <w:rsid w:val="00DE3727"/>
    <w:rsid w:val="00DF4DFE"/>
    <w:rsid w:val="00DF654D"/>
    <w:rsid w:val="00DF6996"/>
    <w:rsid w:val="00E0066D"/>
    <w:rsid w:val="00E1305E"/>
    <w:rsid w:val="00E17F21"/>
    <w:rsid w:val="00E24519"/>
    <w:rsid w:val="00E33BBB"/>
    <w:rsid w:val="00E40068"/>
    <w:rsid w:val="00E4020D"/>
    <w:rsid w:val="00E42DBE"/>
    <w:rsid w:val="00E43D95"/>
    <w:rsid w:val="00E5028A"/>
    <w:rsid w:val="00E52A8B"/>
    <w:rsid w:val="00E62153"/>
    <w:rsid w:val="00E72C4A"/>
    <w:rsid w:val="00E77700"/>
    <w:rsid w:val="00E90916"/>
    <w:rsid w:val="00EB01A6"/>
    <w:rsid w:val="00EB6608"/>
    <w:rsid w:val="00EC1259"/>
    <w:rsid w:val="00EC3278"/>
    <w:rsid w:val="00ED0BC6"/>
    <w:rsid w:val="00EE68E1"/>
    <w:rsid w:val="00EF23DA"/>
    <w:rsid w:val="00F04F3B"/>
    <w:rsid w:val="00F1151C"/>
    <w:rsid w:val="00F339E4"/>
    <w:rsid w:val="00F41F92"/>
    <w:rsid w:val="00F4427D"/>
    <w:rsid w:val="00F533BA"/>
    <w:rsid w:val="00F57F1E"/>
    <w:rsid w:val="00F608A2"/>
    <w:rsid w:val="00F61F43"/>
    <w:rsid w:val="00F631DD"/>
    <w:rsid w:val="00F818E6"/>
    <w:rsid w:val="00FB68DD"/>
    <w:rsid w:val="00FC663E"/>
    <w:rsid w:val="00FD772E"/>
    <w:rsid w:val="00FE38DA"/>
    <w:rsid w:val="00FE3F29"/>
    <w:rsid w:val="00FE43D4"/>
    <w:rsid w:val="00FF06BD"/>
    <w:rsid w:val="00FF61F7"/>
    <w:rsid w:val="08D4AD76"/>
    <w:rsid w:val="1B234832"/>
    <w:rsid w:val="3D5B070E"/>
    <w:rsid w:val="41B41125"/>
    <w:rsid w:val="46ED4758"/>
    <w:rsid w:val="4A0B16C3"/>
    <w:rsid w:val="7548E3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1A73"/>
  <w15:docId w15:val="{1D2D3532-6E77-4C3D-903C-ADEFE609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45"/>
    <w:pPr>
      <w:spacing w:after="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A34A45"/>
    <w:pPr>
      <w:ind w:left="720"/>
      <w:contextualSpacing/>
    </w:pPr>
  </w:style>
  <w:style w:type="table" w:styleId="TableGrid">
    <w:name w:val="Table Grid"/>
    <w:basedOn w:val="TableNormal"/>
    <w:uiPriority w:val="59"/>
    <w:rsid w:val="00A34A45"/>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6AC6"/>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E43B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2DEA"/>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A50"/>
    <w:pPr>
      <w:tabs>
        <w:tab w:val="center" w:pos="4513"/>
        <w:tab w:val="right" w:pos="9026"/>
      </w:tabs>
      <w:spacing w:line="240" w:lineRule="auto"/>
    </w:pPr>
  </w:style>
  <w:style w:type="character" w:customStyle="1" w:styleId="HeaderChar">
    <w:name w:val="Header Char"/>
    <w:basedOn w:val="DefaultParagraphFont"/>
    <w:link w:val="Header"/>
    <w:uiPriority w:val="99"/>
    <w:rsid w:val="00A47A50"/>
    <w:rPr>
      <w:rFonts w:ascii="Arial" w:hAnsi="Arial"/>
    </w:rPr>
  </w:style>
  <w:style w:type="paragraph" w:styleId="Footer">
    <w:name w:val="footer"/>
    <w:basedOn w:val="Normal"/>
    <w:link w:val="FooterChar"/>
    <w:uiPriority w:val="99"/>
    <w:unhideWhenUsed/>
    <w:rsid w:val="00A47A50"/>
    <w:pPr>
      <w:tabs>
        <w:tab w:val="center" w:pos="4513"/>
        <w:tab w:val="right" w:pos="9026"/>
      </w:tabs>
      <w:spacing w:line="240" w:lineRule="auto"/>
    </w:pPr>
  </w:style>
  <w:style w:type="character" w:customStyle="1" w:styleId="FooterChar">
    <w:name w:val="Footer Char"/>
    <w:basedOn w:val="DefaultParagraphFont"/>
    <w:link w:val="Footer"/>
    <w:uiPriority w:val="99"/>
    <w:rsid w:val="00A47A50"/>
    <w:rPr>
      <w:rFonts w:ascii="Arial" w:hAnsi="Arial"/>
    </w:rPr>
  </w:style>
  <w:style w:type="paragraph" w:styleId="BalloonText">
    <w:name w:val="Balloon Text"/>
    <w:basedOn w:val="Normal"/>
    <w:link w:val="BalloonTextChar"/>
    <w:uiPriority w:val="99"/>
    <w:semiHidden/>
    <w:unhideWhenUsed/>
    <w:rsid w:val="003941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10C"/>
    <w:rPr>
      <w:rFonts w:ascii="Segoe UI" w:hAnsi="Segoe UI" w:cs="Segoe UI"/>
      <w:sz w:val="18"/>
      <w:szCs w:val="18"/>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097C21"/>
    <w:rPr>
      <w:rFonts w:ascii="Arial" w:hAnsi="Arial"/>
    </w:rPr>
  </w:style>
  <w:style w:type="table" w:customStyle="1" w:styleId="TableGrid4">
    <w:name w:val="Table Grid4"/>
    <w:basedOn w:val="TableNormal"/>
    <w:next w:val="TableGrid"/>
    <w:uiPriority w:val="59"/>
    <w:rsid w:val="000B7F0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11A5"/>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337D"/>
    <w:rPr>
      <w:sz w:val="16"/>
      <w:szCs w:val="16"/>
    </w:rPr>
  </w:style>
  <w:style w:type="paragraph" w:styleId="CommentText">
    <w:name w:val="annotation text"/>
    <w:basedOn w:val="Normal"/>
    <w:link w:val="CommentTextChar"/>
    <w:uiPriority w:val="99"/>
    <w:unhideWhenUsed/>
    <w:rsid w:val="00AD337D"/>
    <w:pPr>
      <w:spacing w:line="240" w:lineRule="auto"/>
    </w:pPr>
    <w:rPr>
      <w:sz w:val="20"/>
      <w:szCs w:val="20"/>
    </w:rPr>
  </w:style>
  <w:style w:type="character" w:customStyle="1" w:styleId="CommentTextChar">
    <w:name w:val="Comment Text Char"/>
    <w:basedOn w:val="DefaultParagraphFont"/>
    <w:link w:val="CommentText"/>
    <w:uiPriority w:val="99"/>
    <w:rsid w:val="00AD337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337D"/>
    <w:rPr>
      <w:b/>
      <w:bCs/>
    </w:rPr>
  </w:style>
  <w:style w:type="character" w:customStyle="1" w:styleId="CommentSubjectChar">
    <w:name w:val="Comment Subject Char"/>
    <w:basedOn w:val="CommentTextChar"/>
    <w:link w:val="CommentSubject"/>
    <w:uiPriority w:val="99"/>
    <w:semiHidden/>
    <w:rsid w:val="00AD337D"/>
    <w:rPr>
      <w:rFonts w:ascii="Arial" w:hAnsi="Arial"/>
      <w:b/>
      <w:bCs/>
      <w:sz w:val="20"/>
      <w:szCs w:val="20"/>
    </w:rPr>
  </w:style>
  <w:style w:type="table" w:customStyle="1" w:styleId="TableGrid6">
    <w:name w:val="Table Grid6"/>
    <w:basedOn w:val="TableNormal"/>
    <w:next w:val="TableGrid"/>
    <w:uiPriority w:val="59"/>
    <w:rsid w:val="007D136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Adrian Harper 46058559</DisplayName>
        <AccountId>15</AccountId>
        <AccountType/>
      </UserInfo>
      <UserInfo>
        <DisplayName>Neil Wickens 46052972</DisplayName>
        <AccountId>18</AccountId>
        <AccountType/>
      </UserInfo>
      <UserInfo>
        <DisplayName>Rob Phillips 46059722</DisplayName>
        <AccountId>27</AccountId>
        <AccountType/>
      </UserInfo>
      <UserInfo>
        <DisplayName>Jonathan Castle 46062049</DisplayName>
        <AccountId>57</AccountId>
        <AccountType/>
      </UserInfo>
      <UserInfo>
        <DisplayName>Matthew Scott - PCC 46059547</DisplayName>
        <AccountId>24</AccountId>
        <AccountType/>
      </UserInfo>
    </SharedWithUsers>
    <PaperNo_x002e_ xmlns="12027084-fd86-4dce-99a2-a4f647ec8a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6" ma:contentTypeDescription="Create a new document." ma:contentTypeScope="" ma:versionID="701321b78613f7596a6fa1660f7db71a">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b3d7d4d1d5d5860e09b2795a96d2ccd"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00E73-33CD-48C1-83D9-596C35FD38E6}">
  <ds:schemaRefs>
    <ds:schemaRef ds:uri="http://schemas.openxmlformats.org/officeDocument/2006/bibliography"/>
  </ds:schemaRefs>
</ds:datastoreItem>
</file>

<file path=customXml/itemProps2.xml><?xml version="1.0" encoding="utf-8"?>
<ds:datastoreItem xmlns:ds="http://schemas.openxmlformats.org/officeDocument/2006/customXml" ds:itemID="{AA200DC8-D723-4E1F-9E0C-CFF1BC52B731}">
  <ds:schemaRefs>
    <ds:schemaRef ds:uri="http://schemas.microsoft.com/sharepoint/v3/contenttype/forms"/>
  </ds:schemaRefs>
</ds:datastoreItem>
</file>

<file path=customXml/itemProps3.xml><?xml version="1.0" encoding="utf-8"?>
<ds:datastoreItem xmlns:ds="http://schemas.openxmlformats.org/officeDocument/2006/customXml" ds:itemID="{BB0955B6-4E8D-4CE4-ABB9-CFD671FA9359}">
  <ds:schemaRefs>
    <ds:schemaRef ds:uri="12027084-fd86-4dce-99a2-a4f647ec8a2b"/>
    <ds:schemaRef ds:uri="http://purl.org/dc/terms/"/>
    <ds:schemaRef ds:uri="http://schemas.microsoft.com/office/2006/documentManagement/types"/>
    <ds:schemaRef ds:uri="http://www.w3.org/XML/1998/namespace"/>
    <ds:schemaRef ds:uri="http://purl.org/dc/elements/1.1/"/>
    <ds:schemaRef ds:uri="7a5b49a6-b746-41bd-866f-d8359e45cde9"/>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E67F664-6AB3-42C2-95BA-0D9312C5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1839</Words>
  <Characters>9486</Characters>
  <Application>Microsoft Office Word</Application>
  <DocSecurity>0</DocSecurity>
  <Lines>262</Lines>
  <Paragraphs>137</Paragraphs>
  <ScaleCrop>false</ScaleCrop>
  <Company>Kent Police Force</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Phillips 46059722</dc:creator>
  <cp:keywords/>
  <cp:lastModifiedBy>Neil Wickens 46052972</cp:lastModifiedBy>
  <cp:revision>3</cp:revision>
  <cp:lastPrinted>2026-01-28T14:42:00Z</cp:lastPrinted>
  <dcterms:created xsi:type="dcterms:W3CDTF">2026-03-10T18:50:00Z</dcterms:created>
  <dcterms:modified xsi:type="dcterms:W3CDTF">2026-03-10T18:53:00Z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Order">
    <vt:r8>6443800</vt:r8>
  </property>
  <property fmtid="{D5CDD505-2E9C-101B-9397-08002B2CF9AE}" pid="4" name="MSIP_Label_8f716d1d-13e1-4569-9dd0-bef6621415c1_Enabled">
    <vt:lpwstr>true</vt:lpwstr>
  </property>
  <property fmtid="{D5CDD505-2E9C-101B-9397-08002B2CF9AE}" pid="5" name="MSIP_Label_8f716d1d-13e1-4569-9dd0-bef6621415c1_SetDate">
    <vt:lpwstr>2023-01-03T13:20:28Z</vt:lpwstr>
  </property>
  <property fmtid="{D5CDD505-2E9C-101B-9397-08002B2CF9AE}" pid="6" name="MSIP_Label_8f716d1d-13e1-4569-9dd0-bef6621415c1_Method">
    <vt:lpwstr>Standard</vt:lpwstr>
  </property>
  <property fmtid="{D5CDD505-2E9C-101B-9397-08002B2CF9AE}" pid="7" name="MSIP_Label_8f716d1d-13e1-4569-9dd0-bef6621415c1_Name">
    <vt:lpwstr>OFFICIAL</vt:lpwstr>
  </property>
  <property fmtid="{D5CDD505-2E9C-101B-9397-08002B2CF9AE}" pid="8" name="MSIP_Label_8f716d1d-13e1-4569-9dd0-bef6621415c1_SiteId">
    <vt:lpwstr>f31b07f0-9cf9-40db-964d-6ff986a97e3d</vt:lpwstr>
  </property>
  <property fmtid="{D5CDD505-2E9C-101B-9397-08002B2CF9AE}" pid="9" name="MSIP_Label_8f716d1d-13e1-4569-9dd0-bef6621415c1_ActionId">
    <vt:lpwstr>b02c11fb-aa1b-414c-8eb9-b31845959ec1</vt:lpwstr>
  </property>
  <property fmtid="{D5CDD505-2E9C-101B-9397-08002B2CF9AE}" pid="10" name="MSIP_Label_8f716d1d-13e1-4569-9dd0-bef6621415c1_ContentBits">
    <vt:lpwstr>0</vt:lpwstr>
  </property>
  <property fmtid="{D5CDD505-2E9C-101B-9397-08002B2CF9AE}" pid="11" name="MediaServiceImageTags">
    <vt:lpwstr/>
  </property>
  <property fmtid="{D5CDD505-2E9C-101B-9397-08002B2CF9AE}" pid="12" name="docLang">
    <vt:lpwstr>en</vt:lpwstr>
  </property>
</Properties>
</file>