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F220" w14:textId="372904CD" w:rsidR="007979B4" w:rsidRDefault="007979B4" w:rsidP="00725EDF">
      <w:pPr>
        <w:spacing w:after="0" w:line="240" w:lineRule="auto"/>
        <w:jc w:val="center"/>
        <w:rPr>
          <w:rFonts w:ascii="Tahoma" w:hAnsi="Tahoma" w:cs="Tahoma"/>
          <w:color w:val="000000" w:themeColor="text1"/>
        </w:rPr>
      </w:pPr>
      <w:r w:rsidRPr="007979B4">
        <w:rPr>
          <w:rFonts w:ascii="Tahoma" w:hAnsi="Tahoma" w:cs="Tahoma"/>
          <w:color w:val="000000" w:themeColor="text1"/>
        </w:rPr>
        <w:t>Chief Constable’s Report</w:t>
      </w:r>
    </w:p>
    <w:p w14:paraId="2D48E5E5" w14:textId="77777777" w:rsidR="007979B4" w:rsidRPr="007979B4" w:rsidRDefault="007979B4" w:rsidP="00725EDF">
      <w:pPr>
        <w:spacing w:after="0" w:line="240" w:lineRule="auto"/>
        <w:jc w:val="center"/>
        <w:rPr>
          <w:rFonts w:ascii="Tahoma" w:hAnsi="Tahoma" w:cs="Tahoma"/>
          <w:color w:val="000000" w:themeColor="text1"/>
        </w:rPr>
      </w:pPr>
    </w:p>
    <w:p w14:paraId="0D6BC5DA" w14:textId="1C6A0490" w:rsidR="007979B4" w:rsidRDefault="007979B4" w:rsidP="00725EDF">
      <w:pPr>
        <w:spacing w:after="0" w:line="240" w:lineRule="auto"/>
        <w:jc w:val="center"/>
        <w:rPr>
          <w:rFonts w:ascii="Tahoma" w:hAnsi="Tahoma" w:cs="Tahoma"/>
          <w:color w:val="000000" w:themeColor="text1"/>
        </w:rPr>
      </w:pPr>
      <w:r w:rsidRPr="007979B4">
        <w:rPr>
          <w:rFonts w:ascii="Tahoma" w:hAnsi="Tahoma" w:cs="Tahoma"/>
          <w:color w:val="000000" w:themeColor="text1"/>
        </w:rPr>
        <w:t>Kent Police and Crime Commissioner’s Performance and Delivery Board</w:t>
      </w:r>
    </w:p>
    <w:p w14:paraId="36388C92" w14:textId="77777777" w:rsidR="007979B4" w:rsidRPr="007979B4" w:rsidRDefault="007979B4" w:rsidP="00725EDF">
      <w:pPr>
        <w:spacing w:after="0" w:line="240" w:lineRule="auto"/>
        <w:jc w:val="center"/>
        <w:rPr>
          <w:rFonts w:ascii="Tahoma" w:hAnsi="Tahoma" w:cs="Tahoma"/>
          <w:color w:val="000000" w:themeColor="text1"/>
        </w:rPr>
      </w:pPr>
    </w:p>
    <w:p w14:paraId="6232FE0A" w14:textId="71C41D2B" w:rsidR="007979B4" w:rsidRPr="007979B4" w:rsidRDefault="007979B4" w:rsidP="00725EDF">
      <w:pPr>
        <w:spacing w:after="0" w:line="240" w:lineRule="auto"/>
        <w:jc w:val="center"/>
        <w:rPr>
          <w:rFonts w:ascii="Tahoma" w:hAnsi="Tahoma" w:cs="Tahoma"/>
          <w:b/>
          <w:bCs/>
          <w:color w:val="000000" w:themeColor="text1"/>
        </w:rPr>
      </w:pPr>
      <w:r>
        <w:rPr>
          <w:rFonts w:ascii="Tahoma" w:hAnsi="Tahoma" w:cs="Tahoma"/>
          <w:b/>
          <w:bCs/>
          <w:color w:val="000000" w:themeColor="text1"/>
        </w:rPr>
        <w:t>MAKING KENT SAFER PLAN 2022-25 REPORT</w:t>
      </w:r>
    </w:p>
    <w:p w14:paraId="56A12282" w14:textId="77777777" w:rsidR="007979B4" w:rsidRDefault="007979B4" w:rsidP="00725EDF">
      <w:pPr>
        <w:spacing w:after="0" w:line="240" w:lineRule="auto"/>
        <w:rPr>
          <w:rFonts w:ascii="Tahoma" w:hAnsi="Tahoma" w:cs="Tahoma"/>
          <w:b/>
          <w:bCs/>
          <w:color w:val="000000" w:themeColor="text1"/>
        </w:rPr>
      </w:pPr>
    </w:p>
    <w:p w14:paraId="124F6F06" w14:textId="14471A03" w:rsidR="007979B4" w:rsidRDefault="007979B4" w:rsidP="00725EDF">
      <w:pPr>
        <w:spacing w:after="0" w:line="240" w:lineRule="auto"/>
        <w:rPr>
          <w:rFonts w:ascii="Tahoma" w:hAnsi="Tahoma" w:cs="Tahoma"/>
          <w:b/>
          <w:bCs/>
          <w:color w:val="000000" w:themeColor="text1"/>
        </w:rPr>
      </w:pPr>
      <w:r>
        <w:rPr>
          <w:rFonts w:ascii="Tahoma" w:hAnsi="Tahoma" w:cs="Tahoma"/>
          <w:b/>
          <w:bCs/>
          <w:color w:val="000000" w:themeColor="text1"/>
        </w:rPr>
        <w:t>________________________________________________________________</w:t>
      </w:r>
    </w:p>
    <w:p w14:paraId="1F0C22AE" w14:textId="77777777" w:rsidR="007979B4" w:rsidRDefault="007979B4" w:rsidP="00725EDF">
      <w:pPr>
        <w:spacing w:after="0" w:line="240" w:lineRule="auto"/>
        <w:rPr>
          <w:rFonts w:ascii="Tahoma" w:hAnsi="Tahoma" w:cs="Tahoma"/>
          <w:b/>
          <w:bCs/>
          <w:color w:val="000000" w:themeColor="text1"/>
        </w:rPr>
      </w:pPr>
    </w:p>
    <w:p w14:paraId="365E58A3" w14:textId="17CD637E" w:rsidR="007979B4" w:rsidRPr="00345A7F" w:rsidRDefault="007979B4" w:rsidP="00345A7F">
      <w:pPr>
        <w:pStyle w:val="ListParagraph"/>
        <w:numPr>
          <w:ilvl w:val="0"/>
          <w:numId w:val="8"/>
        </w:numPr>
        <w:spacing w:after="0" w:line="240" w:lineRule="auto"/>
        <w:rPr>
          <w:rFonts w:ascii="Tahoma" w:hAnsi="Tahoma" w:cs="Tahoma"/>
          <w:b/>
          <w:bCs/>
          <w:color w:val="000000" w:themeColor="text1"/>
          <w:u w:val="single"/>
        </w:rPr>
      </w:pPr>
      <w:r w:rsidRPr="00345A7F">
        <w:rPr>
          <w:rFonts w:ascii="Tahoma" w:hAnsi="Tahoma" w:cs="Tahoma"/>
          <w:b/>
          <w:bCs/>
          <w:color w:val="000000" w:themeColor="text1"/>
          <w:u w:val="single"/>
        </w:rPr>
        <w:t>Strategic Overview</w:t>
      </w:r>
    </w:p>
    <w:p w14:paraId="19D4F833" w14:textId="77777777" w:rsidR="007979B4" w:rsidRDefault="007979B4" w:rsidP="00725EDF">
      <w:pPr>
        <w:spacing w:after="0" w:line="240" w:lineRule="auto"/>
        <w:rPr>
          <w:rFonts w:ascii="Tahoma" w:hAnsi="Tahoma" w:cs="Tahoma"/>
          <w:b/>
          <w:bCs/>
          <w:color w:val="000000" w:themeColor="text1"/>
        </w:rPr>
      </w:pPr>
    </w:p>
    <w:p w14:paraId="08BF35E9" w14:textId="51C45EE0" w:rsidR="007979B4" w:rsidRDefault="007979B4" w:rsidP="00725EDF">
      <w:pPr>
        <w:spacing w:after="0" w:line="240" w:lineRule="auto"/>
        <w:rPr>
          <w:rFonts w:ascii="Tahoma" w:hAnsi="Tahoma" w:cs="Tahoma"/>
          <w:color w:val="000000" w:themeColor="text1"/>
        </w:rPr>
      </w:pPr>
      <w:r>
        <w:rPr>
          <w:rFonts w:ascii="Tahoma" w:hAnsi="Tahoma" w:cs="Tahoma"/>
          <w:color w:val="000000" w:themeColor="text1"/>
        </w:rPr>
        <w:t xml:space="preserve">The Police Reform and Social Responsibility Act (Section 7) sets the statutory requirement for the Police and Crime Commissioner (PCC) to have a Police and Crime Plan.  This must set out the PCC’s vision and priorities for policing and community safety, as well as the objectives and ambitions that Kent Police will be held to account on.  </w:t>
      </w:r>
    </w:p>
    <w:p w14:paraId="05290A30" w14:textId="77777777" w:rsidR="007979B4" w:rsidRDefault="007979B4" w:rsidP="00725EDF">
      <w:pPr>
        <w:spacing w:after="0" w:line="240" w:lineRule="auto"/>
        <w:rPr>
          <w:rFonts w:ascii="Tahoma" w:hAnsi="Tahoma" w:cs="Tahoma"/>
          <w:color w:val="000000" w:themeColor="text1"/>
        </w:rPr>
      </w:pPr>
    </w:p>
    <w:p w14:paraId="31B5DAD0" w14:textId="7D48DD21" w:rsidR="007979B4" w:rsidRDefault="007979B4" w:rsidP="00725EDF">
      <w:pPr>
        <w:spacing w:after="0" w:line="240" w:lineRule="auto"/>
        <w:rPr>
          <w:rFonts w:ascii="Tahoma" w:hAnsi="Tahoma" w:cs="Tahoma"/>
          <w:color w:val="000000" w:themeColor="text1"/>
        </w:rPr>
      </w:pPr>
      <w:r>
        <w:rPr>
          <w:rFonts w:ascii="Tahoma" w:hAnsi="Tahoma" w:cs="Tahoma"/>
          <w:color w:val="000000" w:themeColor="text1"/>
        </w:rPr>
        <w:t>The Police and Crime Plan set by the Kent PCC for the period 2022-25 was called the ‘Making Kent Safer Plan’</w:t>
      </w:r>
      <w:r w:rsidR="00725EDF">
        <w:rPr>
          <w:rFonts w:ascii="Tahoma" w:hAnsi="Tahoma" w:cs="Tahoma"/>
          <w:color w:val="000000" w:themeColor="text1"/>
        </w:rPr>
        <w:t xml:space="preserve">, </w:t>
      </w:r>
      <w:r>
        <w:rPr>
          <w:rFonts w:ascii="Tahoma" w:hAnsi="Tahoma" w:cs="Tahoma"/>
          <w:color w:val="000000" w:themeColor="text1"/>
        </w:rPr>
        <w:t>set in consultation with the Chief Constable and the public of Kent.  The Plan complemented the Kent Police Pledge set by the Chief Constable, outlining his commitments to staff, ou</w:t>
      </w:r>
      <w:r w:rsidR="00725EDF">
        <w:rPr>
          <w:rFonts w:ascii="Tahoma" w:hAnsi="Tahoma" w:cs="Tahoma"/>
          <w:color w:val="000000" w:themeColor="text1"/>
        </w:rPr>
        <w:t>r</w:t>
      </w:r>
      <w:r>
        <w:rPr>
          <w:rFonts w:ascii="Tahoma" w:hAnsi="Tahoma" w:cs="Tahoma"/>
          <w:color w:val="000000" w:themeColor="text1"/>
        </w:rPr>
        <w:t xml:space="preserve"> commitment to the public and our priorities and values.  At the heart of the Pledge, there is a commitment to provide a high-quality policing service that is delivered with absolute integrity, to support and protect victims, and to catch criminals and solve crime.  </w:t>
      </w:r>
    </w:p>
    <w:p w14:paraId="670F15AA" w14:textId="77777777" w:rsidR="007979B4" w:rsidRDefault="007979B4" w:rsidP="00725EDF">
      <w:pPr>
        <w:spacing w:after="0" w:line="240" w:lineRule="auto"/>
        <w:rPr>
          <w:rFonts w:ascii="Tahoma" w:hAnsi="Tahoma" w:cs="Tahoma"/>
          <w:color w:val="000000" w:themeColor="text1"/>
        </w:rPr>
      </w:pPr>
    </w:p>
    <w:p w14:paraId="6488D769" w14:textId="057260D9" w:rsidR="007979B4" w:rsidRDefault="007979B4" w:rsidP="00725EDF">
      <w:pPr>
        <w:spacing w:after="0" w:line="240" w:lineRule="auto"/>
        <w:rPr>
          <w:rFonts w:ascii="Tahoma" w:hAnsi="Tahoma" w:cs="Tahoma"/>
          <w:color w:val="000000" w:themeColor="text1"/>
        </w:rPr>
      </w:pPr>
      <w:r>
        <w:rPr>
          <w:rFonts w:ascii="Tahoma" w:hAnsi="Tahoma" w:cs="Tahoma"/>
          <w:color w:val="000000" w:themeColor="text1"/>
        </w:rPr>
        <w:t xml:space="preserve">Furthermore, the Force has a Control Strategy which is refreshed annually and sets out operational priorities for crime prevention, intelligence and enforcement.  The key crime types of focus are aligned to the PCC’s priorities, with a particular focus </w:t>
      </w:r>
      <w:r w:rsidR="00725EDF">
        <w:rPr>
          <w:rFonts w:ascii="Tahoma" w:hAnsi="Tahoma" w:cs="Tahoma"/>
          <w:color w:val="000000" w:themeColor="text1"/>
        </w:rPr>
        <w:t xml:space="preserve">currently </w:t>
      </w:r>
      <w:r>
        <w:rPr>
          <w:rFonts w:ascii="Tahoma" w:hAnsi="Tahoma" w:cs="Tahoma"/>
          <w:color w:val="000000" w:themeColor="text1"/>
        </w:rPr>
        <w:t xml:space="preserve">on </w:t>
      </w:r>
      <w:r w:rsidR="00A52536">
        <w:rPr>
          <w:rFonts w:ascii="Tahoma" w:hAnsi="Tahoma" w:cs="Tahoma"/>
          <w:color w:val="000000" w:themeColor="text1"/>
        </w:rPr>
        <w:t xml:space="preserve">Violence Against Women and Girls </w:t>
      </w:r>
      <w:r>
        <w:rPr>
          <w:rFonts w:ascii="Tahoma" w:hAnsi="Tahoma" w:cs="Tahoma"/>
          <w:color w:val="000000" w:themeColor="text1"/>
        </w:rPr>
        <w:t xml:space="preserve">(VAWG), serious violence and harm, organised crime and exploitation.  </w:t>
      </w:r>
    </w:p>
    <w:p w14:paraId="332EF867" w14:textId="77777777" w:rsidR="007979B4" w:rsidRDefault="007979B4" w:rsidP="00725EDF">
      <w:pPr>
        <w:spacing w:after="0" w:line="240" w:lineRule="auto"/>
        <w:rPr>
          <w:rFonts w:ascii="Tahoma" w:hAnsi="Tahoma" w:cs="Tahoma"/>
          <w:color w:val="000000" w:themeColor="text1"/>
        </w:rPr>
      </w:pPr>
    </w:p>
    <w:p w14:paraId="0C5150F8" w14:textId="71AB9738" w:rsidR="007979B4" w:rsidRDefault="007979B4" w:rsidP="00725EDF">
      <w:pPr>
        <w:spacing w:after="0" w:line="240" w:lineRule="auto"/>
        <w:rPr>
          <w:rFonts w:ascii="Tahoma" w:hAnsi="Tahoma" w:cs="Tahoma"/>
          <w:color w:val="000000" w:themeColor="text1"/>
        </w:rPr>
      </w:pPr>
      <w:r>
        <w:rPr>
          <w:rFonts w:ascii="Tahoma" w:hAnsi="Tahoma" w:cs="Tahoma"/>
          <w:color w:val="000000" w:themeColor="text1"/>
        </w:rPr>
        <w:t xml:space="preserve">Nationally, Kent Police is also committed to ensuring delivery against Government set direction and priorities within the Strategic Policing Requirement and the Beating Crime Plan (Appendix A), for which the PCC is also obligated to report on to the Home Office in the Annual Assurance Statement.  </w:t>
      </w:r>
    </w:p>
    <w:p w14:paraId="34FA0138" w14:textId="77777777" w:rsidR="00DD49BA" w:rsidRDefault="00DD49BA" w:rsidP="00725EDF">
      <w:pPr>
        <w:spacing w:after="0" w:line="240" w:lineRule="auto"/>
        <w:rPr>
          <w:rFonts w:ascii="Tahoma" w:hAnsi="Tahoma" w:cs="Tahoma"/>
          <w:color w:val="000000" w:themeColor="text1"/>
        </w:rPr>
      </w:pPr>
    </w:p>
    <w:p w14:paraId="7F3B9774" w14:textId="15FF51CF" w:rsidR="00DD49BA" w:rsidRDefault="00DD49BA" w:rsidP="00725EDF">
      <w:pPr>
        <w:spacing w:after="0" w:line="240" w:lineRule="auto"/>
        <w:rPr>
          <w:rFonts w:ascii="Tahoma" w:hAnsi="Tahoma" w:cs="Tahoma"/>
          <w:color w:val="000000" w:themeColor="text1"/>
        </w:rPr>
      </w:pPr>
      <w:r>
        <w:rPr>
          <w:rFonts w:ascii="Tahoma" w:hAnsi="Tahoma" w:cs="Tahoma"/>
          <w:color w:val="000000" w:themeColor="text1"/>
        </w:rPr>
        <w:t xml:space="preserve">During the reporting period 2022-25, Kent Police have undertaken significant changes to the policing model, namely </w:t>
      </w:r>
      <w:r w:rsidR="00A52536">
        <w:rPr>
          <w:rFonts w:ascii="Tahoma" w:hAnsi="Tahoma" w:cs="Tahoma"/>
          <w:color w:val="000000" w:themeColor="text1"/>
        </w:rPr>
        <w:t xml:space="preserve">within </w:t>
      </w:r>
      <w:r>
        <w:rPr>
          <w:rFonts w:ascii="Tahoma" w:hAnsi="Tahoma" w:cs="Tahoma"/>
          <w:color w:val="000000" w:themeColor="text1"/>
        </w:rPr>
        <w:t>Neighbourhood Policing and</w:t>
      </w:r>
      <w:r w:rsidR="00A52536">
        <w:rPr>
          <w:rFonts w:ascii="Tahoma" w:hAnsi="Tahoma" w:cs="Tahoma"/>
          <w:color w:val="000000" w:themeColor="text1"/>
        </w:rPr>
        <w:t xml:space="preserve"> </w:t>
      </w:r>
      <w:r>
        <w:rPr>
          <w:rFonts w:ascii="Tahoma" w:hAnsi="Tahoma" w:cs="Tahoma"/>
          <w:color w:val="000000" w:themeColor="text1"/>
        </w:rPr>
        <w:t xml:space="preserve">Divisional </w:t>
      </w:r>
      <w:r w:rsidR="00A52536">
        <w:rPr>
          <w:rFonts w:ascii="Tahoma" w:hAnsi="Tahoma" w:cs="Tahoma"/>
          <w:color w:val="000000" w:themeColor="text1"/>
        </w:rPr>
        <w:t>I</w:t>
      </w:r>
      <w:r>
        <w:rPr>
          <w:rFonts w:ascii="Tahoma" w:hAnsi="Tahoma" w:cs="Tahoma"/>
          <w:color w:val="000000" w:themeColor="text1"/>
        </w:rPr>
        <w:t>nvestigations</w:t>
      </w:r>
      <w:r w:rsidR="006D22F3">
        <w:rPr>
          <w:rFonts w:ascii="Tahoma" w:hAnsi="Tahoma" w:cs="Tahoma"/>
          <w:color w:val="000000" w:themeColor="text1"/>
        </w:rPr>
        <w:t>, to enhance service delivery</w:t>
      </w:r>
      <w:r>
        <w:rPr>
          <w:rFonts w:ascii="Tahoma" w:hAnsi="Tahoma" w:cs="Tahoma"/>
          <w:color w:val="000000" w:themeColor="text1"/>
        </w:rPr>
        <w:t xml:space="preserve">.  </w:t>
      </w:r>
    </w:p>
    <w:p w14:paraId="0A88CBA0" w14:textId="77777777" w:rsidR="00DD49BA" w:rsidRDefault="00DD49BA" w:rsidP="00725EDF">
      <w:pPr>
        <w:spacing w:after="0" w:line="240" w:lineRule="auto"/>
        <w:rPr>
          <w:rFonts w:ascii="Tahoma" w:hAnsi="Tahoma" w:cs="Tahoma"/>
          <w:color w:val="000000" w:themeColor="text1"/>
        </w:rPr>
      </w:pPr>
    </w:p>
    <w:p w14:paraId="1A58490E" w14:textId="09495183" w:rsidR="006D22F3" w:rsidRDefault="006D22F3" w:rsidP="00725EDF">
      <w:pPr>
        <w:spacing w:after="0" w:line="240" w:lineRule="auto"/>
        <w:rPr>
          <w:rFonts w:ascii="Tahoma" w:hAnsi="Tahoma" w:cs="Tahoma"/>
          <w:color w:val="000000" w:themeColor="text1"/>
        </w:rPr>
      </w:pPr>
      <w:r>
        <w:rPr>
          <w:rFonts w:ascii="Tahoma" w:hAnsi="Tahoma" w:cs="Tahoma"/>
          <w:color w:val="000000" w:themeColor="text1"/>
        </w:rPr>
        <w:t xml:space="preserve">With ongoing support of the Kent PCC through local precept funding and the Government’s </w:t>
      </w:r>
      <w:r w:rsidR="00A52536">
        <w:rPr>
          <w:rFonts w:ascii="Tahoma" w:hAnsi="Tahoma" w:cs="Tahoma"/>
          <w:color w:val="000000" w:themeColor="text1"/>
        </w:rPr>
        <w:t xml:space="preserve">recent </w:t>
      </w:r>
      <w:r>
        <w:rPr>
          <w:rFonts w:ascii="Tahoma" w:hAnsi="Tahoma" w:cs="Tahoma"/>
          <w:color w:val="000000" w:themeColor="text1"/>
        </w:rPr>
        <w:t xml:space="preserve">Police Officer Uplift Programme, </w:t>
      </w:r>
      <w:r w:rsidR="00DD49BA">
        <w:rPr>
          <w:rFonts w:ascii="Tahoma" w:hAnsi="Tahoma" w:cs="Tahoma"/>
          <w:color w:val="000000" w:themeColor="text1"/>
        </w:rPr>
        <w:t xml:space="preserve">Kent Police has </w:t>
      </w:r>
      <w:r>
        <w:rPr>
          <w:rFonts w:ascii="Tahoma" w:hAnsi="Tahoma" w:cs="Tahoma"/>
          <w:color w:val="000000" w:themeColor="text1"/>
        </w:rPr>
        <w:t>been able to recruit 911 more police officers o</w:t>
      </w:r>
      <w:r w:rsidR="00DD49BA">
        <w:rPr>
          <w:rFonts w:ascii="Tahoma" w:hAnsi="Tahoma" w:cs="Tahoma"/>
          <w:color w:val="000000" w:themeColor="text1"/>
        </w:rPr>
        <w:t>ver the past decade</w:t>
      </w:r>
      <w:r>
        <w:rPr>
          <w:rFonts w:ascii="Tahoma" w:hAnsi="Tahoma" w:cs="Tahoma"/>
          <w:color w:val="000000" w:themeColor="text1"/>
        </w:rPr>
        <w:t>.  Following a comprehensive Neighbourhood Policing Review, a new model went live in June 2023 and enables the Force to ensure that officers are</w:t>
      </w:r>
      <w:r w:rsidR="00DD49BA">
        <w:rPr>
          <w:rFonts w:ascii="Tahoma" w:hAnsi="Tahoma" w:cs="Tahoma"/>
          <w:color w:val="000000" w:themeColor="text1"/>
        </w:rPr>
        <w:t xml:space="preserve"> visible and accessible </w:t>
      </w:r>
      <w:r>
        <w:rPr>
          <w:rFonts w:ascii="Tahoma" w:hAnsi="Tahoma" w:cs="Tahoma"/>
          <w:color w:val="000000" w:themeColor="text1"/>
        </w:rPr>
        <w:t xml:space="preserve">in their local communities and </w:t>
      </w:r>
      <w:r w:rsidR="00DD49BA">
        <w:rPr>
          <w:rFonts w:ascii="Tahoma" w:hAnsi="Tahoma" w:cs="Tahoma"/>
          <w:color w:val="000000" w:themeColor="text1"/>
        </w:rPr>
        <w:t xml:space="preserve">town centres.  </w:t>
      </w:r>
      <w:r>
        <w:rPr>
          <w:rFonts w:ascii="Tahoma" w:hAnsi="Tahoma" w:cs="Tahoma"/>
          <w:color w:val="000000" w:themeColor="text1"/>
        </w:rPr>
        <w:t>The model has been built upon the principles of: early intervention, effective engagement and meaningful targeted activity; increasing</w:t>
      </w:r>
      <w:r w:rsidR="00A52536">
        <w:rPr>
          <w:rFonts w:ascii="Tahoma" w:hAnsi="Tahoma" w:cs="Tahoma"/>
          <w:color w:val="000000" w:themeColor="text1"/>
        </w:rPr>
        <w:t xml:space="preserve"> </w:t>
      </w:r>
      <w:r>
        <w:rPr>
          <w:rFonts w:ascii="Tahoma" w:hAnsi="Tahoma" w:cs="Tahoma"/>
          <w:color w:val="000000" w:themeColor="text1"/>
        </w:rPr>
        <w:t>local Community Safety Units</w:t>
      </w:r>
      <w:r w:rsidR="00A52536">
        <w:rPr>
          <w:rFonts w:ascii="Tahoma" w:hAnsi="Tahoma" w:cs="Tahoma"/>
          <w:color w:val="000000" w:themeColor="text1"/>
        </w:rPr>
        <w:t>’</w:t>
      </w:r>
      <w:r>
        <w:rPr>
          <w:rFonts w:ascii="Tahoma" w:hAnsi="Tahoma" w:cs="Tahoma"/>
          <w:color w:val="000000" w:themeColor="text1"/>
        </w:rPr>
        <w:t xml:space="preserve"> capability and partnership working; a focus on repeat victims, offenders and locations; early identification of vulnerability and exploitation within the community; and enhancing visibility to deter crime, build confidence and reduce the fear of crime.  </w:t>
      </w:r>
    </w:p>
    <w:p w14:paraId="7A3F6219" w14:textId="77777777" w:rsidR="006D22F3" w:rsidRDefault="006D22F3" w:rsidP="00725EDF">
      <w:pPr>
        <w:spacing w:after="0" w:line="240" w:lineRule="auto"/>
        <w:rPr>
          <w:rFonts w:ascii="Tahoma" w:hAnsi="Tahoma" w:cs="Tahoma"/>
          <w:color w:val="000000" w:themeColor="text1"/>
        </w:rPr>
      </w:pPr>
    </w:p>
    <w:p w14:paraId="06702ABB" w14:textId="3311F21A" w:rsidR="006D22F3" w:rsidRDefault="006D22F3" w:rsidP="00725EDF">
      <w:pPr>
        <w:spacing w:after="0" w:line="240" w:lineRule="auto"/>
        <w:rPr>
          <w:rFonts w:ascii="Tahoma" w:hAnsi="Tahoma" w:cs="Tahoma"/>
          <w:color w:val="000000" w:themeColor="text1"/>
        </w:rPr>
      </w:pPr>
      <w:r w:rsidRPr="1D7D8BE7">
        <w:rPr>
          <w:rFonts w:ascii="Tahoma" w:hAnsi="Tahoma" w:cs="Tahoma"/>
          <w:color w:val="000000" w:themeColor="text1"/>
        </w:rPr>
        <w:t>Kent Police has further welcomed the Government’s Neighbourhood Policing Guarantee</w:t>
      </w:r>
      <w:r w:rsidR="00345A7F" w:rsidRPr="1D7D8BE7">
        <w:rPr>
          <w:rFonts w:ascii="Tahoma" w:hAnsi="Tahoma" w:cs="Tahoma"/>
          <w:color w:val="000000" w:themeColor="text1"/>
        </w:rPr>
        <w:t xml:space="preserve">, </w:t>
      </w:r>
      <w:r w:rsidRPr="1D7D8BE7">
        <w:rPr>
          <w:rFonts w:ascii="Tahoma" w:hAnsi="Tahoma" w:cs="Tahoma"/>
          <w:color w:val="000000" w:themeColor="text1"/>
        </w:rPr>
        <w:t>enabl</w:t>
      </w:r>
      <w:r w:rsidR="00345A7F" w:rsidRPr="1D7D8BE7">
        <w:rPr>
          <w:rFonts w:ascii="Tahoma" w:hAnsi="Tahoma" w:cs="Tahoma"/>
          <w:color w:val="000000" w:themeColor="text1"/>
        </w:rPr>
        <w:t>ing</w:t>
      </w:r>
      <w:r w:rsidRPr="1D7D8BE7">
        <w:rPr>
          <w:rFonts w:ascii="Tahoma" w:hAnsi="Tahoma" w:cs="Tahoma"/>
          <w:color w:val="000000" w:themeColor="text1"/>
        </w:rPr>
        <w:t xml:space="preserve"> </w:t>
      </w:r>
      <w:r w:rsidR="00A52536" w:rsidRPr="1D7D8BE7">
        <w:rPr>
          <w:rFonts w:ascii="Tahoma" w:hAnsi="Tahoma" w:cs="Tahoma"/>
          <w:color w:val="000000" w:themeColor="text1"/>
        </w:rPr>
        <w:t>an additional</w:t>
      </w:r>
      <w:r w:rsidRPr="1D7D8BE7">
        <w:rPr>
          <w:rFonts w:ascii="Tahoma" w:hAnsi="Tahoma" w:cs="Tahoma"/>
          <w:color w:val="000000" w:themeColor="text1"/>
        </w:rPr>
        <w:t xml:space="preserve"> investment </w:t>
      </w:r>
      <w:r w:rsidR="00A52536" w:rsidRPr="1D7D8BE7">
        <w:rPr>
          <w:rFonts w:ascii="Tahoma" w:hAnsi="Tahoma" w:cs="Tahoma"/>
          <w:color w:val="000000" w:themeColor="text1"/>
        </w:rPr>
        <w:t>of</w:t>
      </w:r>
      <w:r w:rsidRPr="1D7D8BE7">
        <w:rPr>
          <w:rFonts w:ascii="Tahoma" w:hAnsi="Tahoma" w:cs="Tahoma"/>
          <w:color w:val="000000" w:themeColor="text1"/>
        </w:rPr>
        <w:t xml:space="preserve"> 65 new police officers, al</w:t>
      </w:r>
      <w:r w:rsidR="00345A7F" w:rsidRPr="1D7D8BE7">
        <w:rPr>
          <w:rFonts w:ascii="Tahoma" w:hAnsi="Tahoma" w:cs="Tahoma"/>
          <w:color w:val="000000" w:themeColor="text1"/>
        </w:rPr>
        <w:t>ongside</w:t>
      </w:r>
      <w:r w:rsidRPr="1D7D8BE7">
        <w:rPr>
          <w:rFonts w:ascii="Tahoma" w:hAnsi="Tahoma" w:cs="Tahoma"/>
          <w:color w:val="000000" w:themeColor="text1"/>
        </w:rPr>
        <w:t xml:space="preserve"> 80 new Special Constables and 40 uniformed volunteers with powers working in visible community safety roles.  Every neighbourhood, urban or rural, has a named, contactable officer, and residents </w:t>
      </w:r>
      <w:r w:rsidRPr="1D7D8BE7">
        <w:rPr>
          <w:rFonts w:ascii="Tahoma" w:hAnsi="Tahoma" w:cs="Tahoma"/>
          <w:color w:val="000000" w:themeColor="text1"/>
        </w:rPr>
        <w:lastRenderedPageBreak/>
        <w:t xml:space="preserve">and businesses will be given an increased voice to shape neighbourhood policing priorities, and ensure crime and </w:t>
      </w:r>
      <w:r w:rsidR="00034A25" w:rsidRPr="1D7D8BE7">
        <w:rPr>
          <w:rFonts w:ascii="Tahoma" w:hAnsi="Tahoma" w:cs="Tahoma"/>
          <w:color w:val="000000" w:themeColor="text1"/>
        </w:rPr>
        <w:t>anti-social behaviour (ASB)</w:t>
      </w:r>
      <w:r w:rsidRPr="1D7D8BE7">
        <w:rPr>
          <w:rFonts w:ascii="Tahoma" w:hAnsi="Tahoma" w:cs="Tahoma"/>
          <w:color w:val="000000" w:themeColor="text1"/>
        </w:rPr>
        <w:t xml:space="preserve"> is both reported and acted on.  </w:t>
      </w:r>
    </w:p>
    <w:p w14:paraId="4B7718D8" w14:textId="77777777" w:rsidR="00A52536" w:rsidRDefault="00A52536" w:rsidP="00725EDF">
      <w:pPr>
        <w:spacing w:after="0" w:line="240" w:lineRule="auto"/>
        <w:rPr>
          <w:rFonts w:ascii="Tahoma" w:hAnsi="Tahoma" w:cs="Tahoma"/>
          <w:color w:val="000000" w:themeColor="text1"/>
        </w:rPr>
      </w:pPr>
    </w:p>
    <w:p w14:paraId="330FAC39" w14:textId="334FA0E7" w:rsidR="00A52536" w:rsidRDefault="00A52536" w:rsidP="00725EDF">
      <w:pPr>
        <w:spacing w:after="0" w:line="240" w:lineRule="auto"/>
        <w:rPr>
          <w:rFonts w:ascii="Tahoma" w:hAnsi="Tahoma" w:cs="Tahoma"/>
          <w:color w:val="000000" w:themeColor="text1"/>
        </w:rPr>
      </w:pPr>
      <w:r>
        <w:rPr>
          <w:rFonts w:ascii="Tahoma" w:hAnsi="Tahoma" w:cs="Tahoma"/>
          <w:color w:val="000000" w:themeColor="text1"/>
        </w:rPr>
        <w:t>In addition, the Force has undertaken a comprehensive Divisional Policing Review, redesigning the investigations</w:t>
      </w:r>
      <w:r w:rsidR="00034A25">
        <w:rPr>
          <w:rFonts w:ascii="Tahoma" w:hAnsi="Tahoma" w:cs="Tahoma"/>
          <w:color w:val="000000" w:themeColor="text1"/>
        </w:rPr>
        <w:t>’</w:t>
      </w:r>
      <w:r>
        <w:rPr>
          <w:rFonts w:ascii="Tahoma" w:hAnsi="Tahoma" w:cs="Tahoma"/>
          <w:color w:val="000000" w:themeColor="text1"/>
        </w:rPr>
        <w:t xml:space="preserve"> structure, with the following objectives:</w:t>
      </w:r>
    </w:p>
    <w:p w14:paraId="18DBB122" w14:textId="7B7065D1" w:rsidR="00A52536" w:rsidRDefault="00A52536" w:rsidP="00461ACC">
      <w:pPr>
        <w:pStyle w:val="ListParagraph"/>
        <w:numPr>
          <w:ilvl w:val="0"/>
          <w:numId w:val="3"/>
        </w:numPr>
        <w:spacing w:after="0" w:line="240" w:lineRule="auto"/>
        <w:rPr>
          <w:rFonts w:ascii="Tahoma" w:hAnsi="Tahoma" w:cs="Tahoma"/>
          <w:color w:val="000000" w:themeColor="text1"/>
        </w:rPr>
      </w:pPr>
      <w:r>
        <w:rPr>
          <w:rFonts w:ascii="Tahoma" w:hAnsi="Tahoma" w:cs="Tahoma"/>
          <w:color w:val="000000" w:themeColor="text1"/>
        </w:rPr>
        <w:t>Improved trust and confidence in the effectiveness of policing.</w:t>
      </w:r>
    </w:p>
    <w:p w14:paraId="372A8CD1" w14:textId="4D9B2C95" w:rsidR="00A52536" w:rsidRDefault="00A52536" w:rsidP="00461ACC">
      <w:pPr>
        <w:pStyle w:val="ListParagraph"/>
        <w:numPr>
          <w:ilvl w:val="0"/>
          <w:numId w:val="3"/>
        </w:numPr>
        <w:spacing w:after="0" w:line="240" w:lineRule="auto"/>
        <w:rPr>
          <w:rFonts w:ascii="Tahoma" w:hAnsi="Tahoma" w:cs="Tahoma"/>
          <w:color w:val="000000" w:themeColor="text1"/>
        </w:rPr>
      </w:pPr>
      <w:r>
        <w:rPr>
          <w:rFonts w:ascii="Tahoma" w:hAnsi="Tahoma" w:cs="Tahoma"/>
          <w:color w:val="000000" w:themeColor="text1"/>
        </w:rPr>
        <w:t>Improved service to victims of crime.</w:t>
      </w:r>
    </w:p>
    <w:p w14:paraId="302C6032" w14:textId="76F55D6E" w:rsidR="00A52536" w:rsidRDefault="00A52536" w:rsidP="00461ACC">
      <w:pPr>
        <w:pStyle w:val="ListParagraph"/>
        <w:numPr>
          <w:ilvl w:val="0"/>
          <w:numId w:val="3"/>
        </w:numPr>
        <w:spacing w:after="0" w:line="240" w:lineRule="auto"/>
        <w:rPr>
          <w:rFonts w:ascii="Tahoma" w:hAnsi="Tahoma" w:cs="Tahoma"/>
          <w:color w:val="000000" w:themeColor="text1"/>
        </w:rPr>
      </w:pPr>
      <w:r>
        <w:rPr>
          <w:rFonts w:ascii="Tahoma" w:hAnsi="Tahoma" w:cs="Tahoma"/>
          <w:color w:val="000000" w:themeColor="text1"/>
        </w:rPr>
        <w:t>Delivery of a model that enhances the prevention, investigation and detection of crime.</w:t>
      </w:r>
    </w:p>
    <w:p w14:paraId="3456A1C1" w14:textId="45DBFE48" w:rsidR="00A52536" w:rsidRDefault="00A52536" w:rsidP="00461ACC">
      <w:pPr>
        <w:pStyle w:val="ListParagraph"/>
        <w:numPr>
          <w:ilvl w:val="0"/>
          <w:numId w:val="3"/>
        </w:numPr>
        <w:spacing w:after="0" w:line="240" w:lineRule="auto"/>
        <w:rPr>
          <w:rFonts w:ascii="Tahoma" w:hAnsi="Tahoma" w:cs="Tahoma"/>
          <w:color w:val="000000" w:themeColor="text1"/>
        </w:rPr>
      </w:pPr>
      <w:r>
        <w:rPr>
          <w:rFonts w:ascii="Tahoma" w:hAnsi="Tahoma" w:cs="Tahoma"/>
          <w:color w:val="000000" w:themeColor="text1"/>
        </w:rPr>
        <w:t>Improved response to the management of offenders and suspects.</w:t>
      </w:r>
    </w:p>
    <w:p w14:paraId="18562563" w14:textId="3B2D4DF5" w:rsidR="00A52536" w:rsidRDefault="00A52536" w:rsidP="00461ACC">
      <w:pPr>
        <w:pStyle w:val="ListParagraph"/>
        <w:numPr>
          <w:ilvl w:val="0"/>
          <w:numId w:val="3"/>
        </w:numPr>
        <w:spacing w:after="0" w:line="240" w:lineRule="auto"/>
        <w:rPr>
          <w:rFonts w:ascii="Tahoma" w:hAnsi="Tahoma" w:cs="Tahoma"/>
          <w:color w:val="000000" w:themeColor="text1"/>
        </w:rPr>
      </w:pPr>
      <w:r>
        <w:rPr>
          <w:rFonts w:ascii="Tahoma" w:hAnsi="Tahoma" w:cs="Tahoma"/>
          <w:color w:val="000000" w:themeColor="text1"/>
        </w:rPr>
        <w:t>Improved protection for vulnerable people.</w:t>
      </w:r>
    </w:p>
    <w:p w14:paraId="2B8DACDC" w14:textId="172D9479" w:rsidR="00A52536" w:rsidRPr="00A52536" w:rsidRDefault="00A52536" w:rsidP="00461ACC">
      <w:pPr>
        <w:pStyle w:val="ListParagraph"/>
        <w:numPr>
          <w:ilvl w:val="0"/>
          <w:numId w:val="3"/>
        </w:numPr>
        <w:spacing w:after="0" w:line="240" w:lineRule="auto"/>
        <w:rPr>
          <w:rFonts w:ascii="Tahoma" w:hAnsi="Tahoma" w:cs="Tahoma"/>
          <w:color w:val="000000" w:themeColor="text1"/>
        </w:rPr>
      </w:pPr>
      <w:r>
        <w:rPr>
          <w:rFonts w:ascii="Tahoma" w:hAnsi="Tahoma" w:cs="Tahoma"/>
          <w:color w:val="000000" w:themeColor="text1"/>
        </w:rPr>
        <w:t>Reduced bureaucracy and an empowered workforce.</w:t>
      </w:r>
    </w:p>
    <w:p w14:paraId="5C2F34D2" w14:textId="77777777" w:rsidR="00A52536" w:rsidRDefault="00A52536" w:rsidP="00725EDF">
      <w:pPr>
        <w:spacing w:after="0" w:line="240" w:lineRule="auto"/>
        <w:rPr>
          <w:rFonts w:ascii="Tahoma" w:hAnsi="Tahoma" w:cs="Tahoma"/>
          <w:color w:val="000000" w:themeColor="text1"/>
        </w:rPr>
      </w:pPr>
    </w:p>
    <w:p w14:paraId="45328254" w14:textId="5123D657" w:rsidR="00A52536" w:rsidRDefault="54FF979A" w:rsidP="00725EDF">
      <w:pPr>
        <w:spacing w:after="0" w:line="240" w:lineRule="auto"/>
        <w:rPr>
          <w:rFonts w:ascii="Tahoma" w:hAnsi="Tahoma" w:cs="Tahoma"/>
          <w:color w:val="000000" w:themeColor="text1"/>
        </w:rPr>
      </w:pPr>
      <w:r w:rsidRPr="1D7D8BE7">
        <w:rPr>
          <w:rFonts w:ascii="Tahoma" w:hAnsi="Tahoma" w:cs="Tahoma"/>
          <w:color w:val="000000" w:themeColor="text1"/>
        </w:rPr>
        <w:t xml:space="preserve">The redesign of the investigations structure has created larger and more resilient teams that ensure a strong focus on </w:t>
      </w:r>
      <w:r w:rsidR="2ECC7FF8" w:rsidRPr="1D7D8BE7">
        <w:rPr>
          <w:rFonts w:ascii="Tahoma" w:hAnsi="Tahoma" w:cs="Tahoma"/>
          <w:color w:val="000000" w:themeColor="text1"/>
        </w:rPr>
        <w:t>Domestic Abuse (</w:t>
      </w:r>
      <w:r w:rsidRPr="1D7D8BE7">
        <w:rPr>
          <w:rFonts w:ascii="Tahoma" w:hAnsi="Tahoma" w:cs="Tahoma"/>
          <w:color w:val="000000" w:themeColor="text1"/>
        </w:rPr>
        <w:t>DA</w:t>
      </w:r>
      <w:r w:rsidR="2ECC7FF8" w:rsidRPr="1D7D8BE7">
        <w:rPr>
          <w:rFonts w:ascii="Tahoma" w:hAnsi="Tahoma" w:cs="Tahoma"/>
          <w:color w:val="000000" w:themeColor="text1"/>
        </w:rPr>
        <w:t xml:space="preserve">) </w:t>
      </w:r>
      <w:r w:rsidRPr="1D7D8BE7">
        <w:rPr>
          <w:rFonts w:ascii="Tahoma" w:hAnsi="Tahoma" w:cs="Tahoma"/>
          <w:color w:val="000000" w:themeColor="text1"/>
        </w:rPr>
        <w:t xml:space="preserve">and </w:t>
      </w:r>
      <w:r w:rsidR="2ECC7FF8" w:rsidRPr="1D7D8BE7">
        <w:rPr>
          <w:rFonts w:ascii="Tahoma" w:hAnsi="Tahoma" w:cs="Tahoma"/>
          <w:color w:val="000000" w:themeColor="text1"/>
        </w:rPr>
        <w:t>VAWG</w:t>
      </w:r>
      <w:r w:rsidRPr="1D7D8BE7">
        <w:rPr>
          <w:rFonts w:ascii="Tahoma" w:hAnsi="Tahoma" w:cs="Tahoma"/>
          <w:color w:val="000000" w:themeColor="text1"/>
        </w:rPr>
        <w:t xml:space="preserve">, whilst applying national guidance through centrally owned, highly skilled teams investigating Rape, Child/Adult Protection, and high-risk and serious DA.  The new model went live in October 2024 and will be subject to a Post Implementation Review in 2025 to ensure that the objectives are being met.  </w:t>
      </w:r>
    </w:p>
    <w:p w14:paraId="36190DDA" w14:textId="38B803A2" w:rsidR="007979B4" w:rsidRDefault="006D22F3" w:rsidP="00725EDF">
      <w:pPr>
        <w:spacing w:after="0" w:line="240" w:lineRule="auto"/>
        <w:rPr>
          <w:rFonts w:ascii="Tahoma" w:hAnsi="Tahoma" w:cs="Tahoma"/>
          <w:color w:val="000000" w:themeColor="text1"/>
        </w:rPr>
      </w:pPr>
      <w:r>
        <w:rPr>
          <w:rFonts w:ascii="Tahoma" w:hAnsi="Tahoma" w:cs="Tahoma"/>
          <w:color w:val="000000" w:themeColor="text1"/>
        </w:rPr>
        <w:t xml:space="preserve"> </w:t>
      </w:r>
      <w:r w:rsidR="00DD49BA">
        <w:rPr>
          <w:rFonts w:ascii="Tahoma" w:hAnsi="Tahoma" w:cs="Tahoma"/>
          <w:color w:val="000000" w:themeColor="text1"/>
        </w:rPr>
        <w:t xml:space="preserve">  </w:t>
      </w:r>
    </w:p>
    <w:p w14:paraId="6540EBF8" w14:textId="125571A9" w:rsidR="007979B4" w:rsidRPr="00345A7F" w:rsidRDefault="00345A7F" w:rsidP="00345A7F">
      <w:pPr>
        <w:pStyle w:val="ListParagraph"/>
        <w:numPr>
          <w:ilvl w:val="0"/>
          <w:numId w:val="8"/>
        </w:numPr>
        <w:spacing w:after="0" w:line="240" w:lineRule="auto"/>
        <w:rPr>
          <w:rFonts w:ascii="Tahoma" w:hAnsi="Tahoma" w:cs="Tahoma"/>
          <w:b/>
          <w:bCs/>
          <w:color w:val="000000" w:themeColor="text1"/>
          <w:u w:val="single"/>
        </w:rPr>
      </w:pPr>
      <w:r w:rsidRPr="00345A7F">
        <w:rPr>
          <w:rFonts w:ascii="Tahoma" w:hAnsi="Tahoma" w:cs="Tahoma"/>
          <w:b/>
          <w:bCs/>
          <w:color w:val="000000" w:themeColor="text1"/>
          <w:u w:val="single"/>
        </w:rPr>
        <w:t>‘</w:t>
      </w:r>
      <w:r w:rsidR="007979B4" w:rsidRPr="00345A7F">
        <w:rPr>
          <w:rFonts w:ascii="Tahoma" w:hAnsi="Tahoma" w:cs="Tahoma"/>
          <w:b/>
          <w:bCs/>
          <w:color w:val="000000" w:themeColor="text1"/>
          <w:u w:val="single"/>
        </w:rPr>
        <w:t>Making Kent Safer</w:t>
      </w:r>
      <w:r w:rsidRPr="00345A7F">
        <w:rPr>
          <w:rFonts w:ascii="Tahoma" w:hAnsi="Tahoma" w:cs="Tahoma"/>
          <w:b/>
          <w:bCs/>
          <w:color w:val="000000" w:themeColor="text1"/>
          <w:u w:val="single"/>
        </w:rPr>
        <w:t>’</w:t>
      </w:r>
      <w:r w:rsidR="007979B4" w:rsidRPr="00345A7F">
        <w:rPr>
          <w:rFonts w:ascii="Tahoma" w:hAnsi="Tahoma" w:cs="Tahoma"/>
          <w:b/>
          <w:bCs/>
          <w:color w:val="000000" w:themeColor="text1"/>
          <w:u w:val="single"/>
        </w:rPr>
        <w:t xml:space="preserve"> Plan Priorities</w:t>
      </w:r>
    </w:p>
    <w:p w14:paraId="74F57A80" w14:textId="77777777" w:rsidR="000437AC" w:rsidRDefault="000437AC" w:rsidP="00725EDF">
      <w:pPr>
        <w:spacing w:after="0" w:line="240" w:lineRule="auto"/>
        <w:rPr>
          <w:rFonts w:ascii="Tahoma" w:hAnsi="Tahoma" w:cs="Tahoma"/>
          <w:b/>
          <w:bCs/>
          <w:color w:val="000000" w:themeColor="text1"/>
        </w:rPr>
      </w:pPr>
    </w:p>
    <w:p w14:paraId="39E48810" w14:textId="77774ABF" w:rsidR="000437AC" w:rsidRPr="000437AC" w:rsidRDefault="000437AC" w:rsidP="00725EDF">
      <w:pPr>
        <w:spacing w:after="0" w:line="240" w:lineRule="auto"/>
        <w:rPr>
          <w:rFonts w:ascii="Tahoma" w:hAnsi="Tahoma" w:cs="Tahoma"/>
          <w:color w:val="000000" w:themeColor="text1"/>
        </w:rPr>
      </w:pPr>
      <w:r>
        <w:rPr>
          <w:rFonts w:ascii="Tahoma" w:hAnsi="Tahoma" w:cs="Tahoma"/>
          <w:color w:val="000000" w:themeColor="text1"/>
        </w:rPr>
        <w:t>This section of the paper will provide a</w:t>
      </w:r>
      <w:r w:rsidR="00345A7F">
        <w:rPr>
          <w:rFonts w:ascii="Tahoma" w:hAnsi="Tahoma" w:cs="Tahoma"/>
          <w:color w:val="000000" w:themeColor="text1"/>
        </w:rPr>
        <w:t>n overview</w:t>
      </w:r>
      <w:r>
        <w:rPr>
          <w:rFonts w:ascii="Tahoma" w:hAnsi="Tahoma" w:cs="Tahoma"/>
          <w:color w:val="000000" w:themeColor="text1"/>
        </w:rPr>
        <w:t xml:space="preserve"> on Kent Police’s performance delivery against the seven Making Kent Safer Plan 2022-25</w:t>
      </w:r>
      <w:r w:rsidR="00A9017D">
        <w:rPr>
          <w:rFonts w:ascii="Tahoma" w:hAnsi="Tahoma" w:cs="Tahoma"/>
          <w:color w:val="000000" w:themeColor="text1"/>
        </w:rPr>
        <w:t xml:space="preserve"> priorities</w:t>
      </w:r>
      <w:r>
        <w:rPr>
          <w:rFonts w:ascii="Tahoma" w:hAnsi="Tahoma" w:cs="Tahoma"/>
          <w:color w:val="000000" w:themeColor="text1"/>
        </w:rPr>
        <w:t xml:space="preserve">.  </w:t>
      </w:r>
      <w:r w:rsidR="00A9017D">
        <w:rPr>
          <w:rFonts w:ascii="Tahoma" w:hAnsi="Tahoma" w:cs="Tahoma"/>
          <w:color w:val="000000" w:themeColor="text1"/>
        </w:rPr>
        <w:t>The</w:t>
      </w:r>
      <w:r>
        <w:rPr>
          <w:rFonts w:ascii="Tahoma" w:hAnsi="Tahoma" w:cs="Tahoma"/>
          <w:color w:val="000000" w:themeColor="text1"/>
        </w:rPr>
        <w:t xml:space="preserve"> data period used for this purpose</w:t>
      </w:r>
      <w:r w:rsidR="00A9017D">
        <w:rPr>
          <w:rFonts w:ascii="Tahoma" w:hAnsi="Tahoma" w:cs="Tahoma"/>
          <w:color w:val="000000" w:themeColor="text1"/>
        </w:rPr>
        <w:t xml:space="preserve"> will be April 2021 to March 2025 to provide a four-year overview.    </w:t>
      </w:r>
    </w:p>
    <w:p w14:paraId="7D5762F7" w14:textId="77777777" w:rsidR="007979B4" w:rsidRDefault="007979B4" w:rsidP="00725EDF">
      <w:pPr>
        <w:spacing w:after="0" w:line="240" w:lineRule="auto"/>
        <w:rPr>
          <w:rFonts w:ascii="Tahoma" w:hAnsi="Tahoma" w:cs="Tahoma"/>
          <w:b/>
          <w:bCs/>
          <w:color w:val="000000" w:themeColor="text1"/>
        </w:rPr>
      </w:pPr>
    </w:p>
    <w:p w14:paraId="5C61D8D7" w14:textId="6C4B1DEA" w:rsidR="00834C55" w:rsidRPr="00725EDF" w:rsidRDefault="00725EDF" w:rsidP="00725EDF">
      <w:pPr>
        <w:shd w:val="clear" w:color="auto" w:fill="FFFF00"/>
        <w:spacing w:after="0" w:line="240" w:lineRule="auto"/>
        <w:rPr>
          <w:rFonts w:ascii="Tahoma" w:hAnsi="Tahoma" w:cs="Tahoma"/>
          <w:b/>
          <w:bCs/>
          <w:color w:val="000000" w:themeColor="text1"/>
        </w:rPr>
      </w:pPr>
      <w:r w:rsidRPr="00725EDF">
        <w:rPr>
          <w:rFonts w:ascii="Tahoma" w:hAnsi="Tahoma" w:cs="Tahoma"/>
          <w:b/>
          <w:bCs/>
          <w:color w:val="000000" w:themeColor="text1"/>
        </w:rPr>
        <w:t>Priority: Work with Residents, Communities and Businesses to Prevent Crime and Anti-Social Behaviour</w:t>
      </w:r>
    </w:p>
    <w:p w14:paraId="7B977434" w14:textId="30D018D9" w:rsidR="000B653D" w:rsidRDefault="000B653D" w:rsidP="00725EDF">
      <w:pPr>
        <w:pStyle w:val="ListParagraph"/>
        <w:spacing w:after="0" w:line="240" w:lineRule="auto"/>
        <w:ind w:left="0"/>
        <w:rPr>
          <w:rFonts w:ascii="Tahoma" w:hAnsi="Tahoma" w:cs="Tahoma"/>
          <w:b/>
          <w:bCs/>
          <w:color w:val="000000" w:themeColor="text1"/>
          <w:u w:val="single"/>
        </w:rPr>
      </w:pPr>
    </w:p>
    <w:p w14:paraId="158F01ED" w14:textId="77777777" w:rsidR="00BB67F8" w:rsidRPr="00A77A10" w:rsidRDefault="00BB67F8" w:rsidP="00BB67F8">
      <w:pPr>
        <w:pStyle w:val="Style2"/>
        <w:numPr>
          <w:ilvl w:val="0"/>
          <w:numId w:val="0"/>
        </w:numPr>
        <w:spacing w:after="0" w:line="240" w:lineRule="auto"/>
        <w:rPr>
          <w:b/>
          <w:bCs/>
          <w:color w:val="000000" w:themeColor="text1"/>
        </w:rPr>
      </w:pPr>
      <w:r w:rsidRPr="00A77A10">
        <w:rPr>
          <w:b/>
          <w:bCs/>
          <w:color w:val="000000" w:themeColor="text1"/>
        </w:rPr>
        <w:t>All Crime</w:t>
      </w:r>
    </w:p>
    <w:p w14:paraId="2A499D6B" w14:textId="77777777" w:rsidR="00BB67F8" w:rsidRPr="00725EDF" w:rsidRDefault="00BB67F8" w:rsidP="00BB67F8">
      <w:pPr>
        <w:pStyle w:val="Style2"/>
        <w:numPr>
          <w:ilvl w:val="0"/>
          <w:numId w:val="0"/>
        </w:numPr>
        <w:spacing w:after="0" w:line="240" w:lineRule="auto"/>
        <w:rPr>
          <w:color w:val="000000" w:themeColor="text1"/>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3AA34C0E" w14:textId="77777777" w:rsidTr="004F4D6F">
        <w:trPr>
          <w:trHeight w:val="351"/>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28CDD0"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color w:val="000000"/>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96C8A63"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color w:val="000000"/>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405F267"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color w:val="000000"/>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3310540"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color w:val="000000"/>
              </w:rPr>
              <w:t>Number change</w:t>
            </w:r>
          </w:p>
        </w:tc>
      </w:tr>
      <w:tr w:rsidR="00BB67F8" w:rsidRPr="007979B4" w14:paraId="6ACEAAB9"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25A98CD4"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April 2021 - March 2022</w:t>
            </w:r>
          </w:p>
        </w:tc>
        <w:tc>
          <w:tcPr>
            <w:tcW w:w="2149" w:type="dxa"/>
            <w:tcBorders>
              <w:top w:val="nil"/>
              <w:left w:val="nil"/>
              <w:bottom w:val="single" w:sz="4" w:space="0" w:color="auto"/>
              <w:right w:val="single" w:sz="4" w:space="0" w:color="auto"/>
            </w:tcBorders>
            <w:shd w:val="clear" w:color="auto" w:fill="auto"/>
            <w:hideMark/>
          </w:tcPr>
          <w:p w14:paraId="748C6F63"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180838</w:t>
            </w:r>
          </w:p>
        </w:tc>
        <w:tc>
          <w:tcPr>
            <w:tcW w:w="2149" w:type="dxa"/>
            <w:tcBorders>
              <w:top w:val="nil"/>
              <w:left w:val="nil"/>
              <w:bottom w:val="single" w:sz="4" w:space="0" w:color="auto"/>
              <w:right w:val="single" w:sz="4" w:space="0" w:color="auto"/>
            </w:tcBorders>
            <w:shd w:val="clear" w:color="auto" w:fill="auto"/>
            <w:noWrap/>
            <w:hideMark/>
          </w:tcPr>
          <w:p w14:paraId="4A9A2904"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9.4%</w:t>
            </w:r>
          </w:p>
        </w:tc>
        <w:tc>
          <w:tcPr>
            <w:tcW w:w="2149" w:type="dxa"/>
            <w:tcBorders>
              <w:top w:val="nil"/>
              <w:left w:val="nil"/>
              <w:bottom w:val="single" w:sz="4" w:space="0" w:color="auto"/>
              <w:right w:val="single" w:sz="4" w:space="0" w:color="auto"/>
            </w:tcBorders>
            <w:shd w:val="clear" w:color="auto" w:fill="auto"/>
            <w:noWrap/>
            <w:hideMark/>
          </w:tcPr>
          <w:p w14:paraId="172468A1"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15470</w:t>
            </w:r>
          </w:p>
        </w:tc>
      </w:tr>
      <w:tr w:rsidR="00BB67F8" w:rsidRPr="007979B4" w14:paraId="6C0B8971"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15786AEE"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April 2022 - March 2023</w:t>
            </w:r>
          </w:p>
        </w:tc>
        <w:tc>
          <w:tcPr>
            <w:tcW w:w="2149" w:type="dxa"/>
            <w:tcBorders>
              <w:top w:val="nil"/>
              <w:left w:val="nil"/>
              <w:bottom w:val="single" w:sz="4" w:space="0" w:color="auto"/>
              <w:right w:val="single" w:sz="4" w:space="0" w:color="auto"/>
            </w:tcBorders>
            <w:shd w:val="clear" w:color="auto" w:fill="auto"/>
            <w:noWrap/>
            <w:hideMark/>
          </w:tcPr>
          <w:p w14:paraId="47AAD958"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174487</w:t>
            </w:r>
          </w:p>
        </w:tc>
        <w:tc>
          <w:tcPr>
            <w:tcW w:w="2149" w:type="dxa"/>
            <w:tcBorders>
              <w:top w:val="nil"/>
              <w:left w:val="nil"/>
              <w:bottom w:val="single" w:sz="4" w:space="0" w:color="auto"/>
              <w:right w:val="single" w:sz="4" w:space="0" w:color="auto"/>
            </w:tcBorders>
            <w:shd w:val="clear" w:color="auto" w:fill="auto"/>
            <w:noWrap/>
            <w:hideMark/>
          </w:tcPr>
          <w:p w14:paraId="0060D73F"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-3.5%</w:t>
            </w:r>
          </w:p>
        </w:tc>
        <w:tc>
          <w:tcPr>
            <w:tcW w:w="2149" w:type="dxa"/>
            <w:tcBorders>
              <w:top w:val="nil"/>
              <w:left w:val="nil"/>
              <w:bottom w:val="single" w:sz="4" w:space="0" w:color="auto"/>
              <w:right w:val="single" w:sz="4" w:space="0" w:color="auto"/>
            </w:tcBorders>
            <w:shd w:val="clear" w:color="auto" w:fill="auto"/>
            <w:noWrap/>
            <w:hideMark/>
          </w:tcPr>
          <w:p w14:paraId="1E2E29EF"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-6351</w:t>
            </w:r>
          </w:p>
        </w:tc>
      </w:tr>
      <w:tr w:rsidR="00BB67F8" w:rsidRPr="007979B4" w14:paraId="33E8B305"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11A4B78E"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April 2023 - March 2024</w:t>
            </w:r>
          </w:p>
        </w:tc>
        <w:tc>
          <w:tcPr>
            <w:tcW w:w="2149" w:type="dxa"/>
            <w:tcBorders>
              <w:top w:val="nil"/>
              <w:left w:val="nil"/>
              <w:bottom w:val="single" w:sz="4" w:space="0" w:color="auto"/>
              <w:right w:val="single" w:sz="4" w:space="0" w:color="auto"/>
            </w:tcBorders>
            <w:shd w:val="clear" w:color="auto" w:fill="auto"/>
            <w:noWrap/>
            <w:hideMark/>
          </w:tcPr>
          <w:p w14:paraId="77226DAB"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165945</w:t>
            </w:r>
          </w:p>
        </w:tc>
        <w:tc>
          <w:tcPr>
            <w:tcW w:w="2149" w:type="dxa"/>
            <w:tcBorders>
              <w:top w:val="nil"/>
              <w:left w:val="nil"/>
              <w:bottom w:val="single" w:sz="4" w:space="0" w:color="auto"/>
              <w:right w:val="single" w:sz="4" w:space="0" w:color="auto"/>
            </w:tcBorders>
            <w:shd w:val="clear" w:color="auto" w:fill="auto"/>
            <w:noWrap/>
            <w:hideMark/>
          </w:tcPr>
          <w:p w14:paraId="7ED623F7"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-4.9%</w:t>
            </w:r>
          </w:p>
        </w:tc>
        <w:tc>
          <w:tcPr>
            <w:tcW w:w="2149" w:type="dxa"/>
            <w:tcBorders>
              <w:top w:val="nil"/>
              <w:left w:val="nil"/>
              <w:bottom w:val="single" w:sz="4" w:space="0" w:color="auto"/>
              <w:right w:val="single" w:sz="4" w:space="0" w:color="auto"/>
            </w:tcBorders>
            <w:shd w:val="clear" w:color="auto" w:fill="auto"/>
            <w:noWrap/>
            <w:hideMark/>
          </w:tcPr>
          <w:p w14:paraId="782EBBD4"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-8542</w:t>
            </w:r>
          </w:p>
        </w:tc>
      </w:tr>
      <w:tr w:rsidR="00BB67F8" w:rsidRPr="007979B4" w14:paraId="0829D1DE"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01289C2A"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April 2024 - March 2025</w:t>
            </w:r>
          </w:p>
        </w:tc>
        <w:tc>
          <w:tcPr>
            <w:tcW w:w="2149" w:type="dxa"/>
            <w:tcBorders>
              <w:top w:val="single" w:sz="4" w:space="0" w:color="auto"/>
              <w:left w:val="nil"/>
              <w:bottom w:val="single" w:sz="4" w:space="0" w:color="auto"/>
              <w:right w:val="single" w:sz="4" w:space="0" w:color="auto"/>
            </w:tcBorders>
            <w:shd w:val="clear" w:color="auto" w:fill="auto"/>
            <w:noWrap/>
            <w:hideMark/>
          </w:tcPr>
          <w:p w14:paraId="0DFBA677"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161621</w:t>
            </w:r>
          </w:p>
        </w:tc>
        <w:tc>
          <w:tcPr>
            <w:tcW w:w="2149" w:type="dxa"/>
            <w:tcBorders>
              <w:top w:val="single" w:sz="4" w:space="0" w:color="auto"/>
              <w:left w:val="nil"/>
              <w:bottom w:val="single" w:sz="4" w:space="0" w:color="auto"/>
              <w:right w:val="single" w:sz="4" w:space="0" w:color="auto"/>
            </w:tcBorders>
            <w:shd w:val="clear" w:color="auto" w:fill="auto"/>
            <w:noWrap/>
            <w:hideMark/>
          </w:tcPr>
          <w:p w14:paraId="0A2DE758"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-2.6%</w:t>
            </w:r>
          </w:p>
        </w:tc>
        <w:tc>
          <w:tcPr>
            <w:tcW w:w="2149" w:type="dxa"/>
            <w:tcBorders>
              <w:top w:val="single" w:sz="4" w:space="0" w:color="auto"/>
              <w:left w:val="nil"/>
              <w:bottom w:val="single" w:sz="4" w:space="0" w:color="auto"/>
              <w:right w:val="single" w:sz="4" w:space="0" w:color="auto"/>
            </w:tcBorders>
            <w:shd w:val="clear" w:color="auto" w:fill="auto"/>
            <w:noWrap/>
            <w:hideMark/>
          </w:tcPr>
          <w:p w14:paraId="1E10DE38" w14:textId="77777777" w:rsidR="00BB67F8" w:rsidRPr="007979B4" w:rsidRDefault="00BB67F8" w:rsidP="004F4D6F">
            <w:pPr>
              <w:spacing w:after="0" w:line="240" w:lineRule="auto"/>
              <w:rPr>
                <w:rFonts w:ascii="Tahoma" w:hAnsi="Tahoma" w:cs="Tahoma"/>
                <w:color w:val="000000"/>
              </w:rPr>
            </w:pPr>
            <w:r w:rsidRPr="007979B4">
              <w:rPr>
                <w:rFonts w:ascii="Tahoma" w:hAnsi="Tahoma" w:cs="Tahoma"/>
              </w:rPr>
              <w:t>-4324</w:t>
            </w:r>
          </w:p>
        </w:tc>
      </w:tr>
      <w:tr w:rsidR="00BB67F8" w:rsidRPr="007979B4" w14:paraId="482106D6"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4764E05E" w14:textId="77777777" w:rsidR="00BB67F8" w:rsidRPr="007979B4" w:rsidRDefault="00BB67F8" w:rsidP="004F4D6F">
            <w:pPr>
              <w:spacing w:after="0" w:line="240" w:lineRule="auto"/>
              <w:rPr>
                <w:rFonts w:ascii="Tahoma" w:hAnsi="Tahoma" w:cs="Tahoma"/>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04004683" w14:textId="77777777" w:rsidR="00BB67F8" w:rsidRPr="007979B4" w:rsidRDefault="00BB67F8" w:rsidP="004F4D6F">
            <w:pPr>
              <w:spacing w:after="0" w:line="240" w:lineRule="auto"/>
              <w:rPr>
                <w:rFonts w:ascii="Tahoma" w:hAnsi="Tahoma" w:cs="Tahoma"/>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199DCEFB" w14:textId="77777777" w:rsidR="00BB67F8" w:rsidRPr="007979B4" w:rsidRDefault="00BB67F8" w:rsidP="004F4D6F">
            <w:pPr>
              <w:spacing w:after="0" w:line="240" w:lineRule="auto"/>
              <w:rPr>
                <w:rFonts w:ascii="Tahoma" w:hAnsi="Tahoma" w:cs="Tahoma"/>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561A4049" w14:textId="77777777" w:rsidR="00BB67F8" w:rsidRPr="007979B4" w:rsidRDefault="00BB67F8" w:rsidP="004F4D6F">
            <w:pPr>
              <w:spacing w:after="0" w:line="240" w:lineRule="auto"/>
              <w:rPr>
                <w:rFonts w:ascii="Tahoma" w:hAnsi="Tahoma" w:cs="Tahoma"/>
              </w:rPr>
            </w:pPr>
          </w:p>
        </w:tc>
      </w:tr>
      <w:tr w:rsidR="00BB67F8" w:rsidRPr="007979B4" w14:paraId="30713D77"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3610232C" w14:textId="77777777" w:rsidR="00BB67F8" w:rsidRPr="00725EDF" w:rsidRDefault="00BB67F8" w:rsidP="004F4D6F">
            <w:pPr>
              <w:spacing w:after="0" w:line="240" w:lineRule="auto"/>
              <w:rPr>
                <w:rFonts w:ascii="Tahoma" w:hAnsi="Tahoma" w:cs="Tahoma"/>
                <w:b/>
                <w:bCs/>
              </w:rPr>
            </w:pPr>
            <w:r w:rsidRPr="00725EDF">
              <w:rPr>
                <w:rFonts w:ascii="Tahoma" w:hAnsi="Tahoma" w:cs="Tahoma"/>
                <w:b/>
                <w:bCs/>
              </w:rPr>
              <w:t>4 year</w:t>
            </w:r>
            <w:r>
              <w:rPr>
                <w:rFonts w:ascii="Tahoma" w:hAnsi="Tahoma" w:cs="Tahoma"/>
                <w:b/>
                <w:bCs/>
              </w:rPr>
              <w:t>s’</w:t>
            </w:r>
            <w:r w:rsidRPr="00725EDF">
              <w:rPr>
                <w:rFonts w:ascii="Tahoma" w:hAnsi="Tahoma" w:cs="Tahoma"/>
                <w:b/>
                <w:bCs/>
              </w:rPr>
              <w:t xml:space="preserve">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24222A40" w14:textId="77777777" w:rsidR="00BB67F8" w:rsidRPr="00725EDF" w:rsidRDefault="00BB67F8" w:rsidP="004F4D6F">
            <w:pPr>
              <w:spacing w:after="0" w:line="240" w:lineRule="auto"/>
              <w:rPr>
                <w:rFonts w:ascii="Tahoma" w:hAnsi="Tahoma" w:cs="Tahoma"/>
                <w:b/>
                <w:bCs/>
              </w:rPr>
            </w:pPr>
            <w:r w:rsidRPr="00725EDF">
              <w:rPr>
                <w:rFonts w:ascii="Tahoma" w:hAnsi="Tahoma" w:cs="Tahoma"/>
                <w:b/>
                <w:bCs/>
              </w:rPr>
              <w:t>-10.6%</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4DBB95DE" w14:textId="77777777" w:rsidR="00BB67F8" w:rsidRPr="00725EDF" w:rsidRDefault="00BB67F8" w:rsidP="004F4D6F">
            <w:pPr>
              <w:spacing w:after="0" w:line="240" w:lineRule="auto"/>
              <w:rPr>
                <w:rFonts w:ascii="Tahoma" w:hAnsi="Tahoma" w:cs="Tahoma"/>
                <w:b/>
                <w:bCs/>
              </w:rPr>
            </w:pPr>
            <w:r w:rsidRPr="00725EDF">
              <w:rPr>
                <w:rFonts w:ascii="Tahoma" w:hAnsi="Tahoma" w:cs="Tahoma"/>
                <w:b/>
                <w:bCs/>
              </w:rPr>
              <w:t>-19217</w:t>
            </w:r>
          </w:p>
        </w:tc>
      </w:tr>
    </w:tbl>
    <w:p w14:paraId="034FD394" w14:textId="77777777" w:rsidR="00BB67F8" w:rsidRPr="007979B4" w:rsidRDefault="00BB67F8" w:rsidP="00BB67F8">
      <w:pPr>
        <w:spacing w:after="0" w:line="240" w:lineRule="auto"/>
        <w:rPr>
          <w:rFonts w:ascii="Tahoma" w:hAnsi="Tahoma" w:cs="Tahoma"/>
          <w:color w:val="000000"/>
        </w:rPr>
      </w:pPr>
    </w:p>
    <w:p w14:paraId="287483F9" w14:textId="77777777" w:rsidR="00BB67F8" w:rsidRPr="007979B4" w:rsidRDefault="00BB67F8" w:rsidP="00BB67F8">
      <w:pPr>
        <w:pStyle w:val="Style2"/>
        <w:numPr>
          <w:ilvl w:val="0"/>
          <w:numId w:val="0"/>
        </w:numPr>
        <w:spacing w:after="0" w:line="240" w:lineRule="auto"/>
        <w:rPr>
          <w:color w:val="000000" w:themeColor="text1"/>
          <w:u w:val="none"/>
        </w:rPr>
      </w:pPr>
      <w:r w:rsidRPr="007979B4">
        <w:rPr>
          <w:noProof/>
          <w:color w:val="000000" w:themeColor="text1"/>
          <w:u w:val="none"/>
        </w:rPr>
        <w:drawing>
          <wp:inline distT="0" distB="0" distL="0" distR="0" wp14:anchorId="405CB148" wp14:editId="4B14CE63">
            <wp:extent cx="5619750" cy="2451100"/>
            <wp:effectExtent l="0" t="0" r="0" b="6350"/>
            <wp:docPr id="1242828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2451100"/>
                    </a:xfrm>
                    <a:prstGeom prst="rect">
                      <a:avLst/>
                    </a:prstGeom>
                    <a:noFill/>
                  </pic:spPr>
                </pic:pic>
              </a:graphicData>
            </a:graphic>
          </wp:inline>
        </w:drawing>
      </w:r>
    </w:p>
    <w:p w14:paraId="18F7AB92" w14:textId="77777777" w:rsidR="00BB67F8" w:rsidRPr="007979B4" w:rsidRDefault="00BB67F8" w:rsidP="00BB67F8">
      <w:pPr>
        <w:pStyle w:val="Style2"/>
        <w:numPr>
          <w:ilvl w:val="0"/>
          <w:numId w:val="0"/>
        </w:numPr>
        <w:spacing w:after="0" w:line="240" w:lineRule="auto"/>
        <w:rPr>
          <w:color w:val="000000" w:themeColor="text1"/>
          <w:u w:val="none"/>
        </w:rPr>
      </w:pPr>
    </w:p>
    <w:p w14:paraId="707DCEC9" w14:textId="77777777" w:rsidR="00BB67F8" w:rsidRPr="007979B4" w:rsidRDefault="00BB67F8" w:rsidP="00BB67F8">
      <w:pPr>
        <w:pStyle w:val="Style2"/>
        <w:numPr>
          <w:ilvl w:val="0"/>
          <w:numId w:val="0"/>
        </w:numPr>
        <w:spacing w:after="0" w:line="240" w:lineRule="auto"/>
        <w:rPr>
          <w:u w:val="none"/>
        </w:rPr>
      </w:pPr>
      <w:r w:rsidRPr="007979B4">
        <w:rPr>
          <w:u w:val="none"/>
        </w:rPr>
        <w:t>Over the 4 year</w:t>
      </w:r>
      <w:r>
        <w:rPr>
          <w:u w:val="none"/>
        </w:rPr>
        <w:t>s’</w:t>
      </w:r>
      <w:r w:rsidRPr="007979B4">
        <w:rPr>
          <w:u w:val="none"/>
        </w:rPr>
        <w:t xml:space="preserve"> period, All Crime has experienced a -10.6% decrease with 19,217 less crimes. The financial year</w:t>
      </w:r>
      <w:r>
        <w:rPr>
          <w:u w:val="none"/>
        </w:rPr>
        <w:t xml:space="preserve"> 2024/25</w:t>
      </w:r>
      <w:r w:rsidRPr="007979B4">
        <w:rPr>
          <w:u w:val="none"/>
        </w:rPr>
        <w:t xml:space="preserve"> has seen a -2.6% decrease</w:t>
      </w:r>
      <w:r>
        <w:rPr>
          <w:u w:val="none"/>
        </w:rPr>
        <w:t xml:space="preserve"> (</w:t>
      </w:r>
      <w:r w:rsidRPr="007979B4">
        <w:rPr>
          <w:u w:val="none"/>
        </w:rPr>
        <w:t>4,324 less offences</w:t>
      </w:r>
      <w:r>
        <w:rPr>
          <w:u w:val="none"/>
        </w:rPr>
        <w:t>)</w:t>
      </w:r>
      <w:r w:rsidRPr="007979B4">
        <w:rPr>
          <w:u w:val="none"/>
        </w:rPr>
        <w:t>. The peak quarter is usually July to September but for July to September 2024 there was a slight reduction when compared to April to June 2024. Lower volumes are experienced in the second half of each financial year with January to March consistently recording the lowest volumes.</w:t>
      </w:r>
    </w:p>
    <w:p w14:paraId="2572F18D" w14:textId="77777777" w:rsidR="00BB67F8" w:rsidRPr="007979B4" w:rsidRDefault="00BB67F8" w:rsidP="00BB67F8">
      <w:pPr>
        <w:pStyle w:val="Style2"/>
        <w:numPr>
          <w:ilvl w:val="0"/>
          <w:numId w:val="0"/>
        </w:numPr>
        <w:spacing w:after="0" w:line="240" w:lineRule="auto"/>
        <w:rPr>
          <w:color w:val="FF0000"/>
          <w:u w:val="none"/>
        </w:rPr>
      </w:pPr>
    </w:p>
    <w:p w14:paraId="45A983DE" w14:textId="77777777" w:rsidR="00BB67F8" w:rsidRPr="007979B4" w:rsidRDefault="00BB67F8" w:rsidP="00BB67F8">
      <w:pPr>
        <w:pStyle w:val="Style2"/>
        <w:numPr>
          <w:ilvl w:val="0"/>
          <w:numId w:val="0"/>
        </w:numPr>
        <w:spacing w:after="0" w:line="240" w:lineRule="auto"/>
        <w:rPr>
          <w:u w:val="none"/>
        </w:rPr>
      </w:pPr>
      <w:r>
        <w:rPr>
          <w:u w:val="none"/>
        </w:rPr>
        <w:t>Crimes Against Society have seen a reduction for the 4 years’ period (-14.0%, -3,669 offences) but sees a slight increase for 2024/25 (+0.8%, +190 offences).  Drugs offences saw the largest increase within this, up 23.3% (1,196 more offences).  It should be noted that the increase can be attributed to enhanced proactive policing activity and therefore levels and trends should not be considered a measure of criminal activity.</w:t>
      </w:r>
    </w:p>
    <w:p w14:paraId="1334A6BB" w14:textId="77777777" w:rsidR="00BB67F8" w:rsidRPr="007979B4" w:rsidRDefault="00BB67F8" w:rsidP="00BB67F8">
      <w:pPr>
        <w:pStyle w:val="Style2"/>
        <w:numPr>
          <w:ilvl w:val="0"/>
          <w:numId w:val="0"/>
        </w:numPr>
        <w:spacing w:after="0" w:line="240" w:lineRule="auto"/>
        <w:rPr>
          <w:color w:val="FF0000"/>
          <w:u w:val="none"/>
        </w:rPr>
      </w:pPr>
    </w:p>
    <w:p w14:paraId="65ED078F" w14:textId="125B322E" w:rsidR="00BB67F8" w:rsidRPr="007979B4" w:rsidRDefault="00BB67F8" w:rsidP="00BB67F8">
      <w:pPr>
        <w:pStyle w:val="Style2"/>
        <w:numPr>
          <w:ilvl w:val="0"/>
          <w:numId w:val="0"/>
        </w:numPr>
        <w:spacing w:after="0" w:line="240" w:lineRule="auto"/>
        <w:rPr>
          <w:u w:val="none"/>
        </w:rPr>
      </w:pPr>
      <w:r>
        <w:rPr>
          <w:u w:val="none"/>
        </w:rPr>
        <w:t>When comparing the most recent financial year periods for All Crime, 8.8% more suspects have been arrested and interviewed (+3,710). The All Crime Solved Rate for 2024/25 was 15.1%; an increase of 2.9% from 12.2% last year. Increases have been seen in charges (+1,293 charges) and Community Resolutions (+2,957 CRs), however there have been reductions in Adult Cautions (-50) and Youth Cautions (-79) being administered.</w:t>
      </w:r>
    </w:p>
    <w:p w14:paraId="5147D88F" w14:textId="77777777" w:rsidR="00BB67F8" w:rsidRDefault="00BB67F8" w:rsidP="00BB67F8">
      <w:pPr>
        <w:pStyle w:val="Style2"/>
        <w:numPr>
          <w:ilvl w:val="0"/>
          <w:numId w:val="0"/>
        </w:numPr>
        <w:spacing w:after="0" w:line="240" w:lineRule="auto"/>
        <w:rPr>
          <w:b/>
          <w:bCs/>
          <w:color w:val="FF0000"/>
          <w:u w:val="none"/>
        </w:rPr>
      </w:pPr>
    </w:p>
    <w:p w14:paraId="4C4BB719" w14:textId="77777777" w:rsidR="00BB67F8" w:rsidRPr="00A77A10" w:rsidRDefault="00BB67F8" w:rsidP="00BB67F8">
      <w:pPr>
        <w:pStyle w:val="Style2"/>
        <w:numPr>
          <w:ilvl w:val="0"/>
          <w:numId w:val="0"/>
        </w:numPr>
        <w:spacing w:after="0" w:line="240" w:lineRule="auto"/>
        <w:rPr>
          <w:b/>
          <w:bCs/>
        </w:rPr>
      </w:pPr>
      <w:r w:rsidRPr="00A77A10">
        <w:rPr>
          <w:b/>
          <w:bCs/>
        </w:rPr>
        <w:t>Victim Based Crime</w:t>
      </w:r>
    </w:p>
    <w:p w14:paraId="0FBC090F" w14:textId="77777777" w:rsidR="00BB67F8" w:rsidRPr="007979B4" w:rsidRDefault="00BB67F8" w:rsidP="00BB67F8">
      <w:pPr>
        <w:pStyle w:val="Style2"/>
        <w:numPr>
          <w:ilvl w:val="0"/>
          <w:numId w:val="0"/>
        </w:numPr>
        <w:spacing w:after="0" w:line="240" w:lineRule="auto"/>
        <w:rPr>
          <w:b/>
          <w:bCs/>
          <w:u w:val="none"/>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0197D10F"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B44929"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E677307" w14:textId="77777777" w:rsidR="00BB67F8" w:rsidRPr="007979B4" w:rsidRDefault="00BB67F8" w:rsidP="004F4D6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1B491CF"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74A89DD"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1A713163"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383BE3F9"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6CA591C9"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154608</w:t>
            </w:r>
          </w:p>
        </w:tc>
        <w:tc>
          <w:tcPr>
            <w:tcW w:w="2149" w:type="dxa"/>
            <w:tcBorders>
              <w:top w:val="nil"/>
              <w:left w:val="nil"/>
              <w:bottom w:val="single" w:sz="8" w:space="0" w:color="auto"/>
              <w:right w:val="single" w:sz="8" w:space="0" w:color="auto"/>
            </w:tcBorders>
            <w:shd w:val="clear" w:color="auto" w:fill="auto"/>
            <w:noWrap/>
            <w:vAlign w:val="center"/>
          </w:tcPr>
          <w:p w14:paraId="26D6B88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10.3%</w:t>
            </w:r>
          </w:p>
        </w:tc>
        <w:tc>
          <w:tcPr>
            <w:tcW w:w="2149" w:type="dxa"/>
            <w:tcBorders>
              <w:top w:val="nil"/>
              <w:left w:val="nil"/>
              <w:bottom w:val="single" w:sz="8" w:space="0" w:color="auto"/>
              <w:right w:val="single" w:sz="8" w:space="0" w:color="auto"/>
            </w:tcBorders>
            <w:shd w:val="clear" w:color="auto" w:fill="auto"/>
            <w:noWrap/>
            <w:vAlign w:val="center"/>
          </w:tcPr>
          <w:p w14:paraId="16717A6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14436</w:t>
            </w:r>
          </w:p>
        </w:tc>
      </w:tr>
      <w:tr w:rsidR="00BB67F8" w:rsidRPr="007979B4" w14:paraId="72FCBE40"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03805B64"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6E3EB62F"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150153</w:t>
            </w:r>
          </w:p>
        </w:tc>
        <w:tc>
          <w:tcPr>
            <w:tcW w:w="2149" w:type="dxa"/>
            <w:tcBorders>
              <w:top w:val="nil"/>
              <w:left w:val="nil"/>
              <w:bottom w:val="single" w:sz="8" w:space="0" w:color="auto"/>
              <w:right w:val="single" w:sz="8" w:space="0" w:color="auto"/>
            </w:tcBorders>
            <w:shd w:val="clear" w:color="auto" w:fill="auto"/>
            <w:noWrap/>
            <w:vAlign w:val="center"/>
          </w:tcPr>
          <w:p w14:paraId="76E02561"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-2.9%</w:t>
            </w:r>
          </w:p>
        </w:tc>
        <w:tc>
          <w:tcPr>
            <w:tcW w:w="2149" w:type="dxa"/>
            <w:tcBorders>
              <w:top w:val="nil"/>
              <w:left w:val="nil"/>
              <w:bottom w:val="single" w:sz="8" w:space="0" w:color="auto"/>
              <w:right w:val="single" w:sz="8" w:space="0" w:color="auto"/>
            </w:tcBorders>
            <w:shd w:val="clear" w:color="auto" w:fill="auto"/>
            <w:noWrap/>
            <w:vAlign w:val="center"/>
          </w:tcPr>
          <w:p w14:paraId="1006E14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-4455</w:t>
            </w:r>
          </w:p>
        </w:tc>
      </w:tr>
      <w:tr w:rsidR="00BB67F8" w:rsidRPr="007979B4" w14:paraId="547ABC83"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651B8134"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6B388DB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143574</w:t>
            </w:r>
          </w:p>
        </w:tc>
        <w:tc>
          <w:tcPr>
            <w:tcW w:w="2149" w:type="dxa"/>
            <w:tcBorders>
              <w:top w:val="nil"/>
              <w:left w:val="nil"/>
              <w:bottom w:val="single" w:sz="8" w:space="0" w:color="auto"/>
              <w:right w:val="single" w:sz="8" w:space="0" w:color="auto"/>
            </w:tcBorders>
            <w:shd w:val="clear" w:color="auto" w:fill="auto"/>
            <w:noWrap/>
            <w:vAlign w:val="center"/>
          </w:tcPr>
          <w:p w14:paraId="73A19FE9"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-4.4%</w:t>
            </w:r>
          </w:p>
        </w:tc>
        <w:tc>
          <w:tcPr>
            <w:tcW w:w="2149" w:type="dxa"/>
            <w:tcBorders>
              <w:top w:val="nil"/>
              <w:left w:val="nil"/>
              <w:bottom w:val="single" w:sz="8" w:space="0" w:color="auto"/>
              <w:right w:val="single" w:sz="8" w:space="0" w:color="auto"/>
            </w:tcBorders>
            <w:shd w:val="clear" w:color="auto" w:fill="auto"/>
            <w:noWrap/>
            <w:vAlign w:val="center"/>
          </w:tcPr>
          <w:p w14:paraId="1A80A65B"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-6579</w:t>
            </w:r>
          </w:p>
        </w:tc>
      </w:tr>
      <w:tr w:rsidR="00BB67F8" w:rsidRPr="007979B4" w14:paraId="41AC85F9"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039EC410"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7CD43E7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139060</w:t>
            </w:r>
          </w:p>
        </w:tc>
        <w:tc>
          <w:tcPr>
            <w:tcW w:w="2149" w:type="dxa"/>
            <w:tcBorders>
              <w:top w:val="nil"/>
              <w:left w:val="nil"/>
              <w:bottom w:val="single" w:sz="8" w:space="0" w:color="auto"/>
              <w:right w:val="single" w:sz="8" w:space="0" w:color="auto"/>
            </w:tcBorders>
            <w:shd w:val="clear" w:color="auto" w:fill="auto"/>
            <w:noWrap/>
            <w:vAlign w:val="center"/>
          </w:tcPr>
          <w:p w14:paraId="756CBB29"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-3.1%</w:t>
            </w:r>
          </w:p>
        </w:tc>
        <w:tc>
          <w:tcPr>
            <w:tcW w:w="2149" w:type="dxa"/>
            <w:tcBorders>
              <w:top w:val="nil"/>
              <w:left w:val="nil"/>
              <w:bottom w:val="single" w:sz="8" w:space="0" w:color="auto"/>
              <w:right w:val="single" w:sz="8" w:space="0" w:color="auto"/>
            </w:tcBorders>
            <w:shd w:val="clear" w:color="auto" w:fill="auto"/>
            <w:noWrap/>
            <w:vAlign w:val="center"/>
          </w:tcPr>
          <w:p w14:paraId="6754F79F"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-4514</w:t>
            </w:r>
          </w:p>
        </w:tc>
      </w:tr>
      <w:tr w:rsidR="00BB67F8" w:rsidRPr="007979B4" w14:paraId="560C56E6"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129C7AED"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182484EE"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4C0C6618"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12B57313" w14:textId="77777777" w:rsidR="00BB67F8" w:rsidRPr="007979B4" w:rsidRDefault="00BB67F8" w:rsidP="004F4D6F">
            <w:pPr>
              <w:spacing w:after="0" w:line="240" w:lineRule="auto"/>
              <w:rPr>
                <w:rFonts w:ascii="Tahoma" w:hAnsi="Tahoma" w:cs="Tahoma"/>
                <w:color w:val="FF0000"/>
              </w:rPr>
            </w:pPr>
          </w:p>
        </w:tc>
      </w:tr>
      <w:tr w:rsidR="00BB67F8" w:rsidRPr="007979B4" w14:paraId="4217F23B"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326E9BD5" w14:textId="77777777" w:rsidR="00BB67F8" w:rsidRPr="00A77A10" w:rsidRDefault="00BB67F8" w:rsidP="004F4D6F">
            <w:pPr>
              <w:spacing w:after="0" w:line="240" w:lineRule="auto"/>
              <w:rPr>
                <w:rFonts w:ascii="Tahoma" w:hAnsi="Tahoma" w:cs="Tahoma"/>
                <w:b/>
                <w:bCs/>
                <w:color w:val="FF0000"/>
              </w:rPr>
            </w:pPr>
            <w:r w:rsidRPr="00A77A10">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585D11E5" w14:textId="77777777" w:rsidR="00BB67F8" w:rsidRPr="00A77A10" w:rsidRDefault="00BB67F8" w:rsidP="004F4D6F">
            <w:pPr>
              <w:spacing w:after="0" w:line="240" w:lineRule="auto"/>
              <w:rPr>
                <w:rFonts w:ascii="Tahoma" w:hAnsi="Tahoma" w:cs="Tahoma"/>
                <w:b/>
                <w:bCs/>
              </w:rPr>
            </w:pPr>
            <w:r w:rsidRPr="00A77A10">
              <w:rPr>
                <w:rFonts w:ascii="Tahoma" w:hAnsi="Tahoma" w:cs="Tahoma"/>
                <w:b/>
                <w:bCs/>
              </w:rPr>
              <w:t>-10.1%</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05845E07" w14:textId="77777777" w:rsidR="00BB67F8" w:rsidRPr="00A77A10" w:rsidRDefault="00BB67F8" w:rsidP="004F4D6F">
            <w:pPr>
              <w:spacing w:after="0" w:line="240" w:lineRule="auto"/>
              <w:rPr>
                <w:rFonts w:ascii="Tahoma" w:hAnsi="Tahoma" w:cs="Tahoma"/>
                <w:b/>
                <w:bCs/>
              </w:rPr>
            </w:pPr>
            <w:r w:rsidRPr="00A77A10">
              <w:rPr>
                <w:rFonts w:ascii="Tahoma" w:hAnsi="Tahoma" w:cs="Tahoma"/>
                <w:b/>
                <w:bCs/>
              </w:rPr>
              <w:t>-15548</w:t>
            </w:r>
          </w:p>
        </w:tc>
      </w:tr>
    </w:tbl>
    <w:p w14:paraId="2BB4AA69" w14:textId="77777777" w:rsidR="00BB67F8" w:rsidRPr="007979B4" w:rsidRDefault="00BB67F8" w:rsidP="00BB67F8">
      <w:pPr>
        <w:spacing w:after="0" w:line="240" w:lineRule="auto"/>
        <w:rPr>
          <w:rFonts w:ascii="Tahoma" w:hAnsi="Tahoma" w:cs="Tahoma"/>
          <w:color w:val="FF0000"/>
        </w:rPr>
      </w:pPr>
    </w:p>
    <w:p w14:paraId="4CFA43FA"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noProof/>
          <w:color w:val="FF0000"/>
        </w:rPr>
        <w:drawing>
          <wp:inline distT="0" distB="0" distL="0" distR="0" wp14:anchorId="7C46CE9B" wp14:editId="43710DE3">
            <wp:extent cx="5613400" cy="2146300"/>
            <wp:effectExtent l="0" t="0" r="6350" b="6350"/>
            <wp:docPr id="510887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400" cy="2146300"/>
                    </a:xfrm>
                    <a:prstGeom prst="rect">
                      <a:avLst/>
                    </a:prstGeom>
                    <a:noFill/>
                  </pic:spPr>
                </pic:pic>
              </a:graphicData>
            </a:graphic>
          </wp:inline>
        </w:drawing>
      </w:r>
    </w:p>
    <w:p w14:paraId="380EB2C0" w14:textId="77777777" w:rsidR="00BB67F8" w:rsidRPr="007979B4" w:rsidRDefault="00BB67F8" w:rsidP="00BB67F8">
      <w:pPr>
        <w:spacing w:after="0" w:line="240" w:lineRule="auto"/>
        <w:rPr>
          <w:rFonts w:ascii="Tahoma" w:hAnsi="Tahoma" w:cs="Tahoma"/>
          <w:color w:val="FF0000"/>
        </w:rPr>
      </w:pPr>
    </w:p>
    <w:p w14:paraId="26EC3CEE" w14:textId="77777777" w:rsidR="00BB67F8" w:rsidRPr="007979B4" w:rsidRDefault="00BB67F8" w:rsidP="00BB67F8">
      <w:pPr>
        <w:spacing w:after="0" w:line="240" w:lineRule="auto"/>
        <w:rPr>
          <w:rFonts w:ascii="Tahoma" w:hAnsi="Tahoma" w:cs="Tahoma"/>
        </w:rPr>
      </w:pPr>
      <w:r w:rsidRPr="007979B4">
        <w:rPr>
          <w:rFonts w:ascii="Tahoma" w:hAnsi="Tahoma" w:cs="Tahoma"/>
        </w:rPr>
        <w:t>Victim Based Crime (VBC) has experienced a decrease of -10.1%</w:t>
      </w:r>
      <w:r>
        <w:rPr>
          <w:rFonts w:ascii="Tahoma" w:hAnsi="Tahoma" w:cs="Tahoma"/>
        </w:rPr>
        <w:t xml:space="preserve"> (</w:t>
      </w:r>
      <w:r w:rsidRPr="007979B4">
        <w:rPr>
          <w:rFonts w:ascii="Tahoma" w:hAnsi="Tahoma" w:cs="Tahoma"/>
        </w:rPr>
        <w:t>15,548 less offences</w:t>
      </w:r>
      <w:r>
        <w:rPr>
          <w:rFonts w:ascii="Tahoma" w:hAnsi="Tahoma" w:cs="Tahoma"/>
        </w:rPr>
        <w:t>)</w:t>
      </w:r>
      <w:r w:rsidRPr="007979B4">
        <w:rPr>
          <w:rFonts w:ascii="Tahoma" w:hAnsi="Tahoma" w:cs="Tahoma"/>
        </w:rPr>
        <w:t xml:space="preserve"> over the 4 year</w:t>
      </w:r>
      <w:r>
        <w:rPr>
          <w:rFonts w:ascii="Tahoma" w:hAnsi="Tahoma" w:cs="Tahoma"/>
        </w:rPr>
        <w:t>s’</w:t>
      </w:r>
      <w:r w:rsidRPr="007979B4">
        <w:rPr>
          <w:rFonts w:ascii="Tahoma" w:hAnsi="Tahoma" w:cs="Tahoma"/>
        </w:rPr>
        <w:t xml:space="preserve"> period. </w:t>
      </w:r>
      <w:r>
        <w:rPr>
          <w:rFonts w:ascii="Tahoma" w:hAnsi="Tahoma" w:cs="Tahoma"/>
        </w:rPr>
        <w:t>2024/25</w:t>
      </w:r>
      <w:r w:rsidRPr="007979B4">
        <w:rPr>
          <w:rFonts w:ascii="Tahoma" w:hAnsi="Tahoma" w:cs="Tahoma"/>
        </w:rPr>
        <w:t xml:space="preserve"> s</w:t>
      </w:r>
      <w:r>
        <w:rPr>
          <w:rFonts w:ascii="Tahoma" w:hAnsi="Tahoma" w:cs="Tahoma"/>
        </w:rPr>
        <w:t>aw</w:t>
      </w:r>
      <w:r w:rsidRPr="007979B4">
        <w:rPr>
          <w:rFonts w:ascii="Tahoma" w:hAnsi="Tahoma" w:cs="Tahoma"/>
        </w:rPr>
        <w:t xml:space="preserve"> a reduction of -3.1%</w:t>
      </w:r>
      <w:r>
        <w:rPr>
          <w:rFonts w:ascii="Tahoma" w:hAnsi="Tahoma" w:cs="Tahoma"/>
        </w:rPr>
        <w:t xml:space="preserve"> (</w:t>
      </w:r>
      <w:r w:rsidRPr="007979B4">
        <w:rPr>
          <w:rFonts w:ascii="Tahoma" w:hAnsi="Tahoma" w:cs="Tahoma"/>
        </w:rPr>
        <w:t>4,514 less offences</w:t>
      </w:r>
      <w:r>
        <w:rPr>
          <w:rFonts w:ascii="Tahoma" w:hAnsi="Tahoma" w:cs="Tahoma"/>
        </w:rPr>
        <w:t>)</w:t>
      </w:r>
      <w:r w:rsidRPr="007979B4">
        <w:rPr>
          <w:rFonts w:ascii="Tahoma" w:hAnsi="Tahoma" w:cs="Tahoma"/>
        </w:rPr>
        <w:t xml:space="preserve">. VBC follows the same trend as All </w:t>
      </w:r>
      <w:r>
        <w:rPr>
          <w:rFonts w:ascii="Tahoma" w:hAnsi="Tahoma" w:cs="Tahoma"/>
        </w:rPr>
        <w:t>C</w:t>
      </w:r>
      <w:r w:rsidRPr="007979B4">
        <w:rPr>
          <w:rFonts w:ascii="Tahoma" w:hAnsi="Tahoma" w:cs="Tahoma"/>
        </w:rPr>
        <w:t>rime with peaks in July to September</w:t>
      </w:r>
      <w:r>
        <w:rPr>
          <w:rFonts w:ascii="Tahoma" w:hAnsi="Tahoma" w:cs="Tahoma"/>
        </w:rPr>
        <w:t>,</w:t>
      </w:r>
      <w:r w:rsidRPr="007979B4">
        <w:rPr>
          <w:rFonts w:ascii="Tahoma" w:hAnsi="Tahoma" w:cs="Tahoma"/>
        </w:rPr>
        <w:t xml:space="preserve"> excluding July to September 2024</w:t>
      </w:r>
      <w:r>
        <w:rPr>
          <w:rFonts w:ascii="Tahoma" w:hAnsi="Tahoma" w:cs="Tahoma"/>
        </w:rPr>
        <w:t>,</w:t>
      </w:r>
      <w:r w:rsidRPr="007979B4">
        <w:rPr>
          <w:rFonts w:ascii="Tahoma" w:hAnsi="Tahoma" w:cs="Tahoma"/>
        </w:rPr>
        <w:t xml:space="preserve"> </w:t>
      </w:r>
      <w:r>
        <w:rPr>
          <w:rFonts w:ascii="Tahoma" w:hAnsi="Tahoma" w:cs="Tahoma"/>
        </w:rPr>
        <w:t xml:space="preserve">with the </w:t>
      </w:r>
      <w:r w:rsidRPr="007979B4">
        <w:rPr>
          <w:rFonts w:ascii="Tahoma" w:hAnsi="Tahoma" w:cs="Tahoma"/>
        </w:rPr>
        <w:t>lowest volumes in January to March.</w:t>
      </w:r>
    </w:p>
    <w:p w14:paraId="4FEA2D62" w14:textId="77777777" w:rsidR="00BB67F8" w:rsidRPr="007979B4" w:rsidRDefault="00BB67F8" w:rsidP="00BB67F8">
      <w:pPr>
        <w:spacing w:after="0" w:line="240" w:lineRule="auto"/>
        <w:rPr>
          <w:rFonts w:ascii="Tahoma" w:hAnsi="Tahoma" w:cs="Tahoma"/>
          <w:color w:val="FF0000"/>
        </w:rPr>
      </w:pPr>
    </w:p>
    <w:p w14:paraId="65DBE7E9" w14:textId="77777777" w:rsidR="00BB67F8" w:rsidRDefault="00BB67F8" w:rsidP="00BB67F8">
      <w:pPr>
        <w:spacing w:after="0" w:line="240" w:lineRule="auto"/>
        <w:rPr>
          <w:rFonts w:ascii="Tahoma" w:hAnsi="Tahoma" w:cs="Tahoma"/>
        </w:rPr>
      </w:pPr>
      <w:r>
        <w:rPr>
          <w:rFonts w:ascii="Tahoma" w:hAnsi="Tahoma" w:cs="Tahoma"/>
        </w:rPr>
        <w:t>During 2024/25, there were</w:t>
      </w:r>
      <w:r w:rsidRPr="007979B4">
        <w:rPr>
          <w:rFonts w:ascii="Tahoma" w:hAnsi="Tahoma" w:cs="Tahoma"/>
        </w:rPr>
        <w:t xml:space="preserve"> 7.5% more suspects arrested and interviewed (+2,473) compared to the previous year, resulting in a 2.5</w:t>
      </w:r>
      <w:r>
        <w:rPr>
          <w:rFonts w:ascii="Tahoma" w:hAnsi="Tahoma" w:cs="Tahoma"/>
        </w:rPr>
        <w:t>%</w:t>
      </w:r>
      <w:r w:rsidRPr="007979B4">
        <w:rPr>
          <w:rFonts w:ascii="Tahoma" w:hAnsi="Tahoma" w:cs="Tahoma"/>
        </w:rPr>
        <w:t xml:space="preserve"> increase in the rate of suspects arrested </w:t>
      </w:r>
      <w:r w:rsidRPr="007979B4">
        <w:rPr>
          <w:rFonts w:ascii="Tahoma" w:hAnsi="Tahoma" w:cs="Tahoma"/>
        </w:rPr>
        <w:lastRenderedPageBreak/>
        <w:t xml:space="preserve">and interviewed to 25.4%. The VBC Solved Rate for </w:t>
      </w:r>
      <w:r>
        <w:rPr>
          <w:rFonts w:ascii="Tahoma" w:hAnsi="Tahoma" w:cs="Tahoma"/>
        </w:rPr>
        <w:t>2024/25</w:t>
      </w:r>
      <w:r w:rsidRPr="007979B4">
        <w:rPr>
          <w:rFonts w:ascii="Tahoma" w:hAnsi="Tahoma" w:cs="Tahoma"/>
        </w:rPr>
        <w:t xml:space="preserve"> was 12.4%</w:t>
      </w:r>
      <w:r>
        <w:rPr>
          <w:rFonts w:ascii="Tahoma" w:hAnsi="Tahoma" w:cs="Tahoma"/>
        </w:rPr>
        <w:t>;</w:t>
      </w:r>
      <w:r w:rsidRPr="007979B4">
        <w:rPr>
          <w:rFonts w:ascii="Tahoma" w:hAnsi="Tahoma" w:cs="Tahoma"/>
        </w:rPr>
        <w:t xml:space="preserve"> an increase of 2.3</w:t>
      </w:r>
      <w:r>
        <w:rPr>
          <w:rFonts w:ascii="Tahoma" w:hAnsi="Tahoma" w:cs="Tahoma"/>
        </w:rPr>
        <w:t>%</w:t>
      </w:r>
      <w:r w:rsidRPr="007979B4">
        <w:rPr>
          <w:rFonts w:ascii="Tahoma" w:hAnsi="Tahoma" w:cs="Tahoma"/>
        </w:rPr>
        <w:t xml:space="preserve"> from the 10.1% last year.</w:t>
      </w:r>
      <w:r>
        <w:rPr>
          <w:rFonts w:ascii="Tahoma" w:hAnsi="Tahoma" w:cs="Tahoma"/>
        </w:rPr>
        <w:t xml:space="preserve">  </w:t>
      </w:r>
      <w:r w:rsidRPr="007979B4">
        <w:rPr>
          <w:rFonts w:ascii="Tahoma" w:hAnsi="Tahoma" w:cs="Tahoma"/>
        </w:rPr>
        <w:t>Following the trend</w:t>
      </w:r>
      <w:r>
        <w:rPr>
          <w:rFonts w:ascii="Tahoma" w:hAnsi="Tahoma" w:cs="Tahoma"/>
        </w:rPr>
        <w:t xml:space="preserve"> within</w:t>
      </w:r>
      <w:r w:rsidRPr="007979B4">
        <w:rPr>
          <w:rFonts w:ascii="Tahoma" w:hAnsi="Tahoma" w:cs="Tahoma"/>
        </w:rPr>
        <w:t xml:space="preserve"> All </w:t>
      </w:r>
      <w:r>
        <w:rPr>
          <w:rFonts w:ascii="Tahoma" w:hAnsi="Tahoma" w:cs="Tahoma"/>
        </w:rPr>
        <w:t>C</w:t>
      </w:r>
      <w:r w:rsidRPr="007979B4">
        <w:rPr>
          <w:rFonts w:ascii="Tahoma" w:hAnsi="Tahoma" w:cs="Tahoma"/>
        </w:rPr>
        <w:t xml:space="preserve">rime, there have been increased charges (+915) and </w:t>
      </w:r>
      <w:r>
        <w:rPr>
          <w:rFonts w:ascii="Tahoma" w:hAnsi="Tahoma" w:cs="Tahoma"/>
        </w:rPr>
        <w:t>CRs</w:t>
      </w:r>
      <w:r w:rsidRPr="007979B4">
        <w:rPr>
          <w:rFonts w:ascii="Tahoma" w:hAnsi="Tahoma" w:cs="Tahoma"/>
        </w:rPr>
        <w:t xml:space="preserve"> (+1,947) with reductions in Adult Cautions (-10) and Youth Cautions (-76) being administered.</w:t>
      </w:r>
    </w:p>
    <w:p w14:paraId="344ECAE1" w14:textId="77777777" w:rsidR="00BB67F8" w:rsidRDefault="00BB67F8" w:rsidP="00BB67F8">
      <w:pPr>
        <w:spacing w:after="0" w:line="240" w:lineRule="auto"/>
        <w:rPr>
          <w:rFonts w:ascii="Tahoma" w:hAnsi="Tahoma" w:cs="Tahoma"/>
        </w:rPr>
      </w:pPr>
    </w:p>
    <w:p w14:paraId="11F17B24" w14:textId="77777777" w:rsidR="00BB67F8" w:rsidRPr="00701EA1" w:rsidRDefault="00BB67F8" w:rsidP="00BB67F8">
      <w:pPr>
        <w:pStyle w:val="Style2"/>
        <w:numPr>
          <w:ilvl w:val="0"/>
          <w:numId w:val="0"/>
        </w:numPr>
        <w:spacing w:after="0" w:line="240" w:lineRule="auto"/>
        <w:rPr>
          <w:b/>
          <w:bCs/>
        </w:rPr>
      </w:pPr>
      <w:r w:rsidRPr="00701EA1">
        <w:rPr>
          <w:b/>
          <w:bCs/>
        </w:rPr>
        <w:t>Anti-Social Behaviour</w:t>
      </w:r>
    </w:p>
    <w:p w14:paraId="780DD7CF" w14:textId="77777777" w:rsidR="00BB67F8" w:rsidRPr="007979B4" w:rsidRDefault="00BB67F8" w:rsidP="00BB67F8">
      <w:pPr>
        <w:pStyle w:val="Style2"/>
        <w:numPr>
          <w:ilvl w:val="0"/>
          <w:numId w:val="0"/>
        </w:numPr>
        <w:spacing w:after="0" w:line="240" w:lineRule="auto"/>
        <w:rPr>
          <w:b/>
          <w:bCs/>
          <w:u w:val="none"/>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3329025E"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1D2832"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79BD3B6" w14:textId="68A6DFCE" w:rsidR="00BB67F8" w:rsidRPr="007979B4" w:rsidRDefault="00BB67F8" w:rsidP="004F4D6F">
            <w:pPr>
              <w:spacing w:after="0" w:line="240" w:lineRule="auto"/>
              <w:rPr>
                <w:rFonts w:ascii="Tahoma" w:hAnsi="Tahoma" w:cs="Tahoma"/>
              </w:rPr>
            </w:pPr>
            <w:r w:rsidRPr="007979B4">
              <w:rPr>
                <w:rFonts w:ascii="Tahoma" w:hAnsi="Tahoma" w:cs="Tahoma"/>
              </w:rPr>
              <w:t xml:space="preserve">Recorded </w:t>
            </w:r>
            <w:r w:rsidR="00711385">
              <w:rPr>
                <w:rFonts w:ascii="Tahoma" w:hAnsi="Tahoma" w:cs="Tahoma"/>
              </w:rPr>
              <w:t>Incidents</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015ED3E"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43B5497"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7FE94635"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474C9E00"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61563546"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56915</w:t>
            </w:r>
          </w:p>
        </w:tc>
        <w:tc>
          <w:tcPr>
            <w:tcW w:w="2149" w:type="dxa"/>
            <w:tcBorders>
              <w:top w:val="nil"/>
              <w:left w:val="nil"/>
              <w:bottom w:val="single" w:sz="8" w:space="0" w:color="auto"/>
              <w:right w:val="single" w:sz="8" w:space="0" w:color="auto"/>
            </w:tcBorders>
            <w:shd w:val="clear" w:color="auto" w:fill="auto"/>
            <w:noWrap/>
            <w:vAlign w:val="center"/>
          </w:tcPr>
          <w:p w14:paraId="43469F0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60.5%</w:t>
            </w:r>
          </w:p>
        </w:tc>
        <w:tc>
          <w:tcPr>
            <w:tcW w:w="2149" w:type="dxa"/>
            <w:tcBorders>
              <w:top w:val="nil"/>
              <w:left w:val="nil"/>
              <w:bottom w:val="single" w:sz="8" w:space="0" w:color="auto"/>
              <w:right w:val="single" w:sz="8" w:space="0" w:color="auto"/>
            </w:tcBorders>
            <w:shd w:val="clear" w:color="auto" w:fill="auto"/>
            <w:noWrap/>
            <w:vAlign w:val="center"/>
          </w:tcPr>
          <w:p w14:paraId="074F151A"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21445</w:t>
            </w:r>
          </w:p>
        </w:tc>
      </w:tr>
      <w:tr w:rsidR="00BB67F8" w:rsidRPr="007979B4" w14:paraId="4159215E"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33374F33"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6BE6196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32640</w:t>
            </w:r>
          </w:p>
        </w:tc>
        <w:tc>
          <w:tcPr>
            <w:tcW w:w="2149" w:type="dxa"/>
            <w:tcBorders>
              <w:top w:val="nil"/>
              <w:left w:val="nil"/>
              <w:bottom w:val="single" w:sz="8" w:space="0" w:color="auto"/>
              <w:right w:val="single" w:sz="8" w:space="0" w:color="auto"/>
            </w:tcBorders>
            <w:shd w:val="clear" w:color="auto" w:fill="auto"/>
            <w:noWrap/>
            <w:vAlign w:val="center"/>
          </w:tcPr>
          <w:p w14:paraId="7568DE3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-42.7%</w:t>
            </w:r>
          </w:p>
        </w:tc>
        <w:tc>
          <w:tcPr>
            <w:tcW w:w="2149" w:type="dxa"/>
            <w:tcBorders>
              <w:top w:val="nil"/>
              <w:left w:val="nil"/>
              <w:bottom w:val="single" w:sz="8" w:space="0" w:color="auto"/>
              <w:right w:val="single" w:sz="8" w:space="0" w:color="auto"/>
            </w:tcBorders>
            <w:shd w:val="clear" w:color="auto" w:fill="auto"/>
            <w:noWrap/>
            <w:vAlign w:val="center"/>
          </w:tcPr>
          <w:p w14:paraId="532158D1"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-24275</w:t>
            </w:r>
          </w:p>
        </w:tc>
      </w:tr>
      <w:tr w:rsidR="00BB67F8" w:rsidRPr="007979B4" w14:paraId="5995A474"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1361EC04"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2EA8194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28523</w:t>
            </w:r>
          </w:p>
        </w:tc>
        <w:tc>
          <w:tcPr>
            <w:tcW w:w="2149" w:type="dxa"/>
            <w:tcBorders>
              <w:top w:val="nil"/>
              <w:left w:val="nil"/>
              <w:bottom w:val="single" w:sz="8" w:space="0" w:color="auto"/>
              <w:right w:val="single" w:sz="8" w:space="0" w:color="auto"/>
            </w:tcBorders>
            <w:shd w:val="clear" w:color="auto" w:fill="auto"/>
            <w:noWrap/>
            <w:vAlign w:val="center"/>
          </w:tcPr>
          <w:p w14:paraId="01DE07F2"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-12.6%</w:t>
            </w:r>
          </w:p>
        </w:tc>
        <w:tc>
          <w:tcPr>
            <w:tcW w:w="2149" w:type="dxa"/>
            <w:tcBorders>
              <w:top w:val="nil"/>
              <w:left w:val="nil"/>
              <w:bottom w:val="single" w:sz="8" w:space="0" w:color="auto"/>
              <w:right w:val="single" w:sz="8" w:space="0" w:color="auto"/>
            </w:tcBorders>
            <w:shd w:val="clear" w:color="auto" w:fill="auto"/>
            <w:noWrap/>
            <w:vAlign w:val="center"/>
          </w:tcPr>
          <w:p w14:paraId="3DE371E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-4117</w:t>
            </w:r>
          </w:p>
        </w:tc>
      </w:tr>
      <w:tr w:rsidR="00BB67F8" w:rsidRPr="007979B4" w14:paraId="2BFD2850"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5CD2D872"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1FC6733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27131</w:t>
            </w:r>
          </w:p>
        </w:tc>
        <w:tc>
          <w:tcPr>
            <w:tcW w:w="2149" w:type="dxa"/>
            <w:tcBorders>
              <w:top w:val="nil"/>
              <w:left w:val="nil"/>
              <w:bottom w:val="single" w:sz="8" w:space="0" w:color="auto"/>
              <w:right w:val="single" w:sz="8" w:space="0" w:color="auto"/>
            </w:tcBorders>
            <w:shd w:val="clear" w:color="auto" w:fill="auto"/>
            <w:noWrap/>
            <w:vAlign w:val="center"/>
          </w:tcPr>
          <w:p w14:paraId="1B3FE59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-4.9%</w:t>
            </w:r>
          </w:p>
        </w:tc>
        <w:tc>
          <w:tcPr>
            <w:tcW w:w="2149" w:type="dxa"/>
            <w:tcBorders>
              <w:top w:val="nil"/>
              <w:left w:val="nil"/>
              <w:bottom w:val="single" w:sz="8" w:space="0" w:color="auto"/>
              <w:right w:val="single" w:sz="8" w:space="0" w:color="auto"/>
            </w:tcBorders>
            <w:shd w:val="clear" w:color="auto" w:fill="auto"/>
            <w:noWrap/>
            <w:vAlign w:val="center"/>
          </w:tcPr>
          <w:p w14:paraId="7D57CA69"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-1392</w:t>
            </w:r>
          </w:p>
        </w:tc>
      </w:tr>
      <w:tr w:rsidR="00BB67F8" w:rsidRPr="007979B4" w14:paraId="4F9C0BD3"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2A005CCE"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6AF51935"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57D5064E"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225FC883" w14:textId="77777777" w:rsidR="00BB67F8" w:rsidRPr="007979B4" w:rsidRDefault="00BB67F8" w:rsidP="004F4D6F">
            <w:pPr>
              <w:spacing w:after="0" w:line="240" w:lineRule="auto"/>
              <w:rPr>
                <w:rFonts w:ascii="Tahoma" w:hAnsi="Tahoma" w:cs="Tahoma"/>
                <w:color w:val="FF0000"/>
              </w:rPr>
            </w:pPr>
          </w:p>
        </w:tc>
      </w:tr>
      <w:tr w:rsidR="00BB67F8" w:rsidRPr="007979B4" w14:paraId="3DE57C46"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307E8D5F" w14:textId="77777777" w:rsidR="00BB67F8" w:rsidRPr="00701EA1" w:rsidRDefault="00BB67F8" w:rsidP="004F4D6F">
            <w:pPr>
              <w:spacing w:after="0" w:line="240" w:lineRule="auto"/>
              <w:rPr>
                <w:rFonts w:ascii="Tahoma" w:hAnsi="Tahoma" w:cs="Tahoma"/>
                <w:b/>
                <w:bCs/>
                <w:color w:val="FF0000"/>
              </w:rPr>
            </w:pPr>
            <w:r w:rsidRPr="00701EA1">
              <w:rPr>
                <w:rFonts w:ascii="Tahoma" w:hAnsi="Tahoma" w:cs="Tahoma"/>
                <w:b/>
                <w:bCs/>
              </w:rPr>
              <w:t>4 year</w:t>
            </w:r>
            <w:r>
              <w:rPr>
                <w:rFonts w:ascii="Tahoma" w:hAnsi="Tahoma" w:cs="Tahoma"/>
                <w:b/>
                <w:bCs/>
              </w:rPr>
              <w:t>s’</w:t>
            </w:r>
            <w:r w:rsidRPr="00701EA1">
              <w:rPr>
                <w:rFonts w:ascii="Tahoma" w:hAnsi="Tahoma" w:cs="Tahoma"/>
                <w:b/>
                <w:bCs/>
              </w:rPr>
              <w:t xml:space="preserve">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020248B0" w14:textId="77777777" w:rsidR="00BB67F8" w:rsidRPr="00701EA1" w:rsidRDefault="00BB67F8" w:rsidP="004F4D6F">
            <w:pPr>
              <w:spacing w:after="0" w:line="240" w:lineRule="auto"/>
              <w:rPr>
                <w:rFonts w:ascii="Tahoma" w:hAnsi="Tahoma" w:cs="Tahoma"/>
                <w:b/>
                <w:bCs/>
              </w:rPr>
            </w:pPr>
            <w:r w:rsidRPr="00701EA1">
              <w:rPr>
                <w:rFonts w:ascii="Tahoma" w:hAnsi="Tahoma" w:cs="Tahoma"/>
                <w:b/>
                <w:bCs/>
              </w:rPr>
              <w:t>-52.3%</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2CAB2CE1" w14:textId="77777777" w:rsidR="00BB67F8" w:rsidRPr="00701EA1" w:rsidRDefault="00BB67F8" w:rsidP="004F4D6F">
            <w:pPr>
              <w:spacing w:after="0" w:line="240" w:lineRule="auto"/>
              <w:rPr>
                <w:rFonts w:ascii="Tahoma" w:hAnsi="Tahoma" w:cs="Tahoma"/>
                <w:b/>
                <w:bCs/>
              </w:rPr>
            </w:pPr>
            <w:r w:rsidRPr="00701EA1">
              <w:rPr>
                <w:rFonts w:ascii="Tahoma" w:hAnsi="Tahoma" w:cs="Tahoma"/>
                <w:b/>
                <w:bCs/>
              </w:rPr>
              <w:t>-29784</w:t>
            </w:r>
          </w:p>
        </w:tc>
      </w:tr>
    </w:tbl>
    <w:p w14:paraId="27DD4D51" w14:textId="77777777" w:rsidR="00BB67F8" w:rsidRPr="007979B4" w:rsidRDefault="00BB67F8" w:rsidP="00BB67F8">
      <w:pPr>
        <w:spacing w:after="0" w:line="240" w:lineRule="auto"/>
        <w:rPr>
          <w:rFonts w:ascii="Tahoma" w:hAnsi="Tahoma" w:cs="Tahoma"/>
          <w:color w:val="FF0000"/>
        </w:rPr>
      </w:pPr>
    </w:p>
    <w:p w14:paraId="6FEBE5A1"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noProof/>
          <w:color w:val="FF0000"/>
        </w:rPr>
        <w:drawing>
          <wp:inline distT="0" distB="0" distL="0" distR="0" wp14:anchorId="224EBE13" wp14:editId="41DEA257">
            <wp:extent cx="5632450" cy="2247900"/>
            <wp:effectExtent l="0" t="0" r="6350" b="0"/>
            <wp:docPr id="3747620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2450" cy="2247900"/>
                    </a:xfrm>
                    <a:prstGeom prst="rect">
                      <a:avLst/>
                    </a:prstGeom>
                    <a:noFill/>
                  </pic:spPr>
                </pic:pic>
              </a:graphicData>
            </a:graphic>
          </wp:inline>
        </w:drawing>
      </w:r>
    </w:p>
    <w:p w14:paraId="47D53D16" w14:textId="77777777" w:rsidR="00BB67F8" w:rsidRPr="007979B4" w:rsidRDefault="00BB67F8" w:rsidP="00BB67F8">
      <w:pPr>
        <w:spacing w:after="0" w:line="240" w:lineRule="auto"/>
        <w:rPr>
          <w:rFonts w:ascii="Tahoma" w:hAnsi="Tahoma" w:cs="Tahoma"/>
        </w:rPr>
      </w:pPr>
    </w:p>
    <w:p w14:paraId="5A954889" w14:textId="54423BF0" w:rsidR="00BB67F8" w:rsidRPr="007979B4" w:rsidRDefault="00BB67F8" w:rsidP="00BB67F8">
      <w:pPr>
        <w:spacing w:after="0" w:line="240" w:lineRule="auto"/>
        <w:rPr>
          <w:rFonts w:ascii="Tahoma" w:hAnsi="Tahoma" w:cs="Tahoma"/>
        </w:rPr>
      </w:pPr>
      <w:r w:rsidRPr="007979B4">
        <w:rPr>
          <w:rFonts w:ascii="Tahoma" w:hAnsi="Tahoma" w:cs="Tahoma"/>
        </w:rPr>
        <w:t>Over the 4 year</w:t>
      </w:r>
      <w:r>
        <w:rPr>
          <w:rFonts w:ascii="Tahoma" w:hAnsi="Tahoma" w:cs="Tahoma"/>
        </w:rPr>
        <w:t>s’</w:t>
      </w:r>
      <w:r w:rsidRPr="007979B4">
        <w:rPr>
          <w:rFonts w:ascii="Tahoma" w:hAnsi="Tahoma" w:cs="Tahoma"/>
        </w:rPr>
        <w:t xml:space="preserve"> period, ASB has experienced a decrease of -52.3% </w:t>
      </w:r>
      <w:r>
        <w:rPr>
          <w:rFonts w:ascii="Tahoma" w:hAnsi="Tahoma" w:cs="Tahoma"/>
        </w:rPr>
        <w:t>(</w:t>
      </w:r>
      <w:r w:rsidRPr="007979B4">
        <w:rPr>
          <w:rFonts w:ascii="Tahoma" w:hAnsi="Tahoma" w:cs="Tahoma"/>
        </w:rPr>
        <w:t>29,784 less incidents</w:t>
      </w:r>
      <w:r>
        <w:rPr>
          <w:rFonts w:ascii="Tahoma" w:hAnsi="Tahoma" w:cs="Tahoma"/>
        </w:rPr>
        <w:t>)</w:t>
      </w:r>
      <w:r w:rsidRPr="007979B4">
        <w:rPr>
          <w:rFonts w:ascii="Tahoma" w:hAnsi="Tahoma" w:cs="Tahoma"/>
        </w:rPr>
        <w:t>. This large reduction is attributable to April</w:t>
      </w:r>
      <w:r>
        <w:rPr>
          <w:rFonts w:ascii="Tahoma" w:hAnsi="Tahoma" w:cs="Tahoma"/>
        </w:rPr>
        <w:t xml:space="preserve"> </w:t>
      </w:r>
      <w:r w:rsidRPr="007979B4">
        <w:rPr>
          <w:rFonts w:ascii="Tahoma" w:hAnsi="Tahoma" w:cs="Tahoma"/>
        </w:rPr>
        <w:t>to September 2021</w:t>
      </w:r>
      <w:r>
        <w:rPr>
          <w:rFonts w:ascii="Tahoma" w:hAnsi="Tahoma" w:cs="Tahoma"/>
        </w:rPr>
        <w:t xml:space="preserve">, whereby the </w:t>
      </w:r>
      <w:r w:rsidRPr="007979B4">
        <w:rPr>
          <w:rFonts w:ascii="Tahoma" w:hAnsi="Tahoma" w:cs="Tahoma"/>
        </w:rPr>
        <w:t>inclusion of Covid-19 related incidents result</w:t>
      </w:r>
      <w:r>
        <w:rPr>
          <w:rFonts w:ascii="Tahoma" w:hAnsi="Tahoma" w:cs="Tahoma"/>
        </w:rPr>
        <w:t>ed</w:t>
      </w:r>
      <w:r w:rsidRPr="007979B4">
        <w:rPr>
          <w:rFonts w:ascii="Tahoma" w:hAnsi="Tahoma" w:cs="Tahoma"/>
        </w:rPr>
        <w:t xml:space="preserve"> in higher volumes. </w:t>
      </w:r>
      <w:r>
        <w:rPr>
          <w:rFonts w:ascii="Tahoma" w:hAnsi="Tahoma" w:cs="Tahoma"/>
        </w:rPr>
        <w:t xml:space="preserve">During 2024/25, there has been </w:t>
      </w:r>
      <w:r w:rsidRPr="007979B4">
        <w:rPr>
          <w:rFonts w:ascii="Tahoma" w:hAnsi="Tahoma" w:cs="Tahoma"/>
        </w:rPr>
        <w:t>a -4.9% decrease (-1,392 incidents) compared to the previous financial year. ASB incidents experience a seasonal trend with higher volumes from April to September. The three most recent financial year periods see average monthly volumes of around 2,300 offences</w:t>
      </w:r>
      <w:r>
        <w:rPr>
          <w:rFonts w:ascii="Tahoma" w:hAnsi="Tahoma" w:cs="Tahoma"/>
        </w:rPr>
        <w:t xml:space="preserve">, </w:t>
      </w:r>
      <w:r w:rsidRPr="007979B4">
        <w:rPr>
          <w:rFonts w:ascii="Tahoma" w:hAnsi="Tahoma" w:cs="Tahoma"/>
        </w:rPr>
        <w:t>which is lower than the average of 2,900 per month prior to Covid-19 and national lockdowns.</w:t>
      </w:r>
    </w:p>
    <w:p w14:paraId="2C0C9DEA" w14:textId="77777777" w:rsidR="00BB67F8" w:rsidRPr="007979B4" w:rsidRDefault="00BB67F8" w:rsidP="00BB67F8">
      <w:pPr>
        <w:spacing w:after="0" w:line="240" w:lineRule="auto"/>
        <w:rPr>
          <w:rFonts w:ascii="Tahoma" w:hAnsi="Tahoma" w:cs="Tahoma"/>
          <w:color w:val="FF0000"/>
        </w:rPr>
      </w:pPr>
    </w:p>
    <w:p w14:paraId="7B12F44B" w14:textId="77777777" w:rsidR="00BB67F8" w:rsidRPr="007979B4" w:rsidRDefault="3E5863F0" w:rsidP="00BB67F8">
      <w:pPr>
        <w:spacing w:after="0" w:line="240" w:lineRule="auto"/>
        <w:rPr>
          <w:rFonts w:ascii="Tahoma" w:hAnsi="Tahoma" w:cs="Tahoma"/>
        </w:rPr>
      </w:pPr>
      <w:r w:rsidRPr="1D7D8BE7">
        <w:rPr>
          <w:rFonts w:ascii="Tahoma" w:hAnsi="Tahoma" w:cs="Tahoma"/>
        </w:rPr>
        <w:t>The 3 types of ASB that accounted for the highest proportion of incidents during 2024/25 were:</w:t>
      </w:r>
    </w:p>
    <w:p w14:paraId="2132DCBB" w14:textId="77777777" w:rsidR="00BB67F8" w:rsidRPr="007979B4" w:rsidRDefault="00BB67F8" w:rsidP="00461ACC">
      <w:pPr>
        <w:pStyle w:val="ListParagraph"/>
        <w:numPr>
          <w:ilvl w:val="0"/>
          <w:numId w:val="2"/>
        </w:numPr>
        <w:spacing w:after="0" w:line="240" w:lineRule="auto"/>
        <w:rPr>
          <w:rFonts w:ascii="Tahoma" w:hAnsi="Tahoma" w:cs="Tahoma"/>
        </w:rPr>
      </w:pPr>
      <w:r w:rsidRPr="007979B4">
        <w:rPr>
          <w:rFonts w:ascii="Tahoma" w:hAnsi="Tahoma" w:cs="Tahoma"/>
        </w:rPr>
        <w:t xml:space="preserve">Rowdy or Nuisance Gathering in </w:t>
      </w:r>
      <w:r>
        <w:rPr>
          <w:rFonts w:ascii="Tahoma" w:hAnsi="Tahoma" w:cs="Tahoma"/>
        </w:rPr>
        <w:t>P</w:t>
      </w:r>
      <w:r w:rsidRPr="007979B4">
        <w:rPr>
          <w:rFonts w:ascii="Tahoma" w:hAnsi="Tahoma" w:cs="Tahoma"/>
        </w:rPr>
        <w:t>ublic/</w:t>
      </w:r>
      <w:r>
        <w:rPr>
          <w:rFonts w:ascii="Tahoma" w:hAnsi="Tahoma" w:cs="Tahoma"/>
        </w:rPr>
        <w:t>I</w:t>
      </w:r>
      <w:r w:rsidRPr="007979B4">
        <w:rPr>
          <w:rFonts w:ascii="Tahoma" w:hAnsi="Tahoma" w:cs="Tahoma"/>
        </w:rPr>
        <w:t xml:space="preserve">mpeding Public Access </w:t>
      </w:r>
      <w:r>
        <w:rPr>
          <w:rFonts w:ascii="Tahoma" w:hAnsi="Tahoma" w:cs="Tahoma"/>
        </w:rPr>
        <w:t xml:space="preserve">– this </w:t>
      </w:r>
      <w:r w:rsidRPr="007979B4">
        <w:rPr>
          <w:rFonts w:ascii="Tahoma" w:hAnsi="Tahoma" w:cs="Tahoma"/>
        </w:rPr>
        <w:t>account</w:t>
      </w:r>
      <w:r>
        <w:rPr>
          <w:rFonts w:ascii="Tahoma" w:hAnsi="Tahoma" w:cs="Tahoma"/>
        </w:rPr>
        <w:t>ed</w:t>
      </w:r>
      <w:r w:rsidRPr="007979B4">
        <w:rPr>
          <w:rFonts w:ascii="Tahoma" w:hAnsi="Tahoma" w:cs="Tahoma"/>
        </w:rPr>
        <w:t xml:space="preserve"> for 31.4% of total ASB with 8,508 incidents. This is a -10.1% reduction compared to the previous financial year (-959 incidents).</w:t>
      </w:r>
    </w:p>
    <w:p w14:paraId="374AB299" w14:textId="77777777" w:rsidR="00BB67F8" w:rsidRPr="007979B4" w:rsidRDefault="00BB67F8" w:rsidP="00461ACC">
      <w:pPr>
        <w:pStyle w:val="ListParagraph"/>
        <w:numPr>
          <w:ilvl w:val="0"/>
          <w:numId w:val="2"/>
        </w:numPr>
        <w:spacing w:after="0" w:line="240" w:lineRule="auto"/>
        <w:rPr>
          <w:rFonts w:ascii="Tahoma" w:hAnsi="Tahoma" w:cs="Tahoma"/>
        </w:rPr>
      </w:pPr>
      <w:r w:rsidRPr="007979B4">
        <w:rPr>
          <w:rFonts w:ascii="Tahoma" w:hAnsi="Tahoma" w:cs="Tahoma"/>
        </w:rPr>
        <w:t>Drunken or Rowdy Behaviour account</w:t>
      </w:r>
      <w:r>
        <w:rPr>
          <w:rFonts w:ascii="Tahoma" w:hAnsi="Tahoma" w:cs="Tahoma"/>
        </w:rPr>
        <w:t>ed</w:t>
      </w:r>
      <w:r w:rsidRPr="007979B4">
        <w:rPr>
          <w:rFonts w:ascii="Tahoma" w:hAnsi="Tahoma" w:cs="Tahoma"/>
        </w:rPr>
        <w:t xml:space="preserve"> for 21.5% of total ASB with 5,821 incidents</w:t>
      </w:r>
      <w:r>
        <w:rPr>
          <w:rFonts w:ascii="Tahoma" w:hAnsi="Tahoma" w:cs="Tahoma"/>
        </w:rPr>
        <w:t>,</w:t>
      </w:r>
      <w:r w:rsidRPr="007979B4">
        <w:rPr>
          <w:rFonts w:ascii="Tahoma" w:hAnsi="Tahoma" w:cs="Tahoma"/>
        </w:rPr>
        <w:t xml:space="preserve"> which is a 3.3% increase, equating to 186 more incidents compared to the previous financial year.</w:t>
      </w:r>
    </w:p>
    <w:p w14:paraId="47B2680E" w14:textId="77777777" w:rsidR="00BB67F8" w:rsidRPr="007979B4" w:rsidRDefault="00BB67F8" w:rsidP="00461ACC">
      <w:pPr>
        <w:pStyle w:val="ListParagraph"/>
        <w:numPr>
          <w:ilvl w:val="0"/>
          <w:numId w:val="2"/>
        </w:numPr>
        <w:spacing w:after="0" w:line="240" w:lineRule="auto"/>
        <w:rPr>
          <w:rFonts w:ascii="Tahoma" w:hAnsi="Tahoma" w:cs="Tahoma"/>
        </w:rPr>
      </w:pPr>
      <w:r w:rsidRPr="007979B4">
        <w:rPr>
          <w:rFonts w:ascii="Tahoma" w:hAnsi="Tahoma" w:cs="Tahoma"/>
        </w:rPr>
        <w:t xml:space="preserve">Motor Vehicle Nuisance on </w:t>
      </w:r>
      <w:r>
        <w:rPr>
          <w:rFonts w:ascii="Tahoma" w:hAnsi="Tahoma" w:cs="Tahoma"/>
        </w:rPr>
        <w:t>R</w:t>
      </w:r>
      <w:r w:rsidRPr="007979B4">
        <w:rPr>
          <w:rFonts w:ascii="Tahoma" w:hAnsi="Tahoma" w:cs="Tahoma"/>
        </w:rPr>
        <w:t>oad</w:t>
      </w:r>
      <w:r>
        <w:rPr>
          <w:rFonts w:ascii="Tahoma" w:hAnsi="Tahoma" w:cs="Tahoma"/>
        </w:rPr>
        <w:t xml:space="preserve">s, </w:t>
      </w:r>
      <w:r w:rsidRPr="007979B4">
        <w:rPr>
          <w:rFonts w:ascii="Tahoma" w:hAnsi="Tahoma" w:cs="Tahoma"/>
        </w:rPr>
        <w:t>inc</w:t>
      </w:r>
      <w:r>
        <w:rPr>
          <w:rFonts w:ascii="Tahoma" w:hAnsi="Tahoma" w:cs="Tahoma"/>
        </w:rPr>
        <w:t>luding</w:t>
      </w:r>
      <w:r w:rsidRPr="007979B4">
        <w:rPr>
          <w:rFonts w:ascii="Tahoma" w:hAnsi="Tahoma" w:cs="Tahoma"/>
        </w:rPr>
        <w:t xml:space="preserve"> </w:t>
      </w:r>
      <w:r>
        <w:rPr>
          <w:rFonts w:ascii="Tahoma" w:hAnsi="Tahoma" w:cs="Tahoma"/>
        </w:rPr>
        <w:t>N</w:t>
      </w:r>
      <w:r w:rsidRPr="007979B4">
        <w:rPr>
          <w:rFonts w:ascii="Tahoma" w:hAnsi="Tahoma" w:cs="Tahoma"/>
        </w:rPr>
        <w:t xml:space="preserve">oise </w:t>
      </w:r>
      <w:r>
        <w:rPr>
          <w:rFonts w:ascii="Tahoma" w:hAnsi="Tahoma" w:cs="Tahoma"/>
        </w:rPr>
        <w:t>accounted for</w:t>
      </w:r>
      <w:r w:rsidRPr="007979B4">
        <w:rPr>
          <w:rFonts w:ascii="Tahoma" w:hAnsi="Tahoma" w:cs="Tahoma"/>
        </w:rPr>
        <w:t xml:space="preserve"> 4,916 incidents, </w:t>
      </w:r>
      <w:r>
        <w:rPr>
          <w:rFonts w:ascii="Tahoma" w:hAnsi="Tahoma" w:cs="Tahoma"/>
        </w:rPr>
        <w:t>which was</w:t>
      </w:r>
      <w:r w:rsidRPr="007979B4">
        <w:rPr>
          <w:rFonts w:ascii="Tahoma" w:hAnsi="Tahoma" w:cs="Tahoma"/>
        </w:rPr>
        <w:t xml:space="preserve"> 18.1% of </w:t>
      </w:r>
      <w:r>
        <w:rPr>
          <w:rFonts w:ascii="Tahoma" w:hAnsi="Tahoma" w:cs="Tahoma"/>
        </w:rPr>
        <w:t xml:space="preserve">the </w:t>
      </w:r>
      <w:r w:rsidRPr="007979B4">
        <w:rPr>
          <w:rFonts w:ascii="Tahoma" w:hAnsi="Tahoma" w:cs="Tahoma"/>
        </w:rPr>
        <w:t xml:space="preserve">total ASB. </w:t>
      </w:r>
      <w:r>
        <w:rPr>
          <w:rFonts w:ascii="Tahoma" w:hAnsi="Tahoma" w:cs="Tahoma"/>
        </w:rPr>
        <w:t xml:space="preserve">During 2024/25, there was </w:t>
      </w:r>
      <w:r w:rsidRPr="007979B4">
        <w:rPr>
          <w:rFonts w:ascii="Tahoma" w:hAnsi="Tahoma" w:cs="Tahoma"/>
        </w:rPr>
        <w:t>a -9.1% decrease with 493 less incidents compared to the previous financial year.</w:t>
      </w:r>
    </w:p>
    <w:p w14:paraId="5741CA0F" w14:textId="77777777" w:rsidR="00BB67F8" w:rsidRDefault="00BB67F8" w:rsidP="00BB67F8">
      <w:pPr>
        <w:spacing w:after="0" w:line="240" w:lineRule="auto"/>
        <w:rPr>
          <w:rFonts w:ascii="Tahoma" w:hAnsi="Tahoma" w:cs="Tahoma"/>
        </w:rPr>
      </w:pPr>
    </w:p>
    <w:p w14:paraId="5110D3AA" w14:textId="77777777" w:rsidR="00345A7F" w:rsidRDefault="00345A7F" w:rsidP="00BB67F8">
      <w:pPr>
        <w:pStyle w:val="ListParagraph"/>
        <w:spacing w:after="0" w:line="240" w:lineRule="auto"/>
        <w:ind w:left="0"/>
        <w:rPr>
          <w:rFonts w:ascii="Tahoma" w:hAnsi="Tahoma" w:cs="Tahoma"/>
          <w:b/>
          <w:bCs/>
          <w:u w:val="single"/>
        </w:rPr>
      </w:pPr>
    </w:p>
    <w:p w14:paraId="2B160673" w14:textId="77777777" w:rsidR="00345A7F" w:rsidRDefault="00345A7F" w:rsidP="00BB67F8">
      <w:pPr>
        <w:pStyle w:val="ListParagraph"/>
        <w:spacing w:after="0" w:line="240" w:lineRule="auto"/>
        <w:ind w:left="0"/>
        <w:rPr>
          <w:rFonts w:ascii="Tahoma" w:hAnsi="Tahoma" w:cs="Tahoma"/>
          <w:b/>
          <w:bCs/>
          <w:u w:val="single"/>
        </w:rPr>
      </w:pPr>
    </w:p>
    <w:p w14:paraId="0259F99E" w14:textId="0D951367" w:rsidR="00BB67F8" w:rsidRPr="00A77A10" w:rsidRDefault="00BB67F8" w:rsidP="00BB67F8">
      <w:pPr>
        <w:pStyle w:val="ListParagraph"/>
        <w:spacing w:after="0" w:line="240" w:lineRule="auto"/>
        <w:ind w:left="0"/>
        <w:rPr>
          <w:rFonts w:ascii="Tahoma" w:hAnsi="Tahoma" w:cs="Tahoma"/>
          <w:b/>
          <w:bCs/>
          <w:u w:val="single"/>
        </w:rPr>
      </w:pPr>
      <w:r w:rsidRPr="00A77A10">
        <w:rPr>
          <w:rFonts w:ascii="Tahoma" w:hAnsi="Tahoma" w:cs="Tahoma"/>
          <w:b/>
          <w:bCs/>
          <w:u w:val="single"/>
        </w:rPr>
        <w:lastRenderedPageBreak/>
        <w:t>Burglary</w:t>
      </w:r>
    </w:p>
    <w:p w14:paraId="50C9DB45" w14:textId="77777777" w:rsidR="00BB67F8" w:rsidRDefault="00BB67F8" w:rsidP="00BB67F8">
      <w:pPr>
        <w:spacing w:after="0" w:line="240" w:lineRule="auto"/>
        <w:rPr>
          <w:rFonts w:ascii="Tahoma" w:eastAsia="Calibri" w:hAnsi="Tahoma" w:cs="Tahoma"/>
          <w:b/>
          <w:bCs/>
        </w:rPr>
      </w:pPr>
    </w:p>
    <w:p w14:paraId="6AEDBABC" w14:textId="77777777" w:rsidR="00BB67F8" w:rsidRDefault="00BB67F8" w:rsidP="00BB67F8">
      <w:pPr>
        <w:spacing w:after="0" w:line="240" w:lineRule="auto"/>
        <w:rPr>
          <w:rFonts w:ascii="Tahoma" w:eastAsia="Calibri" w:hAnsi="Tahoma" w:cs="Tahoma"/>
          <w:b/>
          <w:bCs/>
        </w:rPr>
      </w:pPr>
      <w:r w:rsidRPr="007979B4">
        <w:rPr>
          <w:rFonts w:ascii="Tahoma" w:eastAsia="Calibri" w:hAnsi="Tahoma" w:cs="Tahoma"/>
          <w:b/>
          <w:bCs/>
        </w:rPr>
        <w:t>Burglary Residential – Home</w:t>
      </w:r>
    </w:p>
    <w:p w14:paraId="3D21B8E1" w14:textId="77777777" w:rsidR="00BB67F8" w:rsidRPr="007979B4" w:rsidRDefault="00BB67F8" w:rsidP="00BB67F8">
      <w:pPr>
        <w:spacing w:after="0" w:line="240" w:lineRule="auto"/>
        <w:rPr>
          <w:rFonts w:ascii="Tahoma" w:eastAsia="Calibri" w:hAnsi="Tahoma" w:cs="Tahoma"/>
          <w:b/>
          <w:bCs/>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0289B787"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BE6FDF"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1D69994" w14:textId="77777777" w:rsidR="00BB67F8" w:rsidRPr="007979B4" w:rsidRDefault="00BB67F8" w:rsidP="004F4D6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0CE74E4"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B673C86"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55B3D675"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78525728"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09E6A4A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3510</w:t>
            </w:r>
          </w:p>
        </w:tc>
        <w:tc>
          <w:tcPr>
            <w:tcW w:w="2149" w:type="dxa"/>
            <w:tcBorders>
              <w:top w:val="nil"/>
              <w:left w:val="nil"/>
              <w:bottom w:val="single" w:sz="8" w:space="0" w:color="auto"/>
              <w:right w:val="single" w:sz="8" w:space="0" w:color="auto"/>
            </w:tcBorders>
            <w:shd w:val="clear" w:color="auto" w:fill="auto"/>
            <w:noWrap/>
            <w:vAlign w:val="center"/>
          </w:tcPr>
          <w:p w14:paraId="70485716"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3.8%</w:t>
            </w:r>
          </w:p>
        </w:tc>
        <w:tc>
          <w:tcPr>
            <w:tcW w:w="2149" w:type="dxa"/>
            <w:tcBorders>
              <w:top w:val="nil"/>
              <w:left w:val="nil"/>
              <w:bottom w:val="single" w:sz="8" w:space="0" w:color="auto"/>
              <w:right w:val="single" w:sz="8" w:space="0" w:color="auto"/>
            </w:tcBorders>
            <w:shd w:val="clear" w:color="auto" w:fill="auto"/>
            <w:noWrap/>
            <w:vAlign w:val="center"/>
          </w:tcPr>
          <w:p w14:paraId="2241E9D2"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129</w:t>
            </w:r>
          </w:p>
        </w:tc>
      </w:tr>
      <w:tr w:rsidR="00BB67F8" w:rsidRPr="007979B4" w14:paraId="57FE713D"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6F37370B"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34479A7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3340</w:t>
            </w:r>
          </w:p>
        </w:tc>
        <w:tc>
          <w:tcPr>
            <w:tcW w:w="2149" w:type="dxa"/>
            <w:tcBorders>
              <w:top w:val="nil"/>
              <w:left w:val="nil"/>
              <w:bottom w:val="single" w:sz="8" w:space="0" w:color="auto"/>
              <w:right w:val="single" w:sz="8" w:space="0" w:color="auto"/>
            </w:tcBorders>
            <w:shd w:val="clear" w:color="auto" w:fill="auto"/>
            <w:noWrap/>
            <w:vAlign w:val="center"/>
          </w:tcPr>
          <w:p w14:paraId="39FD3EEA"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-4.8%</w:t>
            </w:r>
          </w:p>
        </w:tc>
        <w:tc>
          <w:tcPr>
            <w:tcW w:w="2149" w:type="dxa"/>
            <w:tcBorders>
              <w:top w:val="nil"/>
              <w:left w:val="nil"/>
              <w:bottom w:val="single" w:sz="8" w:space="0" w:color="auto"/>
              <w:right w:val="single" w:sz="8" w:space="0" w:color="auto"/>
            </w:tcBorders>
            <w:shd w:val="clear" w:color="auto" w:fill="auto"/>
            <w:noWrap/>
            <w:vAlign w:val="center"/>
          </w:tcPr>
          <w:p w14:paraId="43636AA1"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-170</w:t>
            </w:r>
          </w:p>
        </w:tc>
      </w:tr>
      <w:tr w:rsidR="00BB67F8" w:rsidRPr="007979B4" w14:paraId="313C109E"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574B0754"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7464F702"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3053</w:t>
            </w:r>
          </w:p>
        </w:tc>
        <w:tc>
          <w:tcPr>
            <w:tcW w:w="2149" w:type="dxa"/>
            <w:tcBorders>
              <w:top w:val="nil"/>
              <w:left w:val="nil"/>
              <w:bottom w:val="single" w:sz="8" w:space="0" w:color="auto"/>
              <w:right w:val="single" w:sz="8" w:space="0" w:color="auto"/>
            </w:tcBorders>
            <w:shd w:val="clear" w:color="auto" w:fill="auto"/>
            <w:noWrap/>
            <w:vAlign w:val="center"/>
          </w:tcPr>
          <w:p w14:paraId="6064EB3B"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-8.6%</w:t>
            </w:r>
          </w:p>
        </w:tc>
        <w:tc>
          <w:tcPr>
            <w:tcW w:w="2149" w:type="dxa"/>
            <w:tcBorders>
              <w:top w:val="nil"/>
              <w:left w:val="nil"/>
              <w:bottom w:val="single" w:sz="8" w:space="0" w:color="auto"/>
              <w:right w:val="single" w:sz="8" w:space="0" w:color="auto"/>
            </w:tcBorders>
            <w:shd w:val="clear" w:color="auto" w:fill="auto"/>
            <w:noWrap/>
            <w:vAlign w:val="center"/>
          </w:tcPr>
          <w:p w14:paraId="1AA118AB"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-287</w:t>
            </w:r>
          </w:p>
        </w:tc>
      </w:tr>
      <w:tr w:rsidR="00BB67F8" w:rsidRPr="007979B4" w14:paraId="38389062"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68565596"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531E53A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2571</w:t>
            </w:r>
          </w:p>
        </w:tc>
        <w:tc>
          <w:tcPr>
            <w:tcW w:w="2149" w:type="dxa"/>
            <w:tcBorders>
              <w:top w:val="nil"/>
              <w:left w:val="nil"/>
              <w:bottom w:val="single" w:sz="8" w:space="0" w:color="auto"/>
              <w:right w:val="single" w:sz="8" w:space="0" w:color="auto"/>
            </w:tcBorders>
            <w:shd w:val="clear" w:color="auto" w:fill="auto"/>
            <w:noWrap/>
            <w:vAlign w:val="center"/>
          </w:tcPr>
          <w:p w14:paraId="4D7CFB2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-15.8%</w:t>
            </w:r>
          </w:p>
        </w:tc>
        <w:tc>
          <w:tcPr>
            <w:tcW w:w="2149" w:type="dxa"/>
            <w:tcBorders>
              <w:top w:val="nil"/>
              <w:left w:val="nil"/>
              <w:bottom w:val="single" w:sz="8" w:space="0" w:color="auto"/>
              <w:right w:val="single" w:sz="8" w:space="0" w:color="auto"/>
            </w:tcBorders>
            <w:shd w:val="clear" w:color="auto" w:fill="auto"/>
            <w:noWrap/>
            <w:vAlign w:val="center"/>
          </w:tcPr>
          <w:p w14:paraId="4EBCB35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-482</w:t>
            </w:r>
          </w:p>
        </w:tc>
      </w:tr>
      <w:tr w:rsidR="00BB67F8" w:rsidRPr="007979B4" w14:paraId="7FD4FD0A"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6D07C488"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5E0B99CE"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7E184C2C"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052F3A1C" w14:textId="77777777" w:rsidR="00BB67F8" w:rsidRPr="007979B4" w:rsidRDefault="00BB67F8" w:rsidP="004F4D6F">
            <w:pPr>
              <w:spacing w:after="0" w:line="240" w:lineRule="auto"/>
              <w:rPr>
                <w:rFonts w:ascii="Tahoma" w:hAnsi="Tahoma" w:cs="Tahoma"/>
                <w:color w:val="FF0000"/>
              </w:rPr>
            </w:pPr>
          </w:p>
        </w:tc>
      </w:tr>
      <w:tr w:rsidR="00BB67F8" w:rsidRPr="007979B4" w14:paraId="3E5FADB8"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28FC63AB" w14:textId="77777777" w:rsidR="00BB67F8" w:rsidRPr="00A77A10" w:rsidRDefault="00BB67F8" w:rsidP="004F4D6F">
            <w:pPr>
              <w:spacing w:after="0" w:line="240" w:lineRule="auto"/>
              <w:rPr>
                <w:rFonts w:ascii="Tahoma" w:hAnsi="Tahoma" w:cs="Tahoma"/>
                <w:b/>
                <w:bCs/>
                <w:color w:val="FF0000"/>
              </w:rPr>
            </w:pPr>
            <w:r w:rsidRPr="00A77A10">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7588547C" w14:textId="77777777" w:rsidR="00BB67F8" w:rsidRPr="00A77A10" w:rsidRDefault="00BB67F8" w:rsidP="004F4D6F">
            <w:pPr>
              <w:spacing w:after="0" w:line="240" w:lineRule="auto"/>
              <w:rPr>
                <w:rFonts w:ascii="Tahoma" w:hAnsi="Tahoma" w:cs="Tahoma"/>
                <w:b/>
                <w:bCs/>
              </w:rPr>
            </w:pPr>
            <w:r w:rsidRPr="00A77A10">
              <w:rPr>
                <w:rFonts w:ascii="Tahoma" w:hAnsi="Tahoma" w:cs="Tahoma"/>
                <w:b/>
                <w:bCs/>
              </w:rPr>
              <w:t>-26.8%</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0A1E1030" w14:textId="77777777" w:rsidR="00BB67F8" w:rsidRPr="00A77A10" w:rsidRDefault="00BB67F8" w:rsidP="004F4D6F">
            <w:pPr>
              <w:spacing w:after="0" w:line="240" w:lineRule="auto"/>
              <w:rPr>
                <w:rFonts w:ascii="Tahoma" w:hAnsi="Tahoma" w:cs="Tahoma"/>
                <w:b/>
                <w:bCs/>
              </w:rPr>
            </w:pPr>
            <w:r w:rsidRPr="00A77A10">
              <w:rPr>
                <w:rFonts w:ascii="Tahoma" w:hAnsi="Tahoma" w:cs="Tahoma"/>
                <w:b/>
                <w:bCs/>
              </w:rPr>
              <w:t>-939</w:t>
            </w:r>
          </w:p>
        </w:tc>
      </w:tr>
    </w:tbl>
    <w:p w14:paraId="77985318" w14:textId="77777777" w:rsidR="00BB67F8" w:rsidRPr="007979B4" w:rsidRDefault="00BB67F8" w:rsidP="00BB67F8">
      <w:pPr>
        <w:spacing w:after="0" w:line="240" w:lineRule="auto"/>
        <w:rPr>
          <w:rFonts w:ascii="Tahoma" w:eastAsia="Calibri" w:hAnsi="Tahoma" w:cs="Tahoma"/>
          <w:color w:val="FF0000"/>
        </w:rPr>
      </w:pPr>
    </w:p>
    <w:p w14:paraId="29B8A519" w14:textId="77777777" w:rsidR="00BB67F8" w:rsidRPr="007979B4" w:rsidRDefault="00BB67F8" w:rsidP="00BB67F8">
      <w:pPr>
        <w:spacing w:after="0" w:line="240" w:lineRule="auto"/>
        <w:rPr>
          <w:rFonts w:ascii="Tahoma" w:eastAsia="Calibri" w:hAnsi="Tahoma" w:cs="Tahoma"/>
          <w:color w:val="FF0000"/>
        </w:rPr>
      </w:pPr>
      <w:r w:rsidRPr="007979B4">
        <w:rPr>
          <w:rFonts w:ascii="Tahoma" w:eastAsia="Calibri" w:hAnsi="Tahoma" w:cs="Tahoma"/>
          <w:noProof/>
          <w:color w:val="FF0000"/>
        </w:rPr>
        <w:drawing>
          <wp:inline distT="0" distB="0" distL="0" distR="0" wp14:anchorId="75215925" wp14:editId="1B65CC44">
            <wp:extent cx="5888990" cy="2216150"/>
            <wp:effectExtent l="0" t="0" r="0" b="0"/>
            <wp:docPr id="962646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8990" cy="2216150"/>
                    </a:xfrm>
                    <a:prstGeom prst="rect">
                      <a:avLst/>
                    </a:prstGeom>
                    <a:noFill/>
                  </pic:spPr>
                </pic:pic>
              </a:graphicData>
            </a:graphic>
          </wp:inline>
        </w:drawing>
      </w:r>
    </w:p>
    <w:p w14:paraId="2BA280C8" w14:textId="77777777" w:rsidR="00BB67F8" w:rsidRPr="007979B4" w:rsidRDefault="00BB67F8" w:rsidP="00BB67F8">
      <w:pPr>
        <w:spacing w:after="0" w:line="240" w:lineRule="auto"/>
        <w:rPr>
          <w:rFonts w:ascii="Tahoma" w:eastAsia="Calibri" w:hAnsi="Tahoma" w:cs="Tahoma"/>
        </w:rPr>
      </w:pPr>
    </w:p>
    <w:p w14:paraId="14334430" w14:textId="77777777" w:rsidR="00BB67F8" w:rsidRPr="007979B4" w:rsidRDefault="00BB67F8" w:rsidP="00BB67F8">
      <w:pPr>
        <w:spacing w:after="0" w:line="240" w:lineRule="auto"/>
        <w:rPr>
          <w:rFonts w:ascii="Tahoma" w:eastAsia="Calibri" w:hAnsi="Tahoma" w:cs="Tahoma"/>
        </w:rPr>
      </w:pPr>
      <w:r w:rsidRPr="1D7D8BE7">
        <w:rPr>
          <w:rFonts w:ascii="Tahoma" w:eastAsia="Calibri" w:hAnsi="Tahoma" w:cs="Tahoma"/>
        </w:rPr>
        <w:t>Across the 4 years’ period, Burglary Residential - Home offences have seen a -26.8% decrease (939 less offences) with 2024/25 also seeing a 15.8% decrease (-482 offences) compared to the previous financial year. Overall, there is a decreasing trend in Burglary Residential – Home offences, with the 5 most recent quarters seeing consecutive reductions to the preceding quarter.</w:t>
      </w:r>
    </w:p>
    <w:p w14:paraId="0DCB9C83" w14:textId="77777777" w:rsidR="00BB67F8" w:rsidRPr="007979B4" w:rsidRDefault="00BB67F8" w:rsidP="00BB67F8">
      <w:pPr>
        <w:spacing w:after="0" w:line="240" w:lineRule="auto"/>
        <w:rPr>
          <w:rFonts w:ascii="Tahoma" w:eastAsia="Calibri" w:hAnsi="Tahoma" w:cs="Tahoma"/>
        </w:rPr>
      </w:pPr>
    </w:p>
    <w:p w14:paraId="57401479" w14:textId="77777777" w:rsidR="00BB67F8" w:rsidRPr="007979B4" w:rsidRDefault="7D95D090" w:rsidP="00BB67F8">
      <w:pPr>
        <w:spacing w:after="0" w:line="240" w:lineRule="auto"/>
        <w:rPr>
          <w:rFonts w:ascii="Tahoma" w:eastAsia="Calibri" w:hAnsi="Tahoma" w:cs="Tahoma"/>
        </w:rPr>
      </w:pPr>
      <w:r w:rsidRPr="1D7D8BE7">
        <w:rPr>
          <w:rFonts w:ascii="Tahoma" w:eastAsia="Calibri" w:hAnsi="Tahoma" w:cs="Tahoma"/>
        </w:rPr>
        <w:t>The rate of suspects arrested and interviewed has seen a slight reduction of -0.9% to 18.7% for 2024/25 from 19.6% in the previous financial year. The Solved Rate for Burglary Residential - Home has seen a 0.1% increase to 9.3% despite a -15.3% decrease (-43) reduction in solved outcomes.</w:t>
      </w:r>
    </w:p>
    <w:p w14:paraId="505E395A" w14:textId="77777777" w:rsidR="00BB67F8" w:rsidRPr="007979B4" w:rsidRDefault="00BB67F8" w:rsidP="00BB67F8">
      <w:pPr>
        <w:spacing w:after="0" w:line="240" w:lineRule="auto"/>
        <w:rPr>
          <w:rFonts w:ascii="Tahoma" w:eastAsia="Calibri" w:hAnsi="Tahoma" w:cs="Tahoma"/>
        </w:rPr>
      </w:pPr>
    </w:p>
    <w:p w14:paraId="49CB11E7" w14:textId="77777777" w:rsidR="00BB67F8" w:rsidRDefault="00BB67F8" w:rsidP="00BB67F8">
      <w:pPr>
        <w:spacing w:after="0" w:line="240" w:lineRule="auto"/>
        <w:rPr>
          <w:rFonts w:ascii="Tahoma" w:hAnsi="Tahoma" w:cs="Tahoma"/>
          <w:b/>
          <w:bCs/>
        </w:rPr>
      </w:pPr>
      <w:r w:rsidRPr="007979B4">
        <w:rPr>
          <w:rFonts w:ascii="Tahoma" w:hAnsi="Tahoma" w:cs="Tahoma"/>
          <w:b/>
          <w:bCs/>
        </w:rPr>
        <w:t>Burglary</w:t>
      </w:r>
      <w:r>
        <w:rPr>
          <w:rFonts w:ascii="Tahoma" w:hAnsi="Tahoma" w:cs="Tahoma"/>
          <w:b/>
          <w:bCs/>
        </w:rPr>
        <w:t xml:space="preserve"> Residential</w:t>
      </w:r>
      <w:r w:rsidRPr="007979B4">
        <w:rPr>
          <w:rFonts w:ascii="Tahoma" w:hAnsi="Tahoma" w:cs="Tahoma"/>
          <w:b/>
          <w:bCs/>
        </w:rPr>
        <w:t xml:space="preserve"> </w:t>
      </w:r>
      <w:r>
        <w:rPr>
          <w:rFonts w:ascii="Tahoma" w:hAnsi="Tahoma" w:cs="Tahoma"/>
          <w:b/>
          <w:bCs/>
        </w:rPr>
        <w:t xml:space="preserve">- </w:t>
      </w:r>
      <w:r w:rsidRPr="007979B4">
        <w:rPr>
          <w:rFonts w:ascii="Tahoma" w:hAnsi="Tahoma" w:cs="Tahoma"/>
          <w:b/>
          <w:bCs/>
        </w:rPr>
        <w:t>Business and Community</w:t>
      </w:r>
    </w:p>
    <w:p w14:paraId="0E7AAD74" w14:textId="77777777" w:rsidR="00BB67F8" w:rsidRPr="007979B4" w:rsidRDefault="00BB67F8" w:rsidP="00BB67F8">
      <w:pPr>
        <w:spacing w:after="0" w:line="240" w:lineRule="auto"/>
        <w:rPr>
          <w:rFonts w:ascii="Tahoma" w:hAnsi="Tahoma" w:cs="Tahoma"/>
          <w:b/>
          <w:bCs/>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621745C0"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5CE926"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E691E82" w14:textId="77777777" w:rsidR="00BB67F8" w:rsidRPr="007979B4" w:rsidRDefault="00BB67F8" w:rsidP="004F4D6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1C45AE9"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4E075E2"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090B07DC"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31DBD142"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58F7AA2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1727</w:t>
            </w:r>
          </w:p>
        </w:tc>
        <w:tc>
          <w:tcPr>
            <w:tcW w:w="2149" w:type="dxa"/>
            <w:tcBorders>
              <w:top w:val="nil"/>
              <w:left w:val="nil"/>
              <w:bottom w:val="single" w:sz="8" w:space="0" w:color="auto"/>
              <w:right w:val="single" w:sz="8" w:space="0" w:color="auto"/>
            </w:tcBorders>
            <w:shd w:val="clear" w:color="auto" w:fill="auto"/>
            <w:noWrap/>
            <w:vAlign w:val="center"/>
          </w:tcPr>
          <w:p w14:paraId="304706C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7.5%</w:t>
            </w:r>
          </w:p>
        </w:tc>
        <w:tc>
          <w:tcPr>
            <w:tcW w:w="2149" w:type="dxa"/>
            <w:tcBorders>
              <w:top w:val="nil"/>
              <w:left w:val="nil"/>
              <w:bottom w:val="single" w:sz="8" w:space="0" w:color="auto"/>
              <w:right w:val="single" w:sz="8" w:space="0" w:color="auto"/>
            </w:tcBorders>
            <w:shd w:val="clear" w:color="auto" w:fill="auto"/>
            <w:noWrap/>
            <w:vAlign w:val="center"/>
          </w:tcPr>
          <w:p w14:paraId="2FDB3EF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120</w:t>
            </w:r>
          </w:p>
        </w:tc>
      </w:tr>
      <w:tr w:rsidR="00BB67F8" w:rsidRPr="007979B4" w14:paraId="305275B0"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07394802"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3B8C3A56"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1913</w:t>
            </w:r>
          </w:p>
        </w:tc>
        <w:tc>
          <w:tcPr>
            <w:tcW w:w="2149" w:type="dxa"/>
            <w:tcBorders>
              <w:top w:val="nil"/>
              <w:left w:val="nil"/>
              <w:bottom w:val="single" w:sz="8" w:space="0" w:color="auto"/>
              <w:right w:val="single" w:sz="8" w:space="0" w:color="auto"/>
            </w:tcBorders>
            <w:shd w:val="clear" w:color="auto" w:fill="auto"/>
            <w:noWrap/>
            <w:vAlign w:val="center"/>
          </w:tcPr>
          <w:p w14:paraId="0DA6C54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10.8%</w:t>
            </w:r>
          </w:p>
        </w:tc>
        <w:tc>
          <w:tcPr>
            <w:tcW w:w="2149" w:type="dxa"/>
            <w:tcBorders>
              <w:top w:val="nil"/>
              <w:left w:val="nil"/>
              <w:bottom w:val="single" w:sz="8" w:space="0" w:color="auto"/>
              <w:right w:val="single" w:sz="8" w:space="0" w:color="auto"/>
            </w:tcBorders>
            <w:shd w:val="clear" w:color="auto" w:fill="auto"/>
            <w:noWrap/>
            <w:vAlign w:val="center"/>
          </w:tcPr>
          <w:p w14:paraId="51EA9B3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186</w:t>
            </w:r>
          </w:p>
        </w:tc>
      </w:tr>
      <w:tr w:rsidR="00BB67F8" w:rsidRPr="007979B4" w14:paraId="71012833"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6679A472"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63A69C81"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1728</w:t>
            </w:r>
          </w:p>
        </w:tc>
        <w:tc>
          <w:tcPr>
            <w:tcW w:w="2149" w:type="dxa"/>
            <w:tcBorders>
              <w:top w:val="nil"/>
              <w:left w:val="nil"/>
              <w:bottom w:val="single" w:sz="8" w:space="0" w:color="auto"/>
              <w:right w:val="single" w:sz="8" w:space="0" w:color="auto"/>
            </w:tcBorders>
            <w:shd w:val="clear" w:color="auto" w:fill="auto"/>
            <w:noWrap/>
            <w:vAlign w:val="center"/>
          </w:tcPr>
          <w:p w14:paraId="09CEDAB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-9.7%</w:t>
            </w:r>
          </w:p>
        </w:tc>
        <w:tc>
          <w:tcPr>
            <w:tcW w:w="2149" w:type="dxa"/>
            <w:tcBorders>
              <w:top w:val="nil"/>
              <w:left w:val="nil"/>
              <w:bottom w:val="single" w:sz="8" w:space="0" w:color="auto"/>
              <w:right w:val="single" w:sz="8" w:space="0" w:color="auto"/>
            </w:tcBorders>
            <w:shd w:val="clear" w:color="auto" w:fill="auto"/>
            <w:noWrap/>
            <w:vAlign w:val="center"/>
          </w:tcPr>
          <w:p w14:paraId="5FA8FD10"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-185</w:t>
            </w:r>
          </w:p>
        </w:tc>
      </w:tr>
      <w:tr w:rsidR="00BB67F8" w:rsidRPr="007979B4" w14:paraId="2B6B69EA"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5470211D"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6CB347A6"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1509</w:t>
            </w:r>
          </w:p>
        </w:tc>
        <w:tc>
          <w:tcPr>
            <w:tcW w:w="2149" w:type="dxa"/>
            <w:tcBorders>
              <w:top w:val="nil"/>
              <w:left w:val="nil"/>
              <w:bottom w:val="single" w:sz="8" w:space="0" w:color="auto"/>
              <w:right w:val="single" w:sz="8" w:space="0" w:color="auto"/>
            </w:tcBorders>
            <w:shd w:val="clear" w:color="auto" w:fill="auto"/>
            <w:noWrap/>
            <w:vAlign w:val="center"/>
          </w:tcPr>
          <w:p w14:paraId="34D09DA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-12.7%</w:t>
            </w:r>
          </w:p>
        </w:tc>
        <w:tc>
          <w:tcPr>
            <w:tcW w:w="2149" w:type="dxa"/>
            <w:tcBorders>
              <w:top w:val="nil"/>
              <w:left w:val="nil"/>
              <w:bottom w:val="single" w:sz="8" w:space="0" w:color="auto"/>
              <w:right w:val="single" w:sz="8" w:space="0" w:color="auto"/>
            </w:tcBorders>
            <w:shd w:val="clear" w:color="auto" w:fill="auto"/>
            <w:noWrap/>
            <w:vAlign w:val="center"/>
          </w:tcPr>
          <w:p w14:paraId="423CA3F9"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-219</w:t>
            </w:r>
          </w:p>
        </w:tc>
      </w:tr>
      <w:tr w:rsidR="00BB67F8" w:rsidRPr="007979B4" w14:paraId="5ED0E69A"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52CB0368"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514E9EF9"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50358967"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30E5112E" w14:textId="77777777" w:rsidR="00BB67F8" w:rsidRPr="007979B4" w:rsidRDefault="00BB67F8" w:rsidP="004F4D6F">
            <w:pPr>
              <w:spacing w:after="0" w:line="240" w:lineRule="auto"/>
              <w:rPr>
                <w:rFonts w:ascii="Tahoma" w:hAnsi="Tahoma" w:cs="Tahoma"/>
                <w:color w:val="FF0000"/>
              </w:rPr>
            </w:pPr>
          </w:p>
        </w:tc>
      </w:tr>
      <w:tr w:rsidR="00BB67F8" w:rsidRPr="007979B4" w14:paraId="5252D175"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0F2B9A6F" w14:textId="77777777" w:rsidR="00BB67F8" w:rsidRPr="00DB180C" w:rsidRDefault="00BB67F8" w:rsidP="004F4D6F">
            <w:pPr>
              <w:spacing w:after="0" w:line="240" w:lineRule="auto"/>
              <w:rPr>
                <w:rFonts w:ascii="Tahoma" w:hAnsi="Tahoma" w:cs="Tahoma"/>
                <w:b/>
                <w:bCs/>
                <w:color w:val="FF0000"/>
              </w:rPr>
            </w:pPr>
            <w:r w:rsidRPr="00DB180C">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16D04ACD" w14:textId="77777777" w:rsidR="00BB67F8" w:rsidRPr="00DB180C" w:rsidRDefault="00BB67F8" w:rsidP="004F4D6F">
            <w:pPr>
              <w:spacing w:after="0" w:line="240" w:lineRule="auto"/>
              <w:rPr>
                <w:rFonts w:ascii="Tahoma" w:hAnsi="Tahoma" w:cs="Tahoma"/>
                <w:b/>
                <w:bCs/>
              </w:rPr>
            </w:pPr>
            <w:r w:rsidRPr="00DB180C">
              <w:rPr>
                <w:rFonts w:ascii="Tahoma" w:hAnsi="Tahoma" w:cs="Tahoma"/>
                <w:b/>
                <w:bCs/>
              </w:rPr>
              <w:t>-12.6%</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4FD24FF9" w14:textId="77777777" w:rsidR="00BB67F8" w:rsidRPr="00DB180C" w:rsidRDefault="00BB67F8" w:rsidP="004F4D6F">
            <w:pPr>
              <w:spacing w:after="0" w:line="240" w:lineRule="auto"/>
              <w:rPr>
                <w:rFonts w:ascii="Tahoma" w:hAnsi="Tahoma" w:cs="Tahoma"/>
                <w:b/>
                <w:bCs/>
              </w:rPr>
            </w:pPr>
            <w:r w:rsidRPr="00DB180C">
              <w:rPr>
                <w:rFonts w:ascii="Tahoma" w:hAnsi="Tahoma" w:cs="Tahoma"/>
                <w:b/>
                <w:bCs/>
              </w:rPr>
              <w:t>-218</w:t>
            </w:r>
          </w:p>
        </w:tc>
      </w:tr>
    </w:tbl>
    <w:p w14:paraId="4E3A52B7" w14:textId="77777777" w:rsidR="00BB67F8" w:rsidRPr="007979B4" w:rsidRDefault="00BB67F8" w:rsidP="00BB67F8">
      <w:pPr>
        <w:spacing w:after="0" w:line="240" w:lineRule="auto"/>
        <w:rPr>
          <w:rFonts w:ascii="Tahoma" w:hAnsi="Tahoma" w:cs="Tahoma"/>
          <w:color w:val="FF0000"/>
        </w:rPr>
      </w:pPr>
    </w:p>
    <w:p w14:paraId="2E840ED3" w14:textId="77777777" w:rsidR="00BB67F8" w:rsidRPr="007979B4" w:rsidRDefault="00BB67F8" w:rsidP="00BB67F8">
      <w:pPr>
        <w:spacing w:after="0" w:line="240" w:lineRule="auto"/>
        <w:rPr>
          <w:rFonts w:ascii="Tahoma" w:hAnsi="Tahoma" w:cs="Tahoma"/>
          <w:color w:val="FF0000"/>
        </w:rPr>
      </w:pPr>
      <w:r>
        <w:rPr>
          <w:noProof/>
        </w:rPr>
        <w:lastRenderedPageBreak/>
        <w:drawing>
          <wp:inline distT="0" distB="0" distL="0" distR="0" wp14:anchorId="2B5A0EDE" wp14:editId="354841E3">
            <wp:extent cx="5784851" cy="2051050"/>
            <wp:effectExtent l="0" t="0" r="6350" b="6350"/>
            <wp:docPr id="660939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5784851" cy="2051050"/>
                    </a:xfrm>
                    <a:prstGeom prst="rect">
                      <a:avLst/>
                    </a:prstGeom>
                  </pic:spPr>
                </pic:pic>
              </a:graphicData>
            </a:graphic>
          </wp:inline>
        </w:drawing>
      </w:r>
    </w:p>
    <w:p w14:paraId="1B396E0D" w14:textId="77777777" w:rsidR="00BB67F8" w:rsidRPr="007979B4" w:rsidRDefault="00BB67F8" w:rsidP="00BB67F8">
      <w:pPr>
        <w:spacing w:after="0" w:line="240" w:lineRule="auto"/>
        <w:rPr>
          <w:rFonts w:ascii="Tahoma" w:hAnsi="Tahoma" w:cs="Tahoma"/>
          <w:color w:val="FF0000"/>
        </w:rPr>
      </w:pPr>
    </w:p>
    <w:p w14:paraId="053FA173" w14:textId="3DD5E5D8" w:rsidR="00BB67F8" w:rsidRDefault="00BB67F8" w:rsidP="00BB67F8">
      <w:pPr>
        <w:spacing w:after="0" w:line="240" w:lineRule="auto"/>
        <w:rPr>
          <w:rFonts w:ascii="Tahoma" w:hAnsi="Tahoma" w:cs="Tahoma"/>
        </w:rPr>
      </w:pPr>
      <w:r w:rsidRPr="007979B4">
        <w:rPr>
          <w:rFonts w:ascii="Tahoma" w:hAnsi="Tahoma" w:cs="Tahoma"/>
        </w:rPr>
        <w:t>Burglary Business and Community offences have experienced a decrease of -12.6%, with 218 less offences over the 4 year</w:t>
      </w:r>
      <w:r>
        <w:rPr>
          <w:rFonts w:ascii="Tahoma" w:hAnsi="Tahoma" w:cs="Tahoma"/>
        </w:rPr>
        <w:t>s’</w:t>
      </w:r>
      <w:r w:rsidRPr="007979B4">
        <w:rPr>
          <w:rFonts w:ascii="Tahoma" w:hAnsi="Tahoma" w:cs="Tahoma"/>
        </w:rPr>
        <w:t xml:space="preserve"> period.</w:t>
      </w:r>
      <w:r>
        <w:rPr>
          <w:rFonts w:ascii="Tahoma" w:hAnsi="Tahoma" w:cs="Tahoma"/>
        </w:rPr>
        <w:t xml:space="preserve">  During 2024/25, there was </w:t>
      </w:r>
      <w:r w:rsidRPr="007979B4">
        <w:rPr>
          <w:rFonts w:ascii="Tahoma" w:hAnsi="Tahoma" w:cs="Tahoma"/>
        </w:rPr>
        <w:t>a reduction of -</w:t>
      </w:r>
      <w:r w:rsidR="00E578D4">
        <w:rPr>
          <w:rFonts w:ascii="Tahoma" w:hAnsi="Tahoma" w:cs="Tahoma"/>
        </w:rPr>
        <w:t>1</w:t>
      </w:r>
      <w:r w:rsidRPr="007979B4">
        <w:rPr>
          <w:rFonts w:ascii="Tahoma" w:hAnsi="Tahoma" w:cs="Tahoma"/>
        </w:rPr>
        <w:t>2.7%</w:t>
      </w:r>
      <w:r>
        <w:rPr>
          <w:rFonts w:ascii="Tahoma" w:hAnsi="Tahoma" w:cs="Tahoma"/>
        </w:rPr>
        <w:t xml:space="preserve"> (</w:t>
      </w:r>
      <w:r w:rsidRPr="007979B4">
        <w:rPr>
          <w:rFonts w:ascii="Tahoma" w:hAnsi="Tahoma" w:cs="Tahoma"/>
        </w:rPr>
        <w:t>219 less offences</w:t>
      </w:r>
      <w:r>
        <w:rPr>
          <w:rFonts w:ascii="Tahoma" w:hAnsi="Tahoma" w:cs="Tahoma"/>
        </w:rPr>
        <w:t>)</w:t>
      </w:r>
      <w:r w:rsidRPr="007979B4">
        <w:rPr>
          <w:rFonts w:ascii="Tahoma" w:hAnsi="Tahoma" w:cs="Tahoma"/>
        </w:rPr>
        <w:t>. Since April 2022</w:t>
      </w:r>
      <w:r>
        <w:rPr>
          <w:rFonts w:ascii="Tahoma" w:hAnsi="Tahoma" w:cs="Tahoma"/>
        </w:rPr>
        <w:t>,</w:t>
      </w:r>
      <w:r w:rsidRPr="007979B4">
        <w:rPr>
          <w:rFonts w:ascii="Tahoma" w:hAnsi="Tahoma" w:cs="Tahoma"/>
        </w:rPr>
        <w:t xml:space="preserve"> there has been an overall reducing trend with the most recent 3 quarters seeing the lowest volumes across the 4 year</w:t>
      </w:r>
      <w:r>
        <w:rPr>
          <w:rFonts w:ascii="Tahoma" w:hAnsi="Tahoma" w:cs="Tahoma"/>
        </w:rPr>
        <w:t>s’</w:t>
      </w:r>
      <w:r w:rsidRPr="007979B4">
        <w:rPr>
          <w:rFonts w:ascii="Tahoma" w:hAnsi="Tahoma" w:cs="Tahoma"/>
        </w:rPr>
        <w:t xml:space="preserve"> p</w:t>
      </w:r>
      <w:r>
        <w:rPr>
          <w:rFonts w:ascii="Tahoma" w:hAnsi="Tahoma" w:cs="Tahoma"/>
        </w:rPr>
        <w:t>eriod</w:t>
      </w:r>
      <w:r w:rsidRPr="007979B4">
        <w:rPr>
          <w:rFonts w:ascii="Tahoma" w:hAnsi="Tahoma" w:cs="Tahoma"/>
        </w:rPr>
        <w:t>.</w:t>
      </w:r>
    </w:p>
    <w:p w14:paraId="7C2FD111" w14:textId="77777777" w:rsidR="00BB67F8" w:rsidRDefault="00BB67F8" w:rsidP="00BB67F8">
      <w:pPr>
        <w:spacing w:after="0" w:line="240" w:lineRule="auto"/>
        <w:rPr>
          <w:rFonts w:ascii="Tahoma" w:hAnsi="Tahoma" w:cs="Tahoma"/>
        </w:rPr>
      </w:pPr>
    </w:p>
    <w:p w14:paraId="12BE474E" w14:textId="77777777" w:rsidR="00BB67F8" w:rsidRPr="00BB67F8" w:rsidRDefault="00BB67F8" w:rsidP="00BB67F8">
      <w:pPr>
        <w:pStyle w:val="ListParagraph"/>
        <w:spacing w:after="0" w:line="240" w:lineRule="auto"/>
        <w:ind w:left="0"/>
        <w:rPr>
          <w:rFonts w:ascii="Tahoma" w:hAnsi="Tahoma" w:cs="Tahoma"/>
          <w:b/>
          <w:bCs/>
          <w:u w:val="single"/>
        </w:rPr>
      </w:pPr>
      <w:r w:rsidRPr="00BB67F8">
        <w:rPr>
          <w:rFonts w:ascii="Tahoma" w:hAnsi="Tahoma" w:cs="Tahoma"/>
          <w:b/>
          <w:bCs/>
          <w:u w:val="single"/>
        </w:rPr>
        <w:t>Shoplifting</w:t>
      </w:r>
    </w:p>
    <w:p w14:paraId="28C244B1" w14:textId="77777777" w:rsidR="00BB67F8" w:rsidRPr="007979B4" w:rsidRDefault="00BB67F8" w:rsidP="00BB67F8">
      <w:pPr>
        <w:pStyle w:val="ListParagraph"/>
        <w:spacing w:after="0" w:line="240" w:lineRule="auto"/>
        <w:ind w:left="0"/>
        <w:rPr>
          <w:rFonts w:ascii="Tahoma" w:hAnsi="Tahoma" w:cs="Tahoma"/>
          <w:b/>
          <w:bCs/>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69865C52"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D20D79"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85BA642" w14:textId="77777777" w:rsidR="00BB67F8" w:rsidRPr="007979B4" w:rsidRDefault="00BB67F8" w:rsidP="004F4D6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F0620DE"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927DE41"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612FB6D9"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6290A787"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6277DBE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10859</w:t>
            </w:r>
          </w:p>
        </w:tc>
        <w:tc>
          <w:tcPr>
            <w:tcW w:w="2149" w:type="dxa"/>
            <w:tcBorders>
              <w:top w:val="nil"/>
              <w:left w:val="nil"/>
              <w:bottom w:val="single" w:sz="8" w:space="0" w:color="auto"/>
              <w:right w:val="single" w:sz="8" w:space="0" w:color="auto"/>
            </w:tcBorders>
            <w:shd w:val="clear" w:color="auto" w:fill="auto"/>
            <w:noWrap/>
            <w:vAlign w:val="center"/>
          </w:tcPr>
          <w:p w14:paraId="2B3C226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22.9%</w:t>
            </w:r>
          </w:p>
        </w:tc>
        <w:tc>
          <w:tcPr>
            <w:tcW w:w="2149" w:type="dxa"/>
            <w:tcBorders>
              <w:top w:val="nil"/>
              <w:left w:val="nil"/>
              <w:bottom w:val="single" w:sz="8" w:space="0" w:color="auto"/>
              <w:right w:val="single" w:sz="8" w:space="0" w:color="auto"/>
            </w:tcBorders>
            <w:shd w:val="clear" w:color="auto" w:fill="auto"/>
            <w:noWrap/>
            <w:vAlign w:val="center"/>
          </w:tcPr>
          <w:p w14:paraId="3D00C26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2025</w:t>
            </w:r>
          </w:p>
        </w:tc>
      </w:tr>
      <w:tr w:rsidR="00BB67F8" w:rsidRPr="007979B4" w14:paraId="108AD9F3"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7E868835"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0A24503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12704</w:t>
            </w:r>
          </w:p>
        </w:tc>
        <w:tc>
          <w:tcPr>
            <w:tcW w:w="2149" w:type="dxa"/>
            <w:tcBorders>
              <w:top w:val="nil"/>
              <w:left w:val="nil"/>
              <w:bottom w:val="single" w:sz="8" w:space="0" w:color="auto"/>
              <w:right w:val="single" w:sz="8" w:space="0" w:color="auto"/>
            </w:tcBorders>
            <w:shd w:val="clear" w:color="auto" w:fill="auto"/>
            <w:noWrap/>
            <w:vAlign w:val="center"/>
          </w:tcPr>
          <w:p w14:paraId="2E271F16"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17.0%</w:t>
            </w:r>
          </w:p>
        </w:tc>
        <w:tc>
          <w:tcPr>
            <w:tcW w:w="2149" w:type="dxa"/>
            <w:tcBorders>
              <w:top w:val="nil"/>
              <w:left w:val="nil"/>
              <w:bottom w:val="single" w:sz="8" w:space="0" w:color="auto"/>
              <w:right w:val="single" w:sz="8" w:space="0" w:color="auto"/>
            </w:tcBorders>
            <w:shd w:val="clear" w:color="auto" w:fill="auto"/>
            <w:noWrap/>
            <w:vAlign w:val="center"/>
          </w:tcPr>
          <w:p w14:paraId="2DE04A30"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1845</w:t>
            </w:r>
          </w:p>
        </w:tc>
      </w:tr>
      <w:tr w:rsidR="00BB67F8" w:rsidRPr="007979B4" w14:paraId="0A6C55E1"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39D7EFD5"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2C188CD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15137</w:t>
            </w:r>
          </w:p>
        </w:tc>
        <w:tc>
          <w:tcPr>
            <w:tcW w:w="2149" w:type="dxa"/>
            <w:tcBorders>
              <w:top w:val="nil"/>
              <w:left w:val="nil"/>
              <w:bottom w:val="single" w:sz="8" w:space="0" w:color="auto"/>
              <w:right w:val="single" w:sz="8" w:space="0" w:color="auto"/>
            </w:tcBorders>
            <w:shd w:val="clear" w:color="auto" w:fill="auto"/>
            <w:noWrap/>
            <w:vAlign w:val="center"/>
          </w:tcPr>
          <w:p w14:paraId="44DF81A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19.2%</w:t>
            </w:r>
          </w:p>
        </w:tc>
        <w:tc>
          <w:tcPr>
            <w:tcW w:w="2149" w:type="dxa"/>
            <w:tcBorders>
              <w:top w:val="nil"/>
              <w:left w:val="nil"/>
              <w:bottom w:val="single" w:sz="8" w:space="0" w:color="auto"/>
              <w:right w:val="single" w:sz="8" w:space="0" w:color="auto"/>
            </w:tcBorders>
            <w:shd w:val="clear" w:color="auto" w:fill="auto"/>
            <w:noWrap/>
            <w:vAlign w:val="center"/>
          </w:tcPr>
          <w:p w14:paraId="4D7E8976"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2433</w:t>
            </w:r>
          </w:p>
        </w:tc>
      </w:tr>
      <w:tr w:rsidR="00BB67F8" w:rsidRPr="007979B4" w14:paraId="02D10207"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79273C53"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71424711"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16839</w:t>
            </w:r>
          </w:p>
        </w:tc>
        <w:tc>
          <w:tcPr>
            <w:tcW w:w="2149" w:type="dxa"/>
            <w:tcBorders>
              <w:top w:val="nil"/>
              <w:left w:val="nil"/>
              <w:bottom w:val="single" w:sz="8" w:space="0" w:color="auto"/>
              <w:right w:val="single" w:sz="8" w:space="0" w:color="auto"/>
            </w:tcBorders>
            <w:shd w:val="clear" w:color="auto" w:fill="auto"/>
            <w:noWrap/>
            <w:vAlign w:val="center"/>
          </w:tcPr>
          <w:p w14:paraId="16AD4E6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11.2%</w:t>
            </w:r>
          </w:p>
        </w:tc>
        <w:tc>
          <w:tcPr>
            <w:tcW w:w="2149" w:type="dxa"/>
            <w:tcBorders>
              <w:top w:val="nil"/>
              <w:left w:val="nil"/>
              <w:bottom w:val="single" w:sz="8" w:space="0" w:color="auto"/>
              <w:right w:val="single" w:sz="8" w:space="0" w:color="auto"/>
            </w:tcBorders>
            <w:shd w:val="clear" w:color="auto" w:fill="auto"/>
            <w:noWrap/>
            <w:vAlign w:val="center"/>
          </w:tcPr>
          <w:p w14:paraId="11A50582"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1702</w:t>
            </w:r>
          </w:p>
        </w:tc>
      </w:tr>
      <w:tr w:rsidR="00BB67F8" w:rsidRPr="007979B4" w14:paraId="77D1B4EB"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27478A0E"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7E8807D0"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43A0A768"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0543098A" w14:textId="77777777" w:rsidR="00BB67F8" w:rsidRPr="007979B4" w:rsidRDefault="00BB67F8" w:rsidP="004F4D6F">
            <w:pPr>
              <w:spacing w:after="0" w:line="240" w:lineRule="auto"/>
              <w:rPr>
                <w:rFonts w:ascii="Tahoma" w:hAnsi="Tahoma" w:cs="Tahoma"/>
                <w:color w:val="FF0000"/>
              </w:rPr>
            </w:pPr>
          </w:p>
        </w:tc>
      </w:tr>
      <w:tr w:rsidR="00BB67F8" w:rsidRPr="007979B4" w14:paraId="6E4D316C"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431687A5" w14:textId="77777777" w:rsidR="00BB67F8" w:rsidRPr="004B34DC" w:rsidRDefault="00BB67F8" w:rsidP="004F4D6F">
            <w:pPr>
              <w:spacing w:after="0" w:line="240" w:lineRule="auto"/>
              <w:rPr>
                <w:rFonts w:ascii="Tahoma" w:hAnsi="Tahoma" w:cs="Tahoma"/>
                <w:b/>
                <w:bCs/>
                <w:color w:val="FF0000"/>
              </w:rPr>
            </w:pPr>
            <w:r w:rsidRPr="004B34DC">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525E8A8D" w14:textId="77777777" w:rsidR="00BB67F8" w:rsidRPr="004B34DC" w:rsidRDefault="00BB67F8" w:rsidP="004F4D6F">
            <w:pPr>
              <w:spacing w:after="0" w:line="240" w:lineRule="auto"/>
              <w:rPr>
                <w:rFonts w:ascii="Tahoma" w:hAnsi="Tahoma" w:cs="Tahoma"/>
                <w:b/>
                <w:bCs/>
              </w:rPr>
            </w:pPr>
            <w:r w:rsidRPr="004B34DC">
              <w:rPr>
                <w:rFonts w:ascii="Tahoma" w:hAnsi="Tahoma" w:cs="Tahoma"/>
                <w:b/>
                <w:bCs/>
              </w:rPr>
              <w:t>55.1%</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0FF61340" w14:textId="77777777" w:rsidR="00BB67F8" w:rsidRPr="004B34DC" w:rsidRDefault="00BB67F8" w:rsidP="004F4D6F">
            <w:pPr>
              <w:spacing w:after="0" w:line="240" w:lineRule="auto"/>
              <w:rPr>
                <w:rFonts w:ascii="Tahoma" w:hAnsi="Tahoma" w:cs="Tahoma"/>
                <w:b/>
                <w:bCs/>
              </w:rPr>
            </w:pPr>
            <w:r w:rsidRPr="004B34DC">
              <w:rPr>
                <w:rFonts w:ascii="Tahoma" w:hAnsi="Tahoma" w:cs="Tahoma"/>
                <w:b/>
                <w:bCs/>
              </w:rPr>
              <w:t>5980</w:t>
            </w:r>
          </w:p>
        </w:tc>
      </w:tr>
    </w:tbl>
    <w:p w14:paraId="226DFEC3" w14:textId="77777777" w:rsidR="00BB67F8" w:rsidRPr="007979B4" w:rsidRDefault="00BB67F8" w:rsidP="00BB67F8">
      <w:pPr>
        <w:spacing w:after="0" w:line="240" w:lineRule="auto"/>
        <w:rPr>
          <w:rFonts w:ascii="Tahoma" w:hAnsi="Tahoma" w:cs="Tahoma"/>
          <w:color w:val="FF0000"/>
        </w:rPr>
      </w:pPr>
    </w:p>
    <w:p w14:paraId="70D3427F"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noProof/>
          <w:color w:val="FF0000"/>
        </w:rPr>
        <w:drawing>
          <wp:inline distT="0" distB="0" distL="0" distR="0" wp14:anchorId="1B37E6E5" wp14:editId="4AA18D6C">
            <wp:extent cx="5689600" cy="2451100"/>
            <wp:effectExtent l="0" t="0" r="6350" b="6350"/>
            <wp:docPr id="10043503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9600" cy="2451100"/>
                    </a:xfrm>
                    <a:prstGeom prst="rect">
                      <a:avLst/>
                    </a:prstGeom>
                    <a:noFill/>
                  </pic:spPr>
                </pic:pic>
              </a:graphicData>
            </a:graphic>
          </wp:inline>
        </w:drawing>
      </w:r>
    </w:p>
    <w:p w14:paraId="73AB0329" w14:textId="77777777" w:rsidR="00BB67F8" w:rsidRPr="007979B4" w:rsidRDefault="00BB67F8" w:rsidP="00BB67F8">
      <w:pPr>
        <w:spacing w:after="0" w:line="240" w:lineRule="auto"/>
        <w:rPr>
          <w:rFonts w:ascii="Tahoma" w:hAnsi="Tahoma" w:cs="Tahoma"/>
          <w:color w:val="FF0000"/>
        </w:rPr>
      </w:pPr>
    </w:p>
    <w:p w14:paraId="02A53402" w14:textId="77777777" w:rsidR="00BB67F8" w:rsidRPr="007979B4" w:rsidRDefault="00BB67F8" w:rsidP="00BB67F8">
      <w:pPr>
        <w:spacing w:after="0" w:line="240" w:lineRule="auto"/>
        <w:rPr>
          <w:rFonts w:ascii="Tahoma" w:hAnsi="Tahoma" w:cs="Tahoma"/>
        </w:rPr>
      </w:pPr>
      <w:r w:rsidRPr="1D7D8BE7">
        <w:rPr>
          <w:rFonts w:ascii="Tahoma" w:hAnsi="Tahoma" w:cs="Tahoma"/>
        </w:rPr>
        <w:t>Over the 4 years’ period, Shoplifting offences experienced a 55.1% increase (5,980 more offences), with an 11.2% increase (+1,702 offences) for 2024/25. In contrast to most other crime types, Shoplifting has seen an increasing trend over the reporting period with the most recent 2 quarters experiencing the highest volumes.  This reflects national trends reported by the British Retail Consortium whereby a 25% increase was reported for April 2023 to March 2024 compared to the previous year.</w:t>
      </w:r>
    </w:p>
    <w:p w14:paraId="16C8EACD" w14:textId="77777777" w:rsidR="00BB67F8" w:rsidRPr="007979B4" w:rsidRDefault="00BB67F8" w:rsidP="00BB67F8">
      <w:pPr>
        <w:spacing w:after="0" w:line="240" w:lineRule="auto"/>
        <w:rPr>
          <w:rFonts w:ascii="Tahoma" w:hAnsi="Tahoma" w:cs="Tahoma"/>
        </w:rPr>
      </w:pPr>
    </w:p>
    <w:p w14:paraId="34E4652F" w14:textId="77777777" w:rsidR="00BB67F8" w:rsidRPr="007979B4" w:rsidRDefault="00BB67F8" w:rsidP="00BB67F8">
      <w:pPr>
        <w:spacing w:after="0" w:line="240" w:lineRule="auto"/>
        <w:rPr>
          <w:rFonts w:ascii="Tahoma" w:hAnsi="Tahoma" w:cs="Tahoma"/>
        </w:rPr>
      </w:pPr>
      <w:r w:rsidRPr="007979B4">
        <w:rPr>
          <w:rFonts w:ascii="Tahoma" w:hAnsi="Tahoma" w:cs="Tahoma"/>
        </w:rPr>
        <w:lastRenderedPageBreak/>
        <w:t>In September 2022, a Digital Asset Management System (DAMS) was introduced as a single system to receive, store, manage and share digital assets. This aims to make it easier and more efficient for businesses to submit digital evidence</w:t>
      </w:r>
      <w:r>
        <w:rPr>
          <w:rFonts w:ascii="Tahoma" w:hAnsi="Tahoma" w:cs="Tahoma"/>
        </w:rPr>
        <w:t>,</w:t>
      </w:r>
      <w:r w:rsidRPr="007979B4">
        <w:rPr>
          <w:rFonts w:ascii="Tahoma" w:hAnsi="Tahoma" w:cs="Tahoma"/>
        </w:rPr>
        <w:t xml:space="preserve"> such as CCTV</w:t>
      </w:r>
      <w:r>
        <w:rPr>
          <w:rFonts w:ascii="Tahoma" w:hAnsi="Tahoma" w:cs="Tahoma"/>
        </w:rPr>
        <w:t>,</w:t>
      </w:r>
      <w:r w:rsidRPr="007979B4">
        <w:rPr>
          <w:rFonts w:ascii="Tahoma" w:hAnsi="Tahoma" w:cs="Tahoma"/>
        </w:rPr>
        <w:t xml:space="preserve"> leading to earlier interventions to secure timelier outcomes. </w:t>
      </w:r>
    </w:p>
    <w:p w14:paraId="390A9B16" w14:textId="77777777" w:rsidR="00BB67F8" w:rsidRPr="007979B4" w:rsidRDefault="00BB67F8" w:rsidP="00BB67F8">
      <w:pPr>
        <w:spacing w:after="0" w:line="240" w:lineRule="auto"/>
        <w:rPr>
          <w:rFonts w:ascii="Tahoma" w:hAnsi="Tahoma" w:cs="Tahoma"/>
          <w:color w:val="FF0000"/>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44DC9F2F"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EC5AC1"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4628E0F" w14:textId="77777777" w:rsidR="00BB67F8" w:rsidRPr="007979B4" w:rsidRDefault="00BB67F8" w:rsidP="004F4D6F">
            <w:pPr>
              <w:spacing w:after="0" w:line="240" w:lineRule="auto"/>
              <w:rPr>
                <w:rFonts w:ascii="Tahoma" w:hAnsi="Tahoma" w:cs="Tahoma"/>
              </w:rPr>
            </w:pPr>
            <w:r w:rsidRPr="007979B4">
              <w:rPr>
                <w:rFonts w:ascii="Tahoma" w:hAnsi="Tahoma" w:cs="Tahoma"/>
              </w:rPr>
              <w:t>Suspect Interviewed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3F0972A"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FE3E532"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280EE33D"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5ED396C1"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764B4B4B"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3482</w:t>
            </w:r>
          </w:p>
        </w:tc>
        <w:tc>
          <w:tcPr>
            <w:tcW w:w="2149" w:type="dxa"/>
            <w:tcBorders>
              <w:top w:val="nil"/>
              <w:left w:val="nil"/>
              <w:bottom w:val="single" w:sz="8" w:space="0" w:color="auto"/>
              <w:right w:val="single" w:sz="8" w:space="0" w:color="auto"/>
            </w:tcBorders>
            <w:shd w:val="clear" w:color="auto" w:fill="auto"/>
            <w:noWrap/>
            <w:vAlign w:val="center"/>
          </w:tcPr>
          <w:p w14:paraId="41946CA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12.4%</w:t>
            </w:r>
          </w:p>
        </w:tc>
        <w:tc>
          <w:tcPr>
            <w:tcW w:w="2149" w:type="dxa"/>
            <w:tcBorders>
              <w:top w:val="nil"/>
              <w:left w:val="nil"/>
              <w:bottom w:val="single" w:sz="8" w:space="0" w:color="auto"/>
              <w:right w:val="single" w:sz="8" w:space="0" w:color="auto"/>
            </w:tcBorders>
            <w:shd w:val="clear" w:color="auto" w:fill="auto"/>
            <w:noWrap/>
            <w:vAlign w:val="center"/>
          </w:tcPr>
          <w:p w14:paraId="761894B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383</w:t>
            </w:r>
          </w:p>
        </w:tc>
      </w:tr>
      <w:tr w:rsidR="00BB67F8" w:rsidRPr="007979B4" w14:paraId="615C1ECE"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5E306736"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01F46A79"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3866</w:t>
            </w:r>
          </w:p>
        </w:tc>
        <w:tc>
          <w:tcPr>
            <w:tcW w:w="2149" w:type="dxa"/>
            <w:tcBorders>
              <w:top w:val="nil"/>
              <w:left w:val="nil"/>
              <w:bottom w:val="single" w:sz="8" w:space="0" w:color="auto"/>
              <w:right w:val="single" w:sz="8" w:space="0" w:color="auto"/>
            </w:tcBorders>
            <w:shd w:val="clear" w:color="auto" w:fill="auto"/>
            <w:noWrap/>
            <w:vAlign w:val="center"/>
          </w:tcPr>
          <w:p w14:paraId="18A54DFF"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11.0%</w:t>
            </w:r>
          </w:p>
        </w:tc>
        <w:tc>
          <w:tcPr>
            <w:tcW w:w="2149" w:type="dxa"/>
            <w:tcBorders>
              <w:top w:val="nil"/>
              <w:left w:val="nil"/>
              <w:bottom w:val="single" w:sz="8" w:space="0" w:color="auto"/>
              <w:right w:val="single" w:sz="8" w:space="0" w:color="auto"/>
            </w:tcBorders>
            <w:shd w:val="clear" w:color="auto" w:fill="auto"/>
            <w:noWrap/>
            <w:vAlign w:val="center"/>
          </w:tcPr>
          <w:p w14:paraId="18ADDF4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384</w:t>
            </w:r>
          </w:p>
        </w:tc>
      </w:tr>
      <w:tr w:rsidR="00BB67F8" w:rsidRPr="007979B4" w14:paraId="44E6BA7A"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2616A785"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4E255542"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4595</w:t>
            </w:r>
          </w:p>
        </w:tc>
        <w:tc>
          <w:tcPr>
            <w:tcW w:w="2149" w:type="dxa"/>
            <w:tcBorders>
              <w:top w:val="nil"/>
              <w:left w:val="nil"/>
              <w:bottom w:val="single" w:sz="8" w:space="0" w:color="auto"/>
              <w:right w:val="single" w:sz="8" w:space="0" w:color="auto"/>
            </w:tcBorders>
            <w:shd w:val="clear" w:color="auto" w:fill="auto"/>
            <w:noWrap/>
            <w:vAlign w:val="center"/>
          </w:tcPr>
          <w:p w14:paraId="0944AACF"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18.9%</w:t>
            </w:r>
          </w:p>
        </w:tc>
        <w:tc>
          <w:tcPr>
            <w:tcW w:w="2149" w:type="dxa"/>
            <w:tcBorders>
              <w:top w:val="nil"/>
              <w:left w:val="nil"/>
              <w:bottom w:val="single" w:sz="8" w:space="0" w:color="auto"/>
              <w:right w:val="single" w:sz="8" w:space="0" w:color="auto"/>
            </w:tcBorders>
            <w:shd w:val="clear" w:color="auto" w:fill="auto"/>
            <w:noWrap/>
            <w:vAlign w:val="center"/>
          </w:tcPr>
          <w:p w14:paraId="2A5974E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729</w:t>
            </w:r>
          </w:p>
        </w:tc>
      </w:tr>
      <w:tr w:rsidR="00BB67F8" w:rsidRPr="007979B4" w14:paraId="14DFC740"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628CBE1F"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4C66A95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5702</w:t>
            </w:r>
          </w:p>
        </w:tc>
        <w:tc>
          <w:tcPr>
            <w:tcW w:w="2149" w:type="dxa"/>
            <w:tcBorders>
              <w:top w:val="nil"/>
              <w:left w:val="nil"/>
              <w:bottom w:val="single" w:sz="8" w:space="0" w:color="auto"/>
              <w:right w:val="single" w:sz="8" w:space="0" w:color="auto"/>
            </w:tcBorders>
            <w:shd w:val="clear" w:color="auto" w:fill="auto"/>
            <w:noWrap/>
            <w:vAlign w:val="center"/>
          </w:tcPr>
          <w:p w14:paraId="197C498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24.1%</w:t>
            </w:r>
          </w:p>
        </w:tc>
        <w:tc>
          <w:tcPr>
            <w:tcW w:w="2149" w:type="dxa"/>
            <w:tcBorders>
              <w:top w:val="nil"/>
              <w:left w:val="nil"/>
              <w:bottom w:val="single" w:sz="8" w:space="0" w:color="auto"/>
              <w:right w:val="single" w:sz="8" w:space="0" w:color="auto"/>
            </w:tcBorders>
            <w:shd w:val="clear" w:color="auto" w:fill="auto"/>
            <w:noWrap/>
            <w:vAlign w:val="center"/>
          </w:tcPr>
          <w:p w14:paraId="501D735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1107</w:t>
            </w:r>
          </w:p>
        </w:tc>
      </w:tr>
      <w:tr w:rsidR="00BB67F8" w:rsidRPr="007979B4" w14:paraId="767EDFEC"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67EB9D84"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5506C4CB"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7FB8728A"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620F0D52" w14:textId="77777777" w:rsidR="00BB67F8" w:rsidRPr="007979B4" w:rsidRDefault="00BB67F8" w:rsidP="004F4D6F">
            <w:pPr>
              <w:spacing w:after="0" w:line="240" w:lineRule="auto"/>
              <w:rPr>
                <w:rFonts w:ascii="Tahoma" w:hAnsi="Tahoma" w:cs="Tahoma"/>
                <w:color w:val="FF0000"/>
              </w:rPr>
            </w:pPr>
          </w:p>
        </w:tc>
      </w:tr>
      <w:tr w:rsidR="00BB67F8" w:rsidRPr="007979B4" w14:paraId="657FED06"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7C615877" w14:textId="77777777" w:rsidR="00BB67F8" w:rsidRPr="00B2640F" w:rsidRDefault="00BB67F8" w:rsidP="004F4D6F">
            <w:pPr>
              <w:spacing w:after="0" w:line="240" w:lineRule="auto"/>
              <w:rPr>
                <w:rFonts w:ascii="Tahoma" w:hAnsi="Tahoma" w:cs="Tahoma"/>
                <w:b/>
                <w:bCs/>
                <w:color w:val="FF0000"/>
              </w:rPr>
            </w:pPr>
            <w:r w:rsidRPr="00B2640F">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3D8BD7A0" w14:textId="77777777" w:rsidR="00BB67F8" w:rsidRPr="00B2640F" w:rsidRDefault="00BB67F8" w:rsidP="004F4D6F">
            <w:pPr>
              <w:spacing w:after="0" w:line="240" w:lineRule="auto"/>
              <w:rPr>
                <w:rFonts w:ascii="Tahoma" w:hAnsi="Tahoma" w:cs="Tahoma"/>
                <w:b/>
                <w:bCs/>
              </w:rPr>
            </w:pPr>
            <w:r w:rsidRPr="00B2640F">
              <w:rPr>
                <w:rFonts w:ascii="Tahoma" w:hAnsi="Tahoma" w:cs="Tahoma"/>
                <w:b/>
                <w:bCs/>
              </w:rPr>
              <w:t>63.8%</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38DBDB7C" w14:textId="77777777" w:rsidR="00BB67F8" w:rsidRPr="00B2640F" w:rsidRDefault="00BB67F8" w:rsidP="004F4D6F">
            <w:pPr>
              <w:spacing w:after="0" w:line="240" w:lineRule="auto"/>
              <w:rPr>
                <w:rFonts w:ascii="Tahoma" w:hAnsi="Tahoma" w:cs="Tahoma"/>
                <w:b/>
                <w:bCs/>
              </w:rPr>
            </w:pPr>
            <w:r w:rsidRPr="00B2640F">
              <w:rPr>
                <w:rFonts w:ascii="Tahoma" w:hAnsi="Tahoma" w:cs="Tahoma"/>
                <w:b/>
                <w:bCs/>
              </w:rPr>
              <w:t>2220</w:t>
            </w:r>
          </w:p>
        </w:tc>
      </w:tr>
    </w:tbl>
    <w:p w14:paraId="77B4FC3B" w14:textId="77777777" w:rsidR="00BB67F8" w:rsidRPr="007979B4" w:rsidRDefault="00BB67F8" w:rsidP="00BB67F8">
      <w:pPr>
        <w:spacing w:after="0" w:line="240" w:lineRule="auto"/>
        <w:rPr>
          <w:rFonts w:ascii="Tahoma" w:hAnsi="Tahoma" w:cs="Tahoma"/>
          <w:color w:val="FF0000"/>
        </w:rPr>
      </w:pPr>
    </w:p>
    <w:p w14:paraId="753D69B4"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noProof/>
          <w:color w:val="FF0000"/>
        </w:rPr>
        <w:drawing>
          <wp:inline distT="0" distB="0" distL="0" distR="0" wp14:anchorId="32BB44D9" wp14:editId="554CFFCA">
            <wp:extent cx="5888990" cy="2451100"/>
            <wp:effectExtent l="0" t="0" r="0" b="6350"/>
            <wp:docPr id="10330205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88990" cy="2451100"/>
                    </a:xfrm>
                    <a:prstGeom prst="rect">
                      <a:avLst/>
                    </a:prstGeom>
                    <a:noFill/>
                  </pic:spPr>
                </pic:pic>
              </a:graphicData>
            </a:graphic>
          </wp:inline>
        </w:drawing>
      </w:r>
    </w:p>
    <w:p w14:paraId="500D0B69" w14:textId="77777777" w:rsidR="00BB67F8" w:rsidRPr="007979B4" w:rsidRDefault="00BB67F8" w:rsidP="00BB67F8">
      <w:pPr>
        <w:spacing w:after="0" w:line="240" w:lineRule="auto"/>
        <w:rPr>
          <w:rFonts w:ascii="Tahoma" w:hAnsi="Tahoma" w:cs="Tahoma"/>
        </w:rPr>
      </w:pPr>
    </w:p>
    <w:p w14:paraId="1F7BA013" w14:textId="2186D2D5" w:rsidR="00BB67F8" w:rsidRPr="007979B4" w:rsidRDefault="00BB67F8" w:rsidP="00BB67F8">
      <w:pPr>
        <w:spacing w:after="0" w:line="240" w:lineRule="auto"/>
        <w:rPr>
          <w:rFonts w:ascii="Tahoma" w:hAnsi="Tahoma" w:cs="Tahoma"/>
        </w:rPr>
      </w:pPr>
      <w:r w:rsidRPr="007979B4">
        <w:rPr>
          <w:rFonts w:ascii="Tahoma" w:hAnsi="Tahoma" w:cs="Tahoma"/>
        </w:rPr>
        <w:t>The 4 year</w:t>
      </w:r>
      <w:r>
        <w:rPr>
          <w:rFonts w:ascii="Tahoma" w:hAnsi="Tahoma" w:cs="Tahoma"/>
        </w:rPr>
        <w:t>s’</w:t>
      </w:r>
      <w:r w:rsidRPr="007979B4">
        <w:rPr>
          <w:rFonts w:ascii="Tahoma" w:hAnsi="Tahoma" w:cs="Tahoma"/>
        </w:rPr>
        <w:t xml:space="preserve"> comparison sees a 63.8% increase</w:t>
      </w:r>
      <w:r>
        <w:rPr>
          <w:rFonts w:ascii="Tahoma" w:hAnsi="Tahoma" w:cs="Tahoma"/>
        </w:rPr>
        <w:t xml:space="preserve">, </w:t>
      </w:r>
      <w:r w:rsidRPr="007979B4">
        <w:rPr>
          <w:rFonts w:ascii="Tahoma" w:hAnsi="Tahoma" w:cs="Tahoma"/>
        </w:rPr>
        <w:t>an additional 2,220 offences</w:t>
      </w:r>
      <w:r>
        <w:rPr>
          <w:rFonts w:ascii="Tahoma" w:hAnsi="Tahoma" w:cs="Tahoma"/>
        </w:rPr>
        <w:t xml:space="preserve">, for which a </w:t>
      </w:r>
      <w:r w:rsidRPr="007979B4">
        <w:rPr>
          <w:rFonts w:ascii="Tahoma" w:hAnsi="Tahoma" w:cs="Tahoma"/>
        </w:rPr>
        <w:t xml:space="preserve">suspect </w:t>
      </w:r>
      <w:r>
        <w:rPr>
          <w:rFonts w:ascii="Tahoma" w:hAnsi="Tahoma" w:cs="Tahoma"/>
        </w:rPr>
        <w:t xml:space="preserve">has been </w:t>
      </w:r>
      <w:r w:rsidRPr="007979B4">
        <w:rPr>
          <w:rFonts w:ascii="Tahoma" w:hAnsi="Tahoma" w:cs="Tahoma"/>
        </w:rPr>
        <w:t>arrested or interviewed for Shoplifting offences. The trend follows the pattern for recorded Shoplifting offences with the latest 2 quarters seeing the highest volumes across the 4 year</w:t>
      </w:r>
      <w:r w:rsidR="00345A7F">
        <w:rPr>
          <w:rFonts w:ascii="Tahoma" w:hAnsi="Tahoma" w:cs="Tahoma"/>
        </w:rPr>
        <w:t>s’</w:t>
      </w:r>
      <w:r w:rsidRPr="007979B4">
        <w:rPr>
          <w:rFonts w:ascii="Tahoma" w:hAnsi="Tahoma" w:cs="Tahoma"/>
        </w:rPr>
        <w:t xml:space="preserve"> period.</w:t>
      </w:r>
    </w:p>
    <w:p w14:paraId="64B8C614" w14:textId="77777777" w:rsidR="00BB67F8" w:rsidRPr="007979B4" w:rsidRDefault="00BB67F8" w:rsidP="00BB67F8">
      <w:pPr>
        <w:spacing w:after="0" w:line="240" w:lineRule="auto"/>
        <w:rPr>
          <w:rFonts w:ascii="Tahoma" w:hAnsi="Tahoma" w:cs="Tahoma"/>
          <w:color w:val="FF0000"/>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06DC6BB8"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93CA8E"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3CE6289" w14:textId="77777777" w:rsidR="00BB67F8" w:rsidRPr="007979B4" w:rsidRDefault="00BB67F8" w:rsidP="004F4D6F">
            <w:pPr>
              <w:spacing w:after="0" w:line="240" w:lineRule="auto"/>
              <w:rPr>
                <w:rFonts w:ascii="Tahoma" w:hAnsi="Tahoma" w:cs="Tahoma"/>
              </w:rPr>
            </w:pPr>
            <w:r w:rsidRPr="007979B4">
              <w:rPr>
                <w:rFonts w:ascii="Tahoma" w:hAnsi="Tahoma" w:cs="Tahoma"/>
              </w:rPr>
              <w:t>Charge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FA6D70C"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E94A074"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2E6652BB"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511D22B2"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65C8F0F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2172</w:t>
            </w:r>
          </w:p>
        </w:tc>
        <w:tc>
          <w:tcPr>
            <w:tcW w:w="2149" w:type="dxa"/>
            <w:tcBorders>
              <w:top w:val="nil"/>
              <w:left w:val="nil"/>
              <w:bottom w:val="single" w:sz="8" w:space="0" w:color="auto"/>
              <w:right w:val="single" w:sz="8" w:space="0" w:color="auto"/>
            </w:tcBorders>
            <w:shd w:val="clear" w:color="auto" w:fill="auto"/>
            <w:noWrap/>
            <w:vAlign w:val="center"/>
          </w:tcPr>
          <w:p w14:paraId="68D1EA1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-1.6%</w:t>
            </w:r>
          </w:p>
        </w:tc>
        <w:tc>
          <w:tcPr>
            <w:tcW w:w="2149" w:type="dxa"/>
            <w:tcBorders>
              <w:top w:val="nil"/>
              <w:left w:val="nil"/>
              <w:bottom w:val="single" w:sz="8" w:space="0" w:color="auto"/>
              <w:right w:val="single" w:sz="8" w:space="0" w:color="auto"/>
            </w:tcBorders>
            <w:shd w:val="clear" w:color="auto" w:fill="auto"/>
            <w:noWrap/>
            <w:vAlign w:val="center"/>
          </w:tcPr>
          <w:p w14:paraId="580E0F1B"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-36</w:t>
            </w:r>
          </w:p>
        </w:tc>
      </w:tr>
      <w:tr w:rsidR="00BB67F8" w:rsidRPr="007979B4" w14:paraId="0A7B4914"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26809432"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2DC207D9"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2561</w:t>
            </w:r>
          </w:p>
        </w:tc>
        <w:tc>
          <w:tcPr>
            <w:tcW w:w="2149" w:type="dxa"/>
            <w:tcBorders>
              <w:top w:val="nil"/>
              <w:left w:val="nil"/>
              <w:bottom w:val="single" w:sz="8" w:space="0" w:color="auto"/>
              <w:right w:val="single" w:sz="8" w:space="0" w:color="auto"/>
            </w:tcBorders>
            <w:shd w:val="clear" w:color="auto" w:fill="auto"/>
            <w:noWrap/>
            <w:vAlign w:val="center"/>
          </w:tcPr>
          <w:p w14:paraId="07B3E6D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17.9%</w:t>
            </w:r>
          </w:p>
        </w:tc>
        <w:tc>
          <w:tcPr>
            <w:tcW w:w="2149" w:type="dxa"/>
            <w:tcBorders>
              <w:top w:val="nil"/>
              <w:left w:val="nil"/>
              <w:bottom w:val="single" w:sz="8" w:space="0" w:color="auto"/>
              <w:right w:val="single" w:sz="8" w:space="0" w:color="auto"/>
            </w:tcBorders>
            <w:shd w:val="clear" w:color="auto" w:fill="auto"/>
            <w:noWrap/>
            <w:vAlign w:val="center"/>
          </w:tcPr>
          <w:p w14:paraId="1BAB021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389</w:t>
            </w:r>
          </w:p>
        </w:tc>
      </w:tr>
      <w:tr w:rsidR="00BB67F8" w:rsidRPr="007979B4" w14:paraId="3E7AC170"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36AF4441"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7CDA501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3106</w:t>
            </w:r>
          </w:p>
        </w:tc>
        <w:tc>
          <w:tcPr>
            <w:tcW w:w="2149" w:type="dxa"/>
            <w:tcBorders>
              <w:top w:val="nil"/>
              <w:left w:val="nil"/>
              <w:bottom w:val="single" w:sz="8" w:space="0" w:color="auto"/>
              <w:right w:val="single" w:sz="8" w:space="0" w:color="auto"/>
            </w:tcBorders>
            <w:shd w:val="clear" w:color="auto" w:fill="auto"/>
            <w:noWrap/>
            <w:vAlign w:val="center"/>
          </w:tcPr>
          <w:p w14:paraId="5E3FAACB"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21.3%</w:t>
            </w:r>
          </w:p>
        </w:tc>
        <w:tc>
          <w:tcPr>
            <w:tcW w:w="2149" w:type="dxa"/>
            <w:tcBorders>
              <w:top w:val="nil"/>
              <w:left w:val="nil"/>
              <w:bottom w:val="single" w:sz="8" w:space="0" w:color="auto"/>
              <w:right w:val="single" w:sz="8" w:space="0" w:color="auto"/>
            </w:tcBorders>
            <w:shd w:val="clear" w:color="auto" w:fill="auto"/>
            <w:noWrap/>
            <w:vAlign w:val="center"/>
          </w:tcPr>
          <w:p w14:paraId="4B88142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545</w:t>
            </w:r>
          </w:p>
        </w:tc>
      </w:tr>
      <w:tr w:rsidR="00BB67F8" w:rsidRPr="007979B4" w14:paraId="50D1BFD8"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065BBD48"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08793399"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3682</w:t>
            </w:r>
          </w:p>
        </w:tc>
        <w:tc>
          <w:tcPr>
            <w:tcW w:w="2149" w:type="dxa"/>
            <w:tcBorders>
              <w:top w:val="nil"/>
              <w:left w:val="nil"/>
              <w:bottom w:val="single" w:sz="8" w:space="0" w:color="auto"/>
              <w:right w:val="single" w:sz="8" w:space="0" w:color="auto"/>
            </w:tcBorders>
            <w:shd w:val="clear" w:color="auto" w:fill="auto"/>
            <w:noWrap/>
            <w:vAlign w:val="center"/>
          </w:tcPr>
          <w:p w14:paraId="2CBD302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18.5%</w:t>
            </w:r>
          </w:p>
        </w:tc>
        <w:tc>
          <w:tcPr>
            <w:tcW w:w="2149" w:type="dxa"/>
            <w:tcBorders>
              <w:top w:val="nil"/>
              <w:left w:val="nil"/>
              <w:bottom w:val="single" w:sz="8" w:space="0" w:color="auto"/>
              <w:right w:val="single" w:sz="8" w:space="0" w:color="auto"/>
            </w:tcBorders>
            <w:shd w:val="clear" w:color="auto" w:fill="auto"/>
            <w:noWrap/>
            <w:vAlign w:val="center"/>
          </w:tcPr>
          <w:p w14:paraId="70ED0B2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576</w:t>
            </w:r>
          </w:p>
        </w:tc>
      </w:tr>
      <w:tr w:rsidR="00BB67F8" w:rsidRPr="007979B4" w14:paraId="0491C293"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19B991DF"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7F1DC7AA"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3481B2AE"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6EB082AB" w14:textId="77777777" w:rsidR="00BB67F8" w:rsidRPr="007979B4" w:rsidRDefault="00BB67F8" w:rsidP="004F4D6F">
            <w:pPr>
              <w:spacing w:after="0" w:line="240" w:lineRule="auto"/>
              <w:rPr>
                <w:rFonts w:ascii="Tahoma" w:hAnsi="Tahoma" w:cs="Tahoma"/>
                <w:color w:val="FF0000"/>
              </w:rPr>
            </w:pPr>
          </w:p>
        </w:tc>
      </w:tr>
      <w:tr w:rsidR="00BB67F8" w:rsidRPr="007979B4" w14:paraId="178CE1E5"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66E23CF8" w14:textId="77777777" w:rsidR="00BB67F8" w:rsidRPr="00B2640F" w:rsidRDefault="00BB67F8" w:rsidP="004F4D6F">
            <w:pPr>
              <w:spacing w:after="0" w:line="240" w:lineRule="auto"/>
              <w:rPr>
                <w:rFonts w:ascii="Tahoma" w:hAnsi="Tahoma" w:cs="Tahoma"/>
                <w:b/>
                <w:bCs/>
                <w:color w:val="FF0000"/>
              </w:rPr>
            </w:pPr>
            <w:r w:rsidRPr="00B2640F">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1049DF72" w14:textId="77777777" w:rsidR="00BB67F8" w:rsidRPr="00B2640F" w:rsidRDefault="00BB67F8" w:rsidP="004F4D6F">
            <w:pPr>
              <w:spacing w:after="0" w:line="240" w:lineRule="auto"/>
              <w:rPr>
                <w:rFonts w:ascii="Tahoma" w:hAnsi="Tahoma" w:cs="Tahoma"/>
                <w:b/>
                <w:bCs/>
              </w:rPr>
            </w:pPr>
            <w:r w:rsidRPr="00B2640F">
              <w:rPr>
                <w:rFonts w:ascii="Tahoma" w:hAnsi="Tahoma" w:cs="Tahoma"/>
                <w:b/>
                <w:bCs/>
              </w:rPr>
              <w:t>69.5%</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7D0DDAB9" w14:textId="77777777" w:rsidR="00BB67F8" w:rsidRPr="00B2640F" w:rsidRDefault="00BB67F8" w:rsidP="004F4D6F">
            <w:pPr>
              <w:spacing w:after="0" w:line="240" w:lineRule="auto"/>
              <w:rPr>
                <w:rFonts w:ascii="Tahoma" w:hAnsi="Tahoma" w:cs="Tahoma"/>
                <w:b/>
                <w:bCs/>
              </w:rPr>
            </w:pPr>
            <w:r w:rsidRPr="00B2640F">
              <w:rPr>
                <w:rFonts w:ascii="Tahoma" w:hAnsi="Tahoma" w:cs="Tahoma"/>
                <w:b/>
                <w:bCs/>
              </w:rPr>
              <w:t>1510</w:t>
            </w:r>
          </w:p>
        </w:tc>
      </w:tr>
    </w:tbl>
    <w:p w14:paraId="12C2DD3E" w14:textId="77777777" w:rsidR="00BB67F8" w:rsidRPr="007979B4" w:rsidRDefault="00BB67F8" w:rsidP="00BB67F8">
      <w:pPr>
        <w:spacing w:after="0" w:line="240" w:lineRule="auto"/>
        <w:rPr>
          <w:rFonts w:ascii="Tahoma" w:hAnsi="Tahoma" w:cs="Tahoma"/>
          <w:color w:val="FF0000"/>
        </w:rPr>
      </w:pPr>
    </w:p>
    <w:p w14:paraId="58AE5F33"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noProof/>
          <w:color w:val="FF0000"/>
        </w:rPr>
        <w:lastRenderedPageBreak/>
        <w:drawing>
          <wp:inline distT="0" distB="0" distL="0" distR="0" wp14:anchorId="05FDC2C0" wp14:editId="7324F579">
            <wp:extent cx="5778500" cy="2374900"/>
            <wp:effectExtent l="0" t="0" r="0" b="6350"/>
            <wp:docPr id="210355276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8500" cy="2374900"/>
                    </a:xfrm>
                    <a:prstGeom prst="rect">
                      <a:avLst/>
                    </a:prstGeom>
                    <a:noFill/>
                  </pic:spPr>
                </pic:pic>
              </a:graphicData>
            </a:graphic>
          </wp:inline>
        </w:drawing>
      </w:r>
    </w:p>
    <w:p w14:paraId="348712E7" w14:textId="77777777" w:rsidR="00BB67F8" w:rsidRPr="007979B4" w:rsidRDefault="00BB67F8" w:rsidP="00BB67F8">
      <w:pPr>
        <w:spacing w:after="0" w:line="240" w:lineRule="auto"/>
        <w:rPr>
          <w:rFonts w:ascii="Tahoma" w:hAnsi="Tahoma" w:cs="Tahoma"/>
          <w:color w:val="FF0000"/>
        </w:rPr>
      </w:pPr>
    </w:p>
    <w:p w14:paraId="3CECE68F" w14:textId="77777777" w:rsidR="00BB67F8" w:rsidRPr="007979B4" w:rsidRDefault="00BB67F8" w:rsidP="00BB67F8">
      <w:pPr>
        <w:spacing w:after="0" w:line="240" w:lineRule="auto"/>
        <w:rPr>
          <w:rFonts w:ascii="Tahoma" w:hAnsi="Tahoma" w:cs="Tahoma"/>
        </w:rPr>
      </w:pPr>
      <w:r w:rsidRPr="007979B4">
        <w:rPr>
          <w:rFonts w:ascii="Tahoma" w:hAnsi="Tahoma" w:cs="Tahoma"/>
        </w:rPr>
        <w:t>Charge volumes have experienced a 69.5% increase with 1,510 more Charges over the 4 year</w:t>
      </w:r>
      <w:r>
        <w:rPr>
          <w:rFonts w:ascii="Tahoma" w:hAnsi="Tahoma" w:cs="Tahoma"/>
        </w:rPr>
        <w:t>s’</w:t>
      </w:r>
      <w:r w:rsidRPr="007979B4">
        <w:rPr>
          <w:rFonts w:ascii="Tahoma" w:hAnsi="Tahoma" w:cs="Tahoma"/>
        </w:rPr>
        <w:t xml:space="preserve"> period.</w:t>
      </w:r>
      <w:r>
        <w:rPr>
          <w:rFonts w:ascii="Tahoma" w:hAnsi="Tahoma" w:cs="Tahoma"/>
        </w:rPr>
        <w:t xml:space="preserve">  During 2024/25, there was a</w:t>
      </w:r>
      <w:r w:rsidRPr="007979B4">
        <w:rPr>
          <w:rFonts w:ascii="Tahoma" w:hAnsi="Tahoma" w:cs="Tahoma"/>
        </w:rPr>
        <w:t>n 18.5% increase with an additional 576 Charges. As with recorded Shoplifting offences</w:t>
      </w:r>
      <w:r>
        <w:rPr>
          <w:rFonts w:ascii="Tahoma" w:hAnsi="Tahoma" w:cs="Tahoma"/>
        </w:rPr>
        <w:t>,</w:t>
      </w:r>
      <w:r w:rsidRPr="007979B4">
        <w:rPr>
          <w:rFonts w:ascii="Tahoma" w:hAnsi="Tahoma" w:cs="Tahoma"/>
        </w:rPr>
        <w:t xml:space="preserve"> there is an increasing trend with 3 of the latest 4 quarters exceeding 900 Charges.  </w:t>
      </w:r>
    </w:p>
    <w:p w14:paraId="6755D017" w14:textId="77777777" w:rsidR="00BB67F8" w:rsidRPr="007979B4" w:rsidRDefault="00BB67F8" w:rsidP="00BB67F8">
      <w:pPr>
        <w:spacing w:after="0" w:line="240" w:lineRule="auto"/>
        <w:rPr>
          <w:rFonts w:ascii="Tahoma" w:hAnsi="Tahoma" w:cs="Tahoma"/>
          <w:color w:val="FF0000"/>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2BC35C20"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1D01E2"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DDE1ACA" w14:textId="77777777" w:rsidR="00BB67F8" w:rsidRPr="007979B4" w:rsidRDefault="00BB67F8" w:rsidP="004F4D6F">
            <w:pPr>
              <w:spacing w:after="0" w:line="240" w:lineRule="auto"/>
              <w:rPr>
                <w:rFonts w:ascii="Tahoma" w:hAnsi="Tahoma" w:cs="Tahoma"/>
              </w:rPr>
            </w:pPr>
            <w:r w:rsidRPr="007979B4">
              <w:rPr>
                <w:rFonts w:ascii="Tahoma" w:hAnsi="Tahoma" w:cs="Tahoma"/>
              </w:rPr>
              <w:t>Out of Court Disposal</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CB66923"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CEC2E92"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6D30186F"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00B1FD3D"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474CB6D2"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779</w:t>
            </w:r>
          </w:p>
        </w:tc>
        <w:tc>
          <w:tcPr>
            <w:tcW w:w="2149" w:type="dxa"/>
            <w:tcBorders>
              <w:top w:val="nil"/>
              <w:left w:val="nil"/>
              <w:bottom w:val="single" w:sz="8" w:space="0" w:color="auto"/>
              <w:right w:val="single" w:sz="8" w:space="0" w:color="auto"/>
            </w:tcBorders>
            <w:shd w:val="clear" w:color="auto" w:fill="auto"/>
            <w:noWrap/>
            <w:vAlign w:val="center"/>
          </w:tcPr>
          <w:p w14:paraId="650E6FD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32.3%</w:t>
            </w:r>
          </w:p>
        </w:tc>
        <w:tc>
          <w:tcPr>
            <w:tcW w:w="2149" w:type="dxa"/>
            <w:tcBorders>
              <w:top w:val="nil"/>
              <w:left w:val="nil"/>
              <w:bottom w:val="single" w:sz="8" w:space="0" w:color="auto"/>
              <w:right w:val="single" w:sz="8" w:space="0" w:color="auto"/>
            </w:tcBorders>
            <w:shd w:val="clear" w:color="auto" w:fill="auto"/>
            <w:noWrap/>
            <w:vAlign w:val="center"/>
          </w:tcPr>
          <w:p w14:paraId="75E4FFA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190</w:t>
            </w:r>
          </w:p>
        </w:tc>
      </w:tr>
      <w:tr w:rsidR="00BB67F8" w:rsidRPr="007979B4" w14:paraId="65F571BC"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69263CDA"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7AF97200"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774</w:t>
            </w:r>
          </w:p>
        </w:tc>
        <w:tc>
          <w:tcPr>
            <w:tcW w:w="2149" w:type="dxa"/>
            <w:tcBorders>
              <w:top w:val="nil"/>
              <w:left w:val="nil"/>
              <w:bottom w:val="single" w:sz="8" w:space="0" w:color="auto"/>
              <w:right w:val="single" w:sz="8" w:space="0" w:color="auto"/>
            </w:tcBorders>
            <w:shd w:val="clear" w:color="auto" w:fill="auto"/>
            <w:noWrap/>
            <w:vAlign w:val="center"/>
          </w:tcPr>
          <w:p w14:paraId="4E975F0A"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-0.6%</w:t>
            </w:r>
          </w:p>
        </w:tc>
        <w:tc>
          <w:tcPr>
            <w:tcW w:w="2149" w:type="dxa"/>
            <w:tcBorders>
              <w:top w:val="nil"/>
              <w:left w:val="nil"/>
              <w:bottom w:val="single" w:sz="8" w:space="0" w:color="auto"/>
              <w:right w:val="single" w:sz="8" w:space="0" w:color="auto"/>
            </w:tcBorders>
            <w:shd w:val="clear" w:color="auto" w:fill="auto"/>
            <w:noWrap/>
            <w:vAlign w:val="center"/>
          </w:tcPr>
          <w:p w14:paraId="2025D1F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-5</w:t>
            </w:r>
          </w:p>
        </w:tc>
      </w:tr>
      <w:tr w:rsidR="00BB67F8" w:rsidRPr="007979B4" w14:paraId="3A2BCA70"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14191430"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2128359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966</w:t>
            </w:r>
          </w:p>
        </w:tc>
        <w:tc>
          <w:tcPr>
            <w:tcW w:w="2149" w:type="dxa"/>
            <w:tcBorders>
              <w:top w:val="nil"/>
              <w:left w:val="nil"/>
              <w:bottom w:val="single" w:sz="8" w:space="0" w:color="auto"/>
              <w:right w:val="single" w:sz="8" w:space="0" w:color="auto"/>
            </w:tcBorders>
            <w:shd w:val="clear" w:color="auto" w:fill="auto"/>
            <w:noWrap/>
            <w:vAlign w:val="center"/>
          </w:tcPr>
          <w:p w14:paraId="1E9C34D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24.8%</w:t>
            </w:r>
          </w:p>
        </w:tc>
        <w:tc>
          <w:tcPr>
            <w:tcW w:w="2149" w:type="dxa"/>
            <w:tcBorders>
              <w:top w:val="nil"/>
              <w:left w:val="nil"/>
              <w:bottom w:val="single" w:sz="8" w:space="0" w:color="auto"/>
              <w:right w:val="single" w:sz="8" w:space="0" w:color="auto"/>
            </w:tcBorders>
            <w:shd w:val="clear" w:color="auto" w:fill="auto"/>
            <w:noWrap/>
            <w:vAlign w:val="center"/>
          </w:tcPr>
          <w:p w14:paraId="69A3561F"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192</w:t>
            </w:r>
          </w:p>
        </w:tc>
      </w:tr>
      <w:tr w:rsidR="00BB67F8" w:rsidRPr="007979B4" w14:paraId="4F7FA36C"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3D020919"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1223D8D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1662</w:t>
            </w:r>
          </w:p>
        </w:tc>
        <w:tc>
          <w:tcPr>
            <w:tcW w:w="2149" w:type="dxa"/>
            <w:tcBorders>
              <w:top w:val="nil"/>
              <w:left w:val="nil"/>
              <w:bottom w:val="single" w:sz="8" w:space="0" w:color="auto"/>
              <w:right w:val="single" w:sz="8" w:space="0" w:color="auto"/>
            </w:tcBorders>
            <w:shd w:val="clear" w:color="auto" w:fill="auto"/>
            <w:noWrap/>
            <w:vAlign w:val="center"/>
          </w:tcPr>
          <w:p w14:paraId="0442013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72.0%</w:t>
            </w:r>
          </w:p>
        </w:tc>
        <w:tc>
          <w:tcPr>
            <w:tcW w:w="2149" w:type="dxa"/>
            <w:tcBorders>
              <w:top w:val="nil"/>
              <w:left w:val="nil"/>
              <w:bottom w:val="single" w:sz="8" w:space="0" w:color="auto"/>
              <w:right w:val="single" w:sz="8" w:space="0" w:color="auto"/>
            </w:tcBorders>
            <w:shd w:val="clear" w:color="auto" w:fill="auto"/>
            <w:noWrap/>
            <w:vAlign w:val="center"/>
          </w:tcPr>
          <w:p w14:paraId="7334E69A"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696</w:t>
            </w:r>
          </w:p>
        </w:tc>
      </w:tr>
      <w:tr w:rsidR="00BB67F8" w:rsidRPr="007979B4" w14:paraId="38C43F60"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6EAD3B47"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06C7F2DB"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3FBC69F1"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3A3906BC" w14:textId="77777777" w:rsidR="00BB67F8" w:rsidRPr="007979B4" w:rsidRDefault="00BB67F8" w:rsidP="004F4D6F">
            <w:pPr>
              <w:spacing w:after="0" w:line="240" w:lineRule="auto"/>
              <w:rPr>
                <w:rFonts w:ascii="Tahoma" w:hAnsi="Tahoma" w:cs="Tahoma"/>
                <w:color w:val="FF0000"/>
              </w:rPr>
            </w:pPr>
          </w:p>
        </w:tc>
      </w:tr>
      <w:tr w:rsidR="00BB67F8" w:rsidRPr="007979B4" w14:paraId="299B25C6"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5BC020FD" w14:textId="77777777" w:rsidR="00BB67F8" w:rsidRPr="00B2640F" w:rsidRDefault="00BB67F8" w:rsidP="004F4D6F">
            <w:pPr>
              <w:spacing w:after="0" w:line="240" w:lineRule="auto"/>
              <w:rPr>
                <w:rFonts w:ascii="Tahoma" w:hAnsi="Tahoma" w:cs="Tahoma"/>
                <w:b/>
                <w:bCs/>
                <w:color w:val="FF0000"/>
              </w:rPr>
            </w:pPr>
            <w:r w:rsidRPr="00B2640F">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74BE5EF3" w14:textId="77777777" w:rsidR="00BB67F8" w:rsidRPr="00B2640F" w:rsidRDefault="00BB67F8" w:rsidP="004F4D6F">
            <w:pPr>
              <w:spacing w:after="0" w:line="240" w:lineRule="auto"/>
              <w:rPr>
                <w:rFonts w:ascii="Tahoma" w:hAnsi="Tahoma" w:cs="Tahoma"/>
                <w:b/>
                <w:bCs/>
              </w:rPr>
            </w:pPr>
            <w:r w:rsidRPr="00B2640F">
              <w:rPr>
                <w:rFonts w:ascii="Tahoma" w:hAnsi="Tahoma" w:cs="Tahoma"/>
                <w:b/>
                <w:bCs/>
              </w:rPr>
              <w:t>113.4%</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464D96B3" w14:textId="77777777" w:rsidR="00BB67F8" w:rsidRPr="00B2640F" w:rsidRDefault="00BB67F8" w:rsidP="004F4D6F">
            <w:pPr>
              <w:spacing w:after="0" w:line="240" w:lineRule="auto"/>
              <w:rPr>
                <w:rFonts w:ascii="Tahoma" w:hAnsi="Tahoma" w:cs="Tahoma"/>
                <w:b/>
                <w:bCs/>
              </w:rPr>
            </w:pPr>
            <w:r w:rsidRPr="00B2640F">
              <w:rPr>
                <w:rFonts w:ascii="Tahoma" w:hAnsi="Tahoma" w:cs="Tahoma"/>
                <w:b/>
                <w:bCs/>
              </w:rPr>
              <w:t>883</w:t>
            </w:r>
          </w:p>
        </w:tc>
      </w:tr>
    </w:tbl>
    <w:p w14:paraId="4004E11D" w14:textId="77777777" w:rsidR="00BB67F8" w:rsidRPr="007979B4" w:rsidRDefault="00BB67F8" w:rsidP="00BB67F8">
      <w:pPr>
        <w:spacing w:after="0" w:line="240" w:lineRule="auto"/>
        <w:rPr>
          <w:rFonts w:ascii="Tahoma" w:hAnsi="Tahoma" w:cs="Tahoma"/>
          <w:color w:val="FF0000"/>
        </w:rPr>
      </w:pPr>
    </w:p>
    <w:p w14:paraId="163CFA9E"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noProof/>
          <w:color w:val="FF0000"/>
        </w:rPr>
        <w:drawing>
          <wp:inline distT="0" distB="0" distL="0" distR="0" wp14:anchorId="6BEA05DC" wp14:editId="0BEFC023">
            <wp:extent cx="5702300" cy="2324100"/>
            <wp:effectExtent l="0" t="0" r="0" b="0"/>
            <wp:docPr id="74551707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2300" cy="2324100"/>
                    </a:xfrm>
                    <a:prstGeom prst="rect">
                      <a:avLst/>
                    </a:prstGeom>
                    <a:noFill/>
                  </pic:spPr>
                </pic:pic>
              </a:graphicData>
            </a:graphic>
          </wp:inline>
        </w:drawing>
      </w:r>
    </w:p>
    <w:p w14:paraId="3C673426" w14:textId="77777777" w:rsidR="00BB67F8" w:rsidRPr="007979B4" w:rsidRDefault="00BB67F8" w:rsidP="00BB67F8">
      <w:pPr>
        <w:spacing w:after="0" w:line="240" w:lineRule="auto"/>
        <w:rPr>
          <w:rFonts w:ascii="Tahoma" w:hAnsi="Tahoma" w:cs="Tahoma"/>
          <w:color w:val="FF0000"/>
        </w:rPr>
      </w:pPr>
    </w:p>
    <w:p w14:paraId="5E486AD9" w14:textId="7DCEC4B0" w:rsidR="00BB67F8" w:rsidRDefault="00BB67F8" w:rsidP="00BB67F8">
      <w:pPr>
        <w:spacing w:after="0" w:line="240" w:lineRule="auto"/>
        <w:rPr>
          <w:rFonts w:ascii="Tahoma" w:hAnsi="Tahoma" w:cs="Tahoma"/>
        </w:rPr>
      </w:pPr>
      <w:r w:rsidRPr="1D7D8BE7">
        <w:rPr>
          <w:rFonts w:ascii="Tahoma" w:hAnsi="Tahoma" w:cs="Tahoma"/>
        </w:rPr>
        <w:t>Over the 4 years’ period, Out of Court Disposals for Shoplifting offences have seen a 113.4% increase (+883).  During 2024/25, there was an increase of 72% with 696 more Out of Court Disposals. This is attributable to a 91.6% increase (+685) in CRs and a 36.2% increase (+50) in Adult Cautions. Whilst there is an increasing trend over the 4 years’ period, it is since October 2023 that this has become more promi</w:t>
      </w:r>
      <w:r w:rsidR="002B1450" w:rsidRPr="1D7D8BE7">
        <w:rPr>
          <w:rFonts w:ascii="Tahoma" w:hAnsi="Tahoma" w:cs="Tahoma"/>
        </w:rPr>
        <w:t xml:space="preserve">nent.  </w:t>
      </w:r>
    </w:p>
    <w:p w14:paraId="0745B285" w14:textId="77777777" w:rsidR="00227563" w:rsidRDefault="00227563" w:rsidP="00BB67F8">
      <w:pPr>
        <w:spacing w:after="0" w:line="240" w:lineRule="auto"/>
        <w:rPr>
          <w:rFonts w:ascii="Tahoma" w:hAnsi="Tahoma" w:cs="Tahoma"/>
        </w:rPr>
      </w:pPr>
    </w:p>
    <w:p w14:paraId="4878809D" w14:textId="385A96FD" w:rsidR="00227563" w:rsidRPr="007979B4" w:rsidRDefault="00227563" w:rsidP="00BB67F8">
      <w:pPr>
        <w:spacing w:after="0" w:line="240" w:lineRule="auto"/>
        <w:rPr>
          <w:rFonts w:ascii="Tahoma" w:hAnsi="Tahoma" w:cs="Tahoma"/>
        </w:rPr>
      </w:pPr>
      <w:r>
        <w:rPr>
          <w:rFonts w:ascii="Tahoma" w:hAnsi="Tahoma" w:cs="Tahoma"/>
        </w:rPr>
        <w:t xml:space="preserve">As referenced at the start of this paper, the Force’s new Neighbourhood Policing Model and the further investment from the Neighbourhood Policing Guarantee, will enable an enhanced </w:t>
      </w:r>
      <w:r>
        <w:rPr>
          <w:rFonts w:ascii="Tahoma" w:hAnsi="Tahoma" w:cs="Tahoma"/>
        </w:rPr>
        <w:lastRenderedPageBreak/>
        <w:t xml:space="preserve">focus on town centre policing.  This will also complement the work being led by the Kent PCC through his Retail Crime Board, launched in September 2024, bringing together representatives of Kent Police, leading retail brands, members of the customer service industry, and Town Centre Managers to share good practice and develop effective partnerships to prevent and tackle shoplifting and other related offences.  </w:t>
      </w:r>
    </w:p>
    <w:p w14:paraId="7D612466" w14:textId="77777777" w:rsidR="00BB67F8" w:rsidRDefault="00BB67F8" w:rsidP="00BB67F8">
      <w:pPr>
        <w:spacing w:after="0" w:line="240" w:lineRule="auto"/>
        <w:rPr>
          <w:rFonts w:ascii="Tahoma" w:hAnsi="Tahoma" w:cs="Tahoma"/>
        </w:rPr>
      </w:pPr>
    </w:p>
    <w:p w14:paraId="1A6EE515" w14:textId="77777777" w:rsidR="00BB67F8" w:rsidRPr="00D84DDC" w:rsidRDefault="00BB67F8" w:rsidP="00BB67F8">
      <w:pPr>
        <w:pStyle w:val="ListParagraph"/>
        <w:spacing w:after="0" w:line="240" w:lineRule="auto"/>
        <w:ind w:left="0"/>
        <w:rPr>
          <w:rFonts w:ascii="Tahoma" w:hAnsi="Tahoma" w:cs="Tahoma"/>
          <w:b/>
          <w:bCs/>
          <w:u w:val="single"/>
        </w:rPr>
      </w:pPr>
      <w:r w:rsidRPr="00D84DDC">
        <w:rPr>
          <w:rFonts w:ascii="Tahoma" w:hAnsi="Tahoma" w:cs="Tahoma"/>
          <w:b/>
          <w:bCs/>
          <w:u w:val="single"/>
        </w:rPr>
        <w:t>Violent Crime</w:t>
      </w:r>
    </w:p>
    <w:p w14:paraId="2B5727A1" w14:textId="77777777" w:rsidR="00BB67F8" w:rsidRPr="007979B4" w:rsidRDefault="00BB67F8" w:rsidP="00BB67F8">
      <w:pPr>
        <w:pStyle w:val="ListParagraph"/>
        <w:spacing w:after="0" w:line="240" w:lineRule="auto"/>
        <w:ind w:left="0"/>
        <w:rPr>
          <w:rFonts w:ascii="Tahoma" w:hAnsi="Tahoma" w:cs="Tahoma"/>
          <w:b/>
          <w:bCs/>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0F191D24"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980C87"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92563FE" w14:textId="77777777" w:rsidR="00BB67F8" w:rsidRPr="007979B4" w:rsidRDefault="00BB67F8" w:rsidP="004F4D6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A79F604"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3DFE321"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63FD0D54"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517FB1BD"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2AD27A5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91471</w:t>
            </w:r>
          </w:p>
        </w:tc>
        <w:tc>
          <w:tcPr>
            <w:tcW w:w="2149" w:type="dxa"/>
            <w:tcBorders>
              <w:top w:val="nil"/>
              <w:left w:val="nil"/>
              <w:bottom w:val="single" w:sz="8" w:space="0" w:color="auto"/>
              <w:right w:val="single" w:sz="8" w:space="0" w:color="auto"/>
            </w:tcBorders>
            <w:shd w:val="clear" w:color="auto" w:fill="auto"/>
            <w:noWrap/>
            <w:vAlign w:val="center"/>
          </w:tcPr>
          <w:p w14:paraId="67AB93BF"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10.1%</w:t>
            </w:r>
          </w:p>
        </w:tc>
        <w:tc>
          <w:tcPr>
            <w:tcW w:w="2149" w:type="dxa"/>
            <w:tcBorders>
              <w:top w:val="nil"/>
              <w:left w:val="nil"/>
              <w:bottom w:val="single" w:sz="8" w:space="0" w:color="auto"/>
              <w:right w:val="single" w:sz="8" w:space="0" w:color="auto"/>
            </w:tcBorders>
            <w:shd w:val="clear" w:color="auto" w:fill="auto"/>
            <w:noWrap/>
            <w:vAlign w:val="center"/>
          </w:tcPr>
          <w:p w14:paraId="3C4FFF2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8405</w:t>
            </w:r>
          </w:p>
        </w:tc>
      </w:tr>
      <w:tr w:rsidR="00BB67F8" w:rsidRPr="007979B4" w14:paraId="2AB17798"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7DF54141"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44D5507A"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84302</w:t>
            </w:r>
          </w:p>
        </w:tc>
        <w:tc>
          <w:tcPr>
            <w:tcW w:w="2149" w:type="dxa"/>
            <w:tcBorders>
              <w:top w:val="nil"/>
              <w:left w:val="nil"/>
              <w:bottom w:val="single" w:sz="8" w:space="0" w:color="auto"/>
              <w:right w:val="single" w:sz="8" w:space="0" w:color="auto"/>
            </w:tcBorders>
            <w:shd w:val="clear" w:color="auto" w:fill="auto"/>
            <w:noWrap/>
            <w:vAlign w:val="center"/>
          </w:tcPr>
          <w:p w14:paraId="467D278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-7.8%</w:t>
            </w:r>
          </w:p>
        </w:tc>
        <w:tc>
          <w:tcPr>
            <w:tcW w:w="2149" w:type="dxa"/>
            <w:tcBorders>
              <w:top w:val="nil"/>
              <w:left w:val="nil"/>
              <w:bottom w:val="single" w:sz="8" w:space="0" w:color="auto"/>
              <w:right w:val="single" w:sz="8" w:space="0" w:color="auto"/>
            </w:tcBorders>
            <w:shd w:val="clear" w:color="auto" w:fill="auto"/>
            <w:noWrap/>
            <w:vAlign w:val="center"/>
          </w:tcPr>
          <w:p w14:paraId="4A61F2E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-7169</w:t>
            </w:r>
          </w:p>
        </w:tc>
      </w:tr>
      <w:tr w:rsidR="00BB67F8" w:rsidRPr="007979B4" w14:paraId="35C47094"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7545C19B"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10214AC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78348</w:t>
            </w:r>
          </w:p>
        </w:tc>
        <w:tc>
          <w:tcPr>
            <w:tcW w:w="2149" w:type="dxa"/>
            <w:tcBorders>
              <w:top w:val="nil"/>
              <w:left w:val="nil"/>
              <w:bottom w:val="single" w:sz="8" w:space="0" w:color="auto"/>
              <w:right w:val="single" w:sz="8" w:space="0" w:color="auto"/>
            </w:tcBorders>
            <w:shd w:val="clear" w:color="auto" w:fill="auto"/>
            <w:noWrap/>
            <w:vAlign w:val="center"/>
          </w:tcPr>
          <w:p w14:paraId="683E6452"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-7.1%</w:t>
            </w:r>
          </w:p>
        </w:tc>
        <w:tc>
          <w:tcPr>
            <w:tcW w:w="2149" w:type="dxa"/>
            <w:tcBorders>
              <w:top w:val="nil"/>
              <w:left w:val="nil"/>
              <w:bottom w:val="single" w:sz="8" w:space="0" w:color="auto"/>
              <w:right w:val="single" w:sz="8" w:space="0" w:color="auto"/>
            </w:tcBorders>
            <w:shd w:val="clear" w:color="auto" w:fill="auto"/>
            <w:noWrap/>
            <w:vAlign w:val="center"/>
          </w:tcPr>
          <w:p w14:paraId="3C9B8830"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-5954</w:t>
            </w:r>
          </w:p>
        </w:tc>
      </w:tr>
      <w:tr w:rsidR="00BB67F8" w:rsidRPr="007979B4" w14:paraId="1BC3691B"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4C1FC11F"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7940968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75140</w:t>
            </w:r>
          </w:p>
        </w:tc>
        <w:tc>
          <w:tcPr>
            <w:tcW w:w="2149" w:type="dxa"/>
            <w:tcBorders>
              <w:top w:val="nil"/>
              <w:left w:val="nil"/>
              <w:bottom w:val="single" w:sz="8" w:space="0" w:color="auto"/>
              <w:right w:val="single" w:sz="8" w:space="0" w:color="auto"/>
            </w:tcBorders>
            <w:shd w:val="clear" w:color="auto" w:fill="auto"/>
            <w:noWrap/>
            <w:vAlign w:val="center"/>
          </w:tcPr>
          <w:p w14:paraId="3DDCACB0"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-4.1%</w:t>
            </w:r>
          </w:p>
        </w:tc>
        <w:tc>
          <w:tcPr>
            <w:tcW w:w="2149" w:type="dxa"/>
            <w:tcBorders>
              <w:top w:val="nil"/>
              <w:left w:val="nil"/>
              <w:bottom w:val="single" w:sz="8" w:space="0" w:color="auto"/>
              <w:right w:val="single" w:sz="8" w:space="0" w:color="auto"/>
            </w:tcBorders>
            <w:shd w:val="clear" w:color="auto" w:fill="auto"/>
            <w:noWrap/>
            <w:vAlign w:val="center"/>
          </w:tcPr>
          <w:p w14:paraId="55D9B361"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-3208</w:t>
            </w:r>
          </w:p>
        </w:tc>
      </w:tr>
      <w:tr w:rsidR="00BB67F8" w:rsidRPr="007979B4" w14:paraId="139273BD"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32A3F49F"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56EC39FF"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3F79DB5B"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40E1053B" w14:textId="77777777" w:rsidR="00BB67F8" w:rsidRPr="007979B4" w:rsidRDefault="00BB67F8" w:rsidP="004F4D6F">
            <w:pPr>
              <w:spacing w:after="0" w:line="240" w:lineRule="auto"/>
              <w:rPr>
                <w:rFonts w:ascii="Tahoma" w:hAnsi="Tahoma" w:cs="Tahoma"/>
                <w:color w:val="FF0000"/>
              </w:rPr>
            </w:pPr>
          </w:p>
        </w:tc>
      </w:tr>
      <w:tr w:rsidR="00BB67F8" w:rsidRPr="007979B4" w14:paraId="033A7E23"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746EE230" w14:textId="77777777" w:rsidR="00BB67F8" w:rsidRPr="00D84DDC" w:rsidRDefault="00BB67F8" w:rsidP="004F4D6F">
            <w:pPr>
              <w:spacing w:after="0" w:line="240" w:lineRule="auto"/>
              <w:rPr>
                <w:rFonts w:ascii="Tahoma" w:hAnsi="Tahoma" w:cs="Tahoma"/>
                <w:b/>
                <w:bCs/>
                <w:color w:val="FF0000"/>
              </w:rPr>
            </w:pPr>
            <w:r w:rsidRPr="00D84DDC">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5CE8450B" w14:textId="77777777" w:rsidR="00BB67F8" w:rsidRPr="00D84DDC" w:rsidRDefault="00BB67F8" w:rsidP="004F4D6F">
            <w:pPr>
              <w:spacing w:after="0" w:line="240" w:lineRule="auto"/>
              <w:rPr>
                <w:rFonts w:ascii="Tahoma" w:hAnsi="Tahoma" w:cs="Tahoma"/>
                <w:b/>
                <w:bCs/>
              </w:rPr>
            </w:pPr>
            <w:r w:rsidRPr="00D84DDC">
              <w:rPr>
                <w:rFonts w:ascii="Tahoma" w:hAnsi="Tahoma" w:cs="Tahoma"/>
                <w:b/>
                <w:bCs/>
              </w:rPr>
              <w:t>-17.9%</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55ADAFB4" w14:textId="77777777" w:rsidR="00BB67F8" w:rsidRPr="00D84DDC" w:rsidRDefault="00BB67F8" w:rsidP="004F4D6F">
            <w:pPr>
              <w:spacing w:after="0" w:line="240" w:lineRule="auto"/>
              <w:rPr>
                <w:rFonts w:ascii="Tahoma" w:hAnsi="Tahoma" w:cs="Tahoma"/>
                <w:b/>
                <w:bCs/>
              </w:rPr>
            </w:pPr>
            <w:r w:rsidRPr="00D84DDC">
              <w:rPr>
                <w:rFonts w:ascii="Tahoma" w:hAnsi="Tahoma" w:cs="Tahoma"/>
                <w:b/>
                <w:bCs/>
              </w:rPr>
              <w:t>-16331</w:t>
            </w:r>
          </w:p>
        </w:tc>
      </w:tr>
    </w:tbl>
    <w:p w14:paraId="7605ADD9" w14:textId="77777777" w:rsidR="00BB67F8" w:rsidRPr="007979B4" w:rsidRDefault="00BB67F8" w:rsidP="00BB67F8">
      <w:pPr>
        <w:spacing w:after="0" w:line="240" w:lineRule="auto"/>
        <w:rPr>
          <w:rFonts w:ascii="Tahoma" w:hAnsi="Tahoma" w:cs="Tahoma"/>
          <w:color w:val="FF0000"/>
        </w:rPr>
      </w:pPr>
    </w:p>
    <w:p w14:paraId="52EB5352"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noProof/>
          <w:color w:val="FF0000"/>
        </w:rPr>
        <w:drawing>
          <wp:inline distT="0" distB="0" distL="0" distR="0" wp14:anchorId="1CB2B022" wp14:editId="0E1BC81E">
            <wp:extent cx="5803900" cy="2257425"/>
            <wp:effectExtent l="0" t="0" r="6350" b="9525"/>
            <wp:docPr id="14231714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03900" cy="2257425"/>
                    </a:xfrm>
                    <a:prstGeom prst="rect">
                      <a:avLst/>
                    </a:prstGeom>
                    <a:noFill/>
                  </pic:spPr>
                </pic:pic>
              </a:graphicData>
            </a:graphic>
          </wp:inline>
        </w:drawing>
      </w:r>
    </w:p>
    <w:p w14:paraId="28E85A84" w14:textId="77777777" w:rsidR="00BB67F8" w:rsidRPr="007979B4" w:rsidRDefault="00BB67F8" w:rsidP="00BB67F8">
      <w:pPr>
        <w:spacing w:after="0" w:line="240" w:lineRule="auto"/>
        <w:rPr>
          <w:rFonts w:ascii="Tahoma" w:hAnsi="Tahoma" w:cs="Tahoma"/>
          <w:color w:val="FF0000"/>
        </w:rPr>
      </w:pPr>
    </w:p>
    <w:p w14:paraId="66E9E3CE" w14:textId="77777777" w:rsidR="00BB67F8" w:rsidRPr="007979B4" w:rsidRDefault="00BB67F8" w:rsidP="00BB67F8">
      <w:pPr>
        <w:spacing w:after="0" w:line="240" w:lineRule="auto"/>
        <w:rPr>
          <w:rFonts w:ascii="Tahoma" w:hAnsi="Tahoma" w:cs="Tahoma"/>
        </w:rPr>
      </w:pPr>
      <w:r w:rsidRPr="007979B4">
        <w:rPr>
          <w:rFonts w:ascii="Tahoma" w:hAnsi="Tahoma" w:cs="Tahoma"/>
        </w:rPr>
        <w:t>With regards to the Home Office Counting Rules</w:t>
      </w:r>
      <w:r>
        <w:rPr>
          <w:rFonts w:ascii="Tahoma" w:hAnsi="Tahoma" w:cs="Tahoma"/>
        </w:rPr>
        <w:t>,</w:t>
      </w:r>
      <w:r w:rsidRPr="007979B4">
        <w:rPr>
          <w:rFonts w:ascii="Tahoma" w:hAnsi="Tahoma" w:cs="Tahoma"/>
        </w:rPr>
        <w:t xml:space="preserve"> Violent Crime includes a broad </w:t>
      </w:r>
      <w:r>
        <w:rPr>
          <w:rFonts w:ascii="Tahoma" w:hAnsi="Tahoma" w:cs="Tahoma"/>
        </w:rPr>
        <w:t>spectrum</w:t>
      </w:r>
      <w:r w:rsidRPr="007979B4">
        <w:rPr>
          <w:rFonts w:ascii="Tahoma" w:hAnsi="Tahoma" w:cs="Tahoma"/>
        </w:rPr>
        <w:t xml:space="preserve"> of offences from non-injury reports to the most serious violence, including homicide. The Force’s Control Strategy features quite heavily in this category, such as Sexual Offences, Domestic Abuse and Robbery.</w:t>
      </w:r>
    </w:p>
    <w:p w14:paraId="35D53D3D" w14:textId="77777777" w:rsidR="00BB67F8" w:rsidRPr="007979B4" w:rsidRDefault="00BB67F8" w:rsidP="00BB67F8">
      <w:pPr>
        <w:spacing w:after="0" w:line="240" w:lineRule="auto"/>
        <w:rPr>
          <w:rFonts w:ascii="Tahoma" w:hAnsi="Tahoma" w:cs="Tahoma"/>
          <w:color w:val="FF0000"/>
        </w:rPr>
      </w:pPr>
    </w:p>
    <w:p w14:paraId="509B1A1C" w14:textId="77777777" w:rsidR="00BB67F8" w:rsidRPr="007979B4" w:rsidRDefault="00BB67F8" w:rsidP="00BB67F8">
      <w:pPr>
        <w:spacing w:after="0" w:line="240" w:lineRule="auto"/>
        <w:rPr>
          <w:rFonts w:ascii="Tahoma" w:hAnsi="Tahoma" w:cs="Tahoma"/>
        </w:rPr>
      </w:pPr>
      <w:r w:rsidRPr="1D7D8BE7">
        <w:rPr>
          <w:rFonts w:ascii="Tahoma" w:hAnsi="Tahoma" w:cs="Tahoma"/>
        </w:rPr>
        <w:t>Violent Crime has experienced a decrease of -17.9%, with 16,331 less offences over the 4 years’ period. During 2024/25, there was a -4.1% decrease (3,208 less offences) compared to the previous year. There is an overall downwards trend with some seasonality evident with peaks in July to September and lowest volumes in January to March.</w:t>
      </w:r>
    </w:p>
    <w:p w14:paraId="694592EA" w14:textId="77777777" w:rsidR="00BB67F8" w:rsidRPr="007979B4" w:rsidRDefault="00BB67F8" w:rsidP="00BB67F8">
      <w:pPr>
        <w:spacing w:after="0" w:line="240" w:lineRule="auto"/>
        <w:rPr>
          <w:rFonts w:ascii="Tahoma" w:eastAsia="Calibri" w:hAnsi="Tahoma" w:cs="Tahoma"/>
          <w:color w:val="FF0000"/>
        </w:rPr>
      </w:pPr>
    </w:p>
    <w:p w14:paraId="2D2206AE" w14:textId="77777777" w:rsidR="00BB67F8" w:rsidRPr="00BB67F8" w:rsidRDefault="00BB67F8" w:rsidP="00BB67F8">
      <w:pPr>
        <w:pStyle w:val="ListParagraph"/>
        <w:spacing w:after="0" w:line="240" w:lineRule="auto"/>
        <w:ind w:left="0"/>
        <w:rPr>
          <w:rFonts w:ascii="Tahoma" w:hAnsi="Tahoma" w:cs="Tahoma"/>
          <w:b/>
          <w:bCs/>
          <w:u w:val="single"/>
        </w:rPr>
      </w:pPr>
      <w:r w:rsidRPr="00BB67F8">
        <w:rPr>
          <w:rFonts w:ascii="Tahoma" w:hAnsi="Tahoma" w:cs="Tahoma"/>
          <w:b/>
          <w:bCs/>
          <w:u w:val="single"/>
        </w:rPr>
        <w:t>Robbery</w:t>
      </w:r>
    </w:p>
    <w:p w14:paraId="0D671BBA" w14:textId="77777777" w:rsidR="00BB67F8" w:rsidRPr="007979B4" w:rsidRDefault="00BB67F8" w:rsidP="00BB67F8">
      <w:pPr>
        <w:pStyle w:val="ListParagraph"/>
        <w:spacing w:after="0" w:line="240" w:lineRule="auto"/>
        <w:ind w:left="0"/>
        <w:rPr>
          <w:rFonts w:ascii="Tahoma" w:hAnsi="Tahoma" w:cs="Tahoma"/>
          <w:b/>
          <w:bCs/>
        </w:rPr>
      </w:pPr>
      <w:r w:rsidRPr="007979B4">
        <w:rPr>
          <w:rFonts w:ascii="Tahoma" w:hAnsi="Tahoma" w:cs="Tahoma"/>
          <w:b/>
          <w:bCs/>
        </w:rPr>
        <w:t xml:space="preserve"> </w:t>
      </w: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391BE633"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9F723B"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AEE1C19" w14:textId="77777777" w:rsidR="00BB67F8" w:rsidRPr="007979B4" w:rsidRDefault="00BB67F8" w:rsidP="004F4D6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BB8BCAE"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92B31A1"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6467451D"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7E5AFDE7"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03CB7CC9"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1192</w:t>
            </w:r>
          </w:p>
        </w:tc>
        <w:tc>
          <w:tcPr>
            <w:tcW w:w="2149" w:type="dxa"/>
            <w:tcBorders>
              <w:top w:val="nil"/>
              <w:left w:val="nil"/>
              <w:bottom w:val="single" w:sz="8" w:space="0" w:color="auto"/>
              <w:right w:val="single" w:sz="8" w:space="0" w:color="auto"/>
            </w:tcBorders>
            <w:shd w:val="clear" w:color="auto" w:fill="auto"/>
            <w:noWrap/>
            <w:vAlign w:val="center"/>
          </w:tcPr>
          <w:p w14:paraId="307ED3DB"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-2.0%</w:t>
            </w:r>
          </w:p>
        </w:tc>
        <w:tc>
          <w:tcPr>
            <w:tcW w:w="2149" w:type="dxa"/>
            <w:tcBorders>
              <w:top w:val="nil"/>
              <w:left w:val="nil"/>
              <w:bottom w:val="single" w:sz="8" w:space="0" w:color="auto"/>
              <w:right w:val="single" w:sz="8" w:space="0" w:color="auto"/>
            </w:tcBorders>
            <w:shd w:val="clear" w:color="auto" w:fill="auto"/>
            <w:noWrap/>
            <w:vAlign w:val="center"/>
          </w:tcPr>
          <w:p w14:paraId="0C92522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-24</w:t>
            </w:r>
          </w:p>
        </w:tc>
      </w:tr>
      <w:tr w:rsidR="00BB67F8" w:rsidRPr="007979B4" w14:paraId="6ECFB3BE"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68D34F49"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0D9596F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1261</w:t>
            </w:r>
          </w:p>
        </w:tc>
        <w:tc>
          <w:tcPr>
            <w:tcW w:w="2149" w:type="dxa"/>
            <w:tcBorders>
              <w:top w:val="nil"/>
              <w:left w:val="nil"/>
              <w:bottom w:val="single" w:sz="8" w:space="0" w:color="auto"/>
              <w:right w:val="single" w:sz="8" w:space="0" w:color="auto"/>
            </w:tcBorders>
            <w:shd w:val="clear" w:color="auto" w:fill="auto"/>
            <w:noWrap/>
            <w:vAlign w:val="center"/>
          </w:tcPr>
          <w:p w14:paraId="3ECE17D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5.8%</w:t>
            </w:r>
          </w:p>
        </w:tc>
        <w:tc>
          <w:tcPr>
            <w:tcW w:w="2149" w:type="dxa"/>
            <w:tcBorders>
              <w:top w:val="nil"/>
              <w:left w:val="nil"/>
              <w:bottom w:val="single" w:sz="8" w:space="0" w:color="auto"/>
              <w:right w:val="single" w:sz="8" w:space="0" w:color="auto"/>
            </w:tcBorders>
            <w:shd w:val="clear" w:color="auto" w:fill="auto"/>
            <w:noWrap/>
            <w:vAlign w:val="center"/>
          </w:tcPr>
          <w:p w14:paraId="03765CB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69</w:t>
            </w:r>
          </w:p>
        </w:tc>
      </w:tr>
      <w:tr w:rsidR="00BB67F8" w:rsidRPr="007979B4" w14:paraId="6337A158"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312F6301"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01F5F542"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1084</w:t>
            </w:r>
          </w:p>
        </w:tc>
        <w:tc>
          <w:tcPr>
            <w:tcW w:w="2149" w:type="dxa"/>
            <w:tcBorders>
              <w:top w:val="nil"/>
              <w:left w:val="nil"/>
              <w:bottom w:val="single" w:sz="8" w:space="0" w:color="auto"/>
              <w:right w:val="single" w:sz="8" w:space="0" w:color="auto"/>
            </w:tcBorders>
            <w:shd w:val="clear" w:color="auto" w:fill="auto"/>
            <w:noWrap/>
            <w:vAlign w:val="center"/>
          </w:tcPr>
          <w:p w14:paraId="53CE9AE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-14.0%</w:t>
            </w:r>
          </w:p>
        </w:tc>
        <w:tc>
          <w:tcPr>
            <w:tcW w:w="2149" w:type="dxa"/>
            <w:tcBorders>
              <w:top w:val="nil"/>
              <w:left w:val="nil"/>
              <w:bottom w:val="single" w:sz="8" w:space="0" w:color="auto"/>
              <w:right w:val="single" w:sz="8" w:space="0" w:color="auto"/>
            </w:tcBorders>
            <w:shd w:val="clear" w:color="auto" w:fill="auto"/>
            <w:noWrap/>
            <w:vAlign w:val="center"/>
          </w:tcPr>
          <w:p w14:paraId="381A478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-177</w:t>
            </w:r>
          </w:p>
        </w:tc>
      </w:tr>
      <w:tr w:rsidR="00BB67F8" w:rsidRPr="007979B4" w14:paraId="489BC167"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6835A4DA"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6D023102"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952</w:t>
            </w:r>
          </w:p>
        </w:tc>
        <w:tc>
          <w:tcPr>
            <w:tcW w:w="2149" w:type="dxa"/>
            <w:tcBorders>
              <w:top w:val="nil"/>
              <w:left w:val="nil"/>
              <w:bottom w:val="single" w:sz="8" w:space="0" w:color="auto"/>
              <w:right w:val="single" w:sz="8" w:space="0" w:color="auto"/>
            </w:tcBorders>
            <w:shd w:val="clear" w:color="auto" w:fill="auto"/>
            <w:noWrap/>
            <w:vAlign w:val="center"/>
          </w:tcPr>
          <w:p w14:paraId="081F1690"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-12.2%</w:t>
            </w:r>
          </w:p>
        </w:tc>
        <w:tc>
          <w:tcPr>
            <w:tcW w:w="2149" w:type="dxa"/>
            <w:tcBorders>
              <w:top w:val="nil"/>
              <w:left w:val="nil"/>
              <w:bottom w:val="single" w:sz="8" w:space="0" w:color="auto"/>
              <w:right w:val="single" w:sz="8" w:space="0" w:color="auto"/>
            </w:tcBorders>
            <w:shd w:val="clear" w:color="auto" w:fill="auto"/>
            <w:noWrap/>
            <w:vAlign w:val="center"/>
          </w:tcPr>
          <w:p w14:paraId="2BB1371B"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-132</w:t>
            </w:r>
          </w:p>
        </w:tc>
      </w:tr>
      <w:tr w:rsidR="00BB67F8" w:rsidRPr="007979B4" w14:paraId="76E5DAB2"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1A5767E8"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263A00CE"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1A3DAA4B"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4ABAAF5A" w14:textId="77777777" w:rsidR="00BB67F8" w:rsidRPr="007979B4" w:rsidRDefault="00BB67F8" w:rsidP="004F4D6F">
            <w:pPr>
              <w:spacing w:after="0" w:line="240" w:lineRule="auto"/>
              <w:rPr>
                <w:rFonts w:ascii="Tahoma" w:hAnsi="Tahoma" w:cs="Tahoma"/>
                <w:color w:val="FF0000"/>
              </w:rPr>
            </w:pPr>
          </w:p>
        </w:tc>
      </w:tr>
      <w:tr w:rsidR="00BB67F8" w:rsidRPr="007979B4" w14:paraId="603A635A"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6B03D80C" w14:textId="77777777" w:rsidR="00BB67F8" w:rsidRPr="00D84DDC" w:rsidRDefault="00BB67F8" w:rsidP="004F4D6F">
            <w:pPr>
              <w:spacing w:after="0" w:line="240" w:lineRule="auto"/>
              <w:rPr>
                <w:rFonts w:ascii="Tahoma" w:hAnsi="Tahoma" w:cs="Tahoma"/>
                <w:b/>
                <w:bCs/>
                <w:color w:val="FF0000"/>
              </w:rPr>
            </w:pPr>
            <w:r w:rsidRPr="00D84DDC">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0D842818" w14:textId="77777777" w:rsidR="00BB67F8" w:rsidRPr="00D84DDC" w:rsidRDefault="00BB67F8" w:rsidP="004F4D6F">
            <w:pPr>
              <w:spacing w:after="0" w:line="240" w:lineRule="auto"/>
              <w:rPr>
                <w:rFonts w:ascii="Tahoma" w:hAnsi="Tahoma" w:cs="Tahoma"/>
                <w:b/>
                <w:bCs/>
              </w:rPr>
            </w:pPr>
            <w:r w:rsidRPr="00D84DDC">
              <w:rPr>
                <w:rFonts w:ascii="Tahoma" w:hAnsi="Tahoma" w:cs="Tahoma"/>
                <w:b/>
                <w:bCs/>
              </w:rPr>
              <w:t>-20.1%</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2202CB35" w14:textId="77777777" w:rsidR="00BB67F8" w:rsidRPr="00D84DDC" w:rsidRDefault="00BB67F8" w:rsidP="004F4D6F">
            <w:pPr>
              <w:spacing w:after="0" w:line="240" w:lineRule="auto"/>
              <w:rPr>
                <w:rFonts w:ascii="Tahoma" w:hAnsi="Tahoma" w:cs="Tahoma"/>
                <w:b/>
                <w:bCs/>
              </w:rPr>
            </w:pPr>
            <w:r w:rsidRPr="00D84DDC">
              <w:rPr>
                <w:rFonts w:ascii="Tahoma" w:hAnsi="Tahoma" w:cs="Tahoma"/>
                <w:b/>
                <w:bCs/>
              </w:rPr>
              <w:t>-240</w:t>
            </w:r>
          </w:p>
        </w:tc>
      </w:tr>
    </w:tbl>
    <w:p w14:paraId="3B026F41" w14:textId="77777777" w:rsidR="00BB67F8" w:rsidRPr="007979B4" w:rsidRDefault="00BB67F8" w:rsidP="00BB67F8">
      <w:pPr>
        <w:spacing w:after="0" w:line="240" w:lineRule="auto"/>
        <w:rPr>
          <w:rFonts w:ascii="Tahoma" w:hAnsi="Tahoma" w:cs="Tahoma"/>
          <w:color w:val="FF0000"/>
        </w:rPr>
      </w:pPr>
    </w:p>
    <w:p w14:paraId="6772D83E"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noProof/>
          <w:color w:val="FF0000"/>
        </w:rPr>
        <w:drawing>
          <wp:inline distT="0" distB="0" distL="0" distR="0" wp14:anchorId="5AD8F07A" wp14:editId="4F8E6065">
            <wp:extent cx="5759450" cy="2203450"/>
            <wp:effectExtent l="0" t="0" r="0" b="6350"/>
            <wp:docPr id="4170494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2203450"/>
                    </a:xfrm>
                    <a:prstGeom prst="rect">
                      <a:avLst/>
                    </a:prstGeom>
                    <a:noFill/>
                  </pic:spPr>
                </pic:pic>
              </a:graphicData>
            </a:graphic>
          </wp:inline>
        </w:drawing>
      </w:r>
    </w:p>
    <w:p w14:paraId="3BDEB53D" w14:textId="77777777" w:rsidR="00BB67F8" w:rsidRPr="007979B4" w:rsidRDefault="00BB67F8" w:rsidP="00BB67F8">
      <w:pPr>
        <w:spacing w:after="0" w:line="240" w:lineRule="auto"/>
        <w:rPr>
          <w:rFonts w:ascii="Tahoma" w:hAnsi="Tahoma" w:cs="Tahoma"/>
          <w:color w:val="FF0000"/>
        </w:rPr>
      </w:pPr>
    </w:p>
    <w:p w14:paraId="69DBC285" w14:textId="77777777" w:rsidR="00BB67F8" w:rsidRPr="007979B4" w:rsidRDefault="00BB67F8" w:rsidP="00BB67F8">
      <w:pPr>
        <w:spacing w:after="0" w:line="240" w:lineRule="auto"/>
        <w:rPr>
          <w:rFonts w:ascii="Tahoma" w:hAnsi="Tahoma" w:cs="Tahoma"/>
        </w:rPr>
      </w:pPr>
      <w:r w:rsidRPr="007979B4">
        <w:rPr>
          <w:rFonts w:ascii="Tahoma" w:hAnsi="Tahoma" w:cs="Tahoma"/>
        </w:rPr>
        <w:t>Over the 4 year</w:t>
      </w:r>
      <w:r>
        <w:rPr>
          <w:rFonts w:ascii="Tahoma" w:hAnsi="Tahoma" w:cs="Tahoma"/>
        </w:rPr>
        <w:t>s’</w:t>
      </w:r>
      <w:r w:rsidRPr="007979B4">
        <w:rPr>
          <w:rFonts w:ascii="Tahoma" w:hAnsi="Tahoma" w:cs="Tahoma"/>
        </w:rPr>
        <w:t xml:space="preserve"> period, Robbery offences have experienced a decrease of -20.1%, with 240 less offences. There is a decrease of -12.2%</w:t>
      </w:r>
      <w:r>
        <w:rPr>
          <w:rFonts w:ascii="Tahoma" w:hAnsi="Tahoma" w:cs="Tahoma"/>
        </w:rPr>
        <w:t xml:space="preserve"> (</w:t>
      </w:r>
      <w:r w:rsidRPr="007979B4">
        <w:rPr>
          <w:rFonts w:ascii="Tahoma" w:hAnsi="Tahoma" w:cs="Tahoma"/>
        </w:rPr>
        <w:t>132 less offences</w:t>
      </w:r>
      <w:r>
        <w:rPr>
          <w:rFonts w:ascii="Tahoma" w:hAnsi="Tahoma" w:cs="Tahoma"/>
        </w:rPr>
        <w:t>)</w:t>
      </w:r>
      <w:r w:rsidRPr="007979B4">
        <w:rPr>
          <w:rFonts w:ascii="Tahoma" w:hAnsi="Tahoma" w:cs="Tahoma"/>
        </w:rPr>
        <w:t xml:space="preserve"> for the current financial year. Offences have been on a downward trend following the peak in July 2022 to September 2022</w:t>
      </w:r>
      <w:r>
        <w:rPr>
          <w:rFonts w:ascii="Tahoma" w:hAnsi="Tahoma" w:cs="Tahoma"/>
        </w:rPr>
        <w:t>,</w:t>
      </w:r>
      <w:r w:rsidRPr="007979B4">
        <w:rPr>
          <w:rFonts w:ascii="Tahoma" w:hAnsi="Tahoma" w:cs="Tahoma"/>
        </w:rPr>
        <w:t xml:space="preserve"> with the average monthly volume of offences at 79 compared to 90 for the previous financial year.</w:t>
      </w:r>
    </w:p>
    <w:p w14:paraId="2EC24E98" w14:textId="77777777" w:rsidR="00BB67F8" w:rsidRPr="007979B4" w:rsidRDefault="00BB67F8" w:rsidP="00BB67F8">
      <w:pPr>
        <w:spacing w:after="0" w:line="240" w:lineRule="auto"/>
        <w:rPr>
          <w:rFonts w:ascii="Tahoma" w:hAnsi="Tahoma" w:cs="Tahoma"/>
        </w:rPr>
      </w:pPr>
    </w:p>
    <w:p w14:paraId="6F4DF4BC" w14:textId="77777777" w:rsidR="00BB67F8" w:rsidRDefault="00BB67F8" w:rsidP="00BB67F8">
      <w:pPr>
        <w:spacing w:after="0" w:line="240" w:lineRule="auto"/>
        <w:rPr>
          <w:rFonts w:ascii="Tahoma" w:hAnsi="Tahoma" w:cs="Tahoma"/>
        </w:rPr>
      </w:pPr>
      <w:r w:rsidRPr="007979B4">
        <w:rPr>
          <w:rFonts w:ascii="Tahoma" w:hAnsi="Tahoma" w:cs="Tahoma"/>
        </w:rPr>
        <w:t>The rate of suspects arrested and interviewed has seen an increase</w:t>
      </w:r>
      <w:r>
        <w:rPr>
          <w:rFonts w:ascii="Tahoma" w:hAnsi="Tahoma" w:cs="Tahoma"/>
        </w:rPr>
        <w:t xml:space="preserve"> of</w:t>
      </w:r>
      <w:r w:rsidRPr="007979B4">
        <w:rPr>
          <w:rFonts w:ascii="Tahoma" w:hAnsi="Tahoma" w:cs="Tahoma"/>
        </w:rPr>
        <w:t xml:space="preserve"> +0.5</w:t>
      </w:r>
      <w:r>
        <w:rPr>
          <w:rFonts w:ascii="Tahoma" w:hAnsi="Tahoma" w:cs="Tahoma"/>
        </w:rPr>
        <w:t>%</w:t>
      </w:r>
      <w:r w:rsidRPr="007979B4">
        <w:rPr>
          <w:rFonts w:ascii="Tahoma" w:hAnsi="Tahoma" w:cs="Tahoma"/>
        </w:rPr>
        <w:t xml:space="preserve"> to 35.6%</w:t>
      </w:r>
      <w:r>
        <w:rPr>
          <w:rFonts w:ascii="Tahoma" w:hAnsi="Tahoma" w:cs="Tahoma"/>
        </w:rPr>
        <w:t xml:space="preserve">, as well as </w:t>
      </w:r>
      <w:r w:rsidRPr="007979B4">
        <w:rPr>
          <w:rFonts w:ascii="Tahoma" w:hAnsi="Tahoma" w:cs="Tahoma"/>
        </w:rPr>
        <w:t>a 1.8</w:t>
      </w:r>
      <w:r>
        <w:rPr>
          <w:rFonts w:ascii="Tahoma" w:hAnsi="Tahoma" w:cs="Tahoma"/>
        </w:rPr>
        <w:t>%</w:t>
      </w:r>
      <w:r w:rsidRPr="007979B4">
        <w:rPr>
          <w:rFonts w:ascii="Tahoma" w:hAnsi="Tahoma" w:cs="Tahoma"/>
        </w:rPr>
        <w:t xml:space="preserve"> increase in the Charge Rate to 17.4%.</w:t>
      </w:r>
    </w:p>
    <w:p w14:paraId="3A7753FE" w14:textId="77777777" w:rsidR="00BB67F8" w:rsidRPr="007979B4" w:rsidRDefault="00BB67F8" w:rsidP="00BB67F8">
      <w:pPr>
        <w:spacing w:after="0" w:line="240" w:lineRule="auto"/>
        <w:rPr>
          <w:rFonts w:ascii="Tahoma" w:hAnsi="Tahoma" w:cs="Tahoma"/>
        </w:rPr>
      </w:pPr>
    </w:p>
    <w:p w14:paraId="4358EF98" w14:textId="77777777" w:rsidR="00BB67F8" w:rsidRPr="00032CCC" w:rsidRDefault="00BB67F8" w:rsidP="00BB67F8">
      <w:pPr>
        <w:pStyle w:val="ListParagraph"/>
        <w:spacing w:after="0" w:line="240" w:lineRule="auto"/>
        <w:ind w:left="0"/>
        <w:rPr>
          <w:rFonts w:ascii="Tahoma" w:hAnsi="Tahoma" w:cs="Tahoma"/>
          <w:b/>
          <w:bCs/>
          <w:u w:val="single"/>
        </w:rPr>
      </w:pPr>
      <w:r w:rsidRPr="00032CCC">
        <w:rPr>
          <w:rFonts w:ascii="Tahoma" w:hAnsi="Tahoma" w:cs="Tahoma"/>
          <w:b/>
          <w:bCs/>
          <w:u w:val="single"/>
        </w:rPr>
        <w:t>Hate Crime</w:t>
      </w:r>
    </w:p>
    <w:p w14:paraId="45EC5F9A" w14:textId="77777777" w:rsidR="00BB67F8" w:rsidRPr="007979B4" w:rsidRDefault="00BB67F8" w:rsidP="00BB67F8">
      <w:pPr>
        <w:pStyle w:val="ListParagraph"/>
        <w:spacing w:after="0" w:line="240" w:lineRule="auto"/>
        <w:ind w:left="0"/>
        <w:rPr>
          <w:rFonts w:ascii="Tahoma" w:hAnsi="Tahoma" w:cs="Tahoma"/>
          <w:b/>
          <w:bCs/>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3AA3116F"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1C786E"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744D381" w14:textId="77777777" w:rsidR="00BB67F8" w:rsidRPr="007979B4" w:rsidRDefault="00BB67F8" w:rsidP="004F4D6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672B08A"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8EB6C35"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50F4F70E"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1CE0A38C"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70EEEBA0"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4942</w:t>
            </w:r>
          </w:p>
        </w:tc>
        <w:tc>
          <w:tcPr>
            <w:tcW w:w="2149" w:type="dxa"/>
            <w:tcBorders>
              <w:top w:val="nil"/>
              <w:left w:val="nil"/>
              <w:bottom w:val="single" w:sz="8" w:space="0" w:color="auto"/>
              <w:right w:val="single" w:sz="8" w:space="0" w:color="auto"/>
            </w:tcBorders>
            <w:shd w:val="clear" w:color="auto" w:fill="auto"/>
            <w:noWrap/>
            <w:vAlign w:val="center"/>
          </w:tcPr>
          <w:p w14:paraId="18D25B0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25.8%</w:t>
            </w:r>
          </w:p>
        </w:tc>
        <w:tc>
          <w:tcPr>
            <w:tcW w:w="2149" w:type="dxa"/>
            <w:tcBorders>
              <w:top w:val="nil"/>
              <w:left w:val="nil"/>
              <w:bottom w:val="single" w:sz="8" w:space="0" w:color="auto"/>
              <w:right w:val="single" w:sz="8" w:space="0" w:color="auto"/>
            </w:tcBorders>
            <w:shd w:val="clear" w:color="auto" w:fill="auto"/>
            <w:noWrap/>
            <w:vAlign w:val="center"/>
          </w:tcPr>
          <w:p w14:paraId="58FBDA5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1015</w:t>
            </w:r>
          </w:p>
        </w:tc>
      </w:tr>
      <w:tr w:rsidR="00BB67F8" w:rsidRPr="007979B4" w14:paraId="1F5476FD"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60B6A2AF"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598C022B"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4809</w:t>
            </w:r>
          </w:p>
        </w:tc>
        <w:tc>
          <w:tcPr>
            <w:tcW w:w="2149" w:type="dxa"/>
            <w:tcBorders>
              <w:top w:val="nil"/>
              <w:left w:val="nil"/>
              <w:bottom w:val="single" w:sz="8" w:space="0" w:color="auto"/>
              <w:right w:val="single" w:sz="8" w:space="0" w:color="auto"/>
            </w:tcBorders>
            <w:shd w:val="clear" w:color="auto" w:fill="auto"/>
            <w:noWrap/>
            <w:vAlign w:val="center"/>
          </w:tcPr>
          <w:p w14:paraId="6B3C095B"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-2.7%</w:t>
            </w:r>
          </w:p>
        </w:tc>
        <w:tc>
          <w:tcPr>
            <w:tcW w:w="2149" w:type="dxa"/>
            <w:tcBorders>
              <w:top w:val="nil"/>
              <w:left w:val="nil"/>
              <w:bottom w:val="single" w:sz="8" w:space="0" w:color="auto"/>
              <w:right w:val="single" w:sz="8" w:space="0" w:color="auto"/>
            </w:tcBorders>
            <w:shd w:val="clear" w:color="auto" w:fill="auto"/>
            <w:noWrap/>
            <w:vAlign w:val="center"/>
          </w:tcPr>
          <w:p w14:paraId="793FCAD0"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-133</w:t>
            </w:r>
          </w:p>
        </w:tc>
      </w:tr>
      <w:tr w:rsidR="00BB67F8" w:rsidRPr="007979B4" w14:paraId="232892C6"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06659145"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0182B0E1"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4228</w:t>
            </w:r>
          </w:p>
        </w:tc>
        <w:tc>
          <w:tcPr>
            <w:tcW w:w="2149" w:type="dxa"/>
            <w:tcBorders>
              <w:top w:val="nil"/>
              <w:left w:val="nil"/>
              <w:bottom w:val="single" w:sz="8" w:space="0" w:color="auto"/>
              <w:right w:val="single" w:sz="8" w:space="0" w:color="auto"/>
            </w:tcBorders>
            <w:shd w:val="clear" w:color="auto" w:fill="auto"/>
            <w:noWrap/>
            <w:vAlign w:val="center"/>
          </w:tcPr>
          <w:p w14:paraId="0DC84CA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-12.1%</w:t>
            </w:r>
          </w:p>
        </w:tc>
        <w:tc>
          <w:tcPr>
            <w:tcW w:w="2149" w:type="dxa"/>
            <w:tcBorders>
              <w:top w:val="nil"/>
              <w:left w:val="nil"/>
              <w:bottom w:val="single" w:sz="8" w:space="0" w:color="auto"/>
              <w:right w:val="single" w:sz="8" w:space="0" w:color="auto"/>
            </w:tcBorders>
            <w:shd w:val="clear" w:color="auto" w:fill="auto"/>
            <w:noWrap/>
            <w:vAlign w:val="center"/>
          </w:tcPr>
          <w:p w14:paraId="583277B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-581</w:t>
            </w:r>
          </w:p>
        </w:tc>
      </w:tr>
      <w:tr w:rsidR="00BB67F8" w:rsidRPr="007979B4" w14:paraId="44C620A9"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66937086"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4150A02B"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3813</w:t>
            </w:r>
          </w:p>
        </w:tc>
        <w:tc>
          <w:tcPr>
            <w:tcW w:w="2149" w:type="dxa"/>
            <w:tcBorders>
              <w:top w:val="nil"/>
              <w:left w:val="nil"/>
              <w:bottom w:val="single" w:sz="8" w:space="0" w:color="auto"/>
              <w:right w:val="single" w:sz="8" w:space="0" w:color="auto"/>
            </w:tcBorders>
            <w:shd w:val="clear" w:color="auto" w:fill="auto"/>
            <w:noWrap/>
            <w:vAlign w:val="center"/>
          </w:tcPr>
          <w:p w14:paraId="4D1D632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-9.8%</w:t>
            </w:r>
          </w:p>
        </w:tc>
        <w:tc>
          <w:tcPr>
            <w:tcW w:w="2149" w:type="dxa"/>
            <w:tcBorders>
              <w:top w:val="nil"/>
              <w:left w:val="nil"/>
              <w:bottom w:val="single" w:sz="8" w:space="0" w:color="auto"/>
              <w:right w:val="single" w:sz="8" w:space="0" w:color="auto"/>
            </w:tcBorders>
            <w:shd w:val="clear" w:color="auto" w:fill="auto"/>
            <w:noWrap/>
            <w:vAlign w:val="center"/>
          </w:tcPr>
          <w:p w14:paraId="7B714DE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-415</w:t>
            </w:r>
          </w:p>
        </w:tc>
      </w:tr>
      <w:tr w:rsidR="00BB67F8" w:rsidRPr="007979B4" w14:paraId="4085F024"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7FDFBE8B"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459DE1D1"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54ECEA90"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1FEF75C6" w14:textId="77777777" w:rsidR="00BB67F8" w:rsidRPr="007979B4" w:rsidRDefault="00BB67F8" w:rsidP="004F4D6F">
            <w:pPr>
              <w:spacing w:after="0" w:line="240" w:lineRule="auto"/>
              <w:rPr>
                <w:rFonts w:ascii="Tahoma" w:hAnsi="Tahoma" w:cs="Tahoma"/>
                <w:color w:val="FF0000"/>
              </w:rPr>
            </w:pPr>
          </w:p>
        </w:tc>
      </w:tr>
      <w:tr w:rsidR="00BB67F8" w:rsidRPr="007979B4" w14:paraId="1BDDE6F7"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6D5A6C4B" w14:textId="77777777" w:rsidR="00BB67F8" w:rsidRPr="00032CCC" w:rsidRDefault="00BB67F8" w:rsidP="004F4D6F">
            <w:pPr>
              <w:spacing w:after="0" w:line="240" w:lineRule="auto"/>
              <w:rPr>
                <w:rFonts w:ascii="Tahoma" w:hAnsi="Tahoma" w:cs="Tahoma"/>
                <w:b/>
                <w:bCs/>
                <w:color w:val="FF0000"/>
              </w:rPr>
            </w:pPr>
            <w:r w:rsidRPr="00032CCC">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40F96392" w14:textId="77777777" w:rsidR="00BB67F8" w:rsidRPr="00032CCC" w:rsidRDefault="00BB67F8" w:rsidP="004F4D6F">
            <w:pPr>
              <w:spacing w:after="0" w:line="240" w:lineRule="auto"/>
              <w:rPr>
                <w:rFonts w:ascii="Tahoma" w:hAnsi="Tahoma" w:cs="Tahoma"/>
                <w:b/>
                <w:bCs/>
              </w:rPr>
            </w:pPr>
            <w:r w:rsidRPr="00032CCC">
              <w:rPr>
                <w:rFonts w:ascii="Tahoma" w:hAnsi="Tahoma" w:cs="Tahoma"/>
                <w:b/>
                <w:bCs/>
              </w:rPr>
              <w:t>-22.8%</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3A6DA84A" w14:textId="77777777" w:rsidR="00BB67F8" w:rsidRPr="00032CCC" w:rsidRDefault="00BB67F8" w:rsidP="004F4D6F">
            <w:pPr>
              <w:spacing w:after="0" w:line="240" w:lineRule="auto"/>
              <w:rPr>
                <w:rFonts w:ascii="Tahoma" w:hAnsi="Tahoma" w:cs="Tahoma"/>
                <w:b/>
                <w:bCs/>
              </w:rPr>
            </w:pPr>
            <w:r w:rsidRPr="00032CCC">
              <w:rPr>
                <w:rFonts w:ascii="Tahoma" w:hAnsi="Tahoma" w:cs="Tahoma"/>
                <w:b/>
                <w:bCs/>
              </w:rPr>
              <w:t>-1129</w:t>
            </w:r>
          </w:p>
        </w:tc>
      </w:tr>
    </w:tbl>
    <w:p w14:paraId="2AF26188" w14:textId="77777777" w:rsidR="00BB67F8" w:rsidRPr="007979B4" w:rsidRDefault="00BB67F8" w:rsidP="00BB67F8">
      <w:pPr>
        <w:pStyle w:val="ListParagraph"/>
        <w:spacing w:after="0" w:line="240" w:lineRule="auto"/>
        <w:ind w:left="0"/>
        <w:rPr>
          <w:rFonts w:ascii="Tahoma" w:hAnsi="Tahoma" w:cs="Tahoma"/>
          <w:b/>
          <w:bCs/>
          <w:color w:val="FF0000"/>
        </w:rPr>
      </w:pPr>
      <w:r w:rsidRPr="007979B4">
        <w:rPr>
          <w:rFonts w:ascii="Tahoma" w:hAnsi="Tahoma" w:cs="Tahoma"/>
          <w:b/>
          <w:bCs/>
          <w:noProof/>
          <w:color w:val="FF0000"/>
        </w:rPr>
        <w:drawing>
          <wp:inline distT="0" distB="0" distL="0" distR="0" wp14:anchorId="707DBDB4" wp14:editId="086691A3">
            <wp:extent cx="5549900" cy="2190750"/>
            <wp:effectExtent l="0" t="0" r="0" b="0"/>
            <wp:docPr id="18395966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0" cy="2190750"/>
                    </a:xfrm>
                    <a:prstGeom prst="rect">
                      <a:avLst/>
                    </a:prstGeom>
                    <a:noFill/>
                  </pic:spPr>
                </pic:pic>
              </a:graphicData>
            </a:graphic>
          </wp:inline>
        </w:drawing>
      </w:r>
    </w:p>
    <w:p w14:paraId="2F94630B" w14:textId="77777777" w:rsidR="00BB67F8" w:rsidRPr="007979B4" w:rsidRDefault="00BB67F8" w:rsidP="00BB67F8">
      <w:pPr>
        <w:pStyle w:val="ListParagraph"/>
        <w:spacing w:after="0" w:line="240" w:lineRule="auto"/>
        <w:ind w:left="0"/>
        <w:rPr>
          <w:rFonts w:ascii="Tahoma" w:hAnsi="Tahoma" w:cs="Tahoma"/>
          <w:color w:val="FF0000"/>
        </w:rPr>
      </w:pPr>
    </w:p>
    <w:p w14:paraId="6AA85F28" w14:textId="77777777" w:rsidR="00BB67F8" w:rsidRPr="007979B4" w:rsidRDefault="00BB67F8" w:rsidP="00BB67F8">
      <w:pPr>
        <w:pStyle w:val="ListParagraph"/>
        <w:spacing w:after="0" w:line="240" w:lineRule="auto"/>
        <w:ind w:left="0"/>
        <w:rPr>
          <w:rFonts w:ascii="Tahoma" w:hAnsi="Tahoma" w:cs="Tahoma"/>
        </w:rPr>
      </w:pPr>
      <w:r w:rsidRPr="1D7D8BE7">
        <w:rPr>
          <w:rFonts w:ascii="Tahoma" w:hAnsi="Tahoma" w:cs="Tahoma"/>
        </w:rPr>
        <w:t>Hate Crime experienced a decrease of -22.8% with 1,129 less offences over the 4 years’ period. During 2024/25, there was a -9.8% decrease (415 less offences). There is an overall decreasing trend with peaks in July to September and lower volumes in January to March (as with overall VBC).</w:t>
      </w:r>
    </w:p>
    <w:p w14:paraId="2C952373" w14:textId="77777777" w:rsidR="00BB67F8" w:rsidRPr="007979B4" w:rsidRDefault="00BB67F8" w:rsidP="00BB67F8">
      <w:pPr>
        <w:pStyle w:val="ListParagraph"/>
        <w:spacing w:after="0" w:line="240" w:lineRule="auto"/>
        <w:ind w:left="0"/>
        <w:rPr>
          <w:rFonts w:ascii="Tahoma" w:hAnsi="Tahoma" w:cs="Tahoma"/>
        </w:rPr>
      </w:pPr>
      <w:r>
        <w:rPr>
          <w:rFonts w:ascii="Tahoma" w:hAnsi="Tahoma" w:cs="Tahoma"/>
        </w:rPr>
        <w:lastRenderedPageBreak/>
        <w:t xml:space="preserve">There was a 4.9% increase in the </w:t>
      </w:r>
      <w:r w:rsidRPr="007979B4">
        <w:rPr>
          <w:rFonts w:ascii="Tahoma" w:hAnsi="Tahoma" w:cs="Tahoma"/>
        </w:rPr>
        <w:t xml:space="preserve">Solved Rate </w:t>
      </w:r>
      <w:r>
        <w:rPr>
          <w:rFonts w:ascii="Tahoma" w:hAnsi="Tahoma" w:cs="Tahoma"/>
        </w:rPr>
        <w:t>during 2024/25, up</w:t>
      </w:r>
      <w:r w:rsidRPr="007979B4">
        <w:rPr>
          <w:rFonts w:ascii="Tahoma" w:hAnsi="Tahoma" w:cs="Tahoma"/>
        </w:rPr>
        <w:t xml:space="preserve"> to 22.6%. Charge volumes remained stable with Adult Cautions and </w:t>
      </w:r>
      <w:r>
        <w:rPr>
          <w:rFonts w:ascii="Tahoma" w:hAnsi="Tahoma" w:cs="Tahoma"/>
        </w:rPr>
        <w:t>CRs</w:t>
      </w:r>
      <w:r w:rsidRPr="007979B4">
        <w:rPr>
          <w:rFonts w:ascii="Tahoma" w:hAnsi="Tahoma" w:cs="Tahoma"/>
        </w:rPr>
        <w:t xml:space="preserve"> seeing increases and Youth Cautions decreasing compared to last year.</w:t>
      </w:r>
    </w:p>
    <w:p w14:paraId="6152480F" w14:textId="77777777" w:rsidR="00B04509" w:rsidRDefault="00B04509" w:rsidP="00725EDF">
      <w:pPr>
        <w:pStyle w:val="ListParagraph"/>
        <w:spacing w:after="0" w:line="240" w:lineRule="auto"/>
        <w:ind w:left="0"/>
        <w:rPr>
          <w:rFonts w:ascii="Tahoma" w:hAnsi="Tahoma" w:cs="Tahoma"/>
          <w:b/>
          <w:bCs/>
          <w:color w:val="000000" w:themeColor="text1"/>
          <w:u w:val="single"/>
        </w:rPr>
      </w:pPr>
    </w:p>
    <w:p w14:paraId="33D21ACB" w14:textId="6AEAF1BF" w:rsidR="00B04509" w:rsidRPr="00725EDF" w:rsidRDefault="00B04509" w:rsidP="00B04509">
      <w:pPr>
        <w:shd w:val="clear" w:color="auto" w:fill="FFFF00"/>
        <w:spacing w:after="0" w:line="240" w:lineRule="auto"/>
        <w:rPr>
          <w:rFonts w:ascii="Tahoma" w:hAnsi="Tahoma" w:cs="Tahoma"/>
          <w:b/>
          <w:bCs/>
          <w:color w:val="000000" w:themeColor="text1"/>
        </w:rPr>
      </w:pPr>
      <w:r w:rsidRPr="00725EDF">
        <w:rPr>
          <w:rFonts w:ascii="Tahoma" w:hAnsi="Tahoma" w:cs="Tahoma"/>
          <w:b/>
          <w:bCs/>
          <w:color w:val="000000" w:themeColor="text1"/>
        </w:rPr>
        <w:t xml:space="preserve">Priority: </w:t>
      </w:r>
      <w:r>
        <w:rPr>
          <w:rFonts w:ascii="Tahoma" w:hAnsi="Tahoma" w:cs="Tahoma"/>
          <w:b/>
          <w:bCs/>
          <w:color w:val="000000" w:themeColor="text1"/>
        </w:rPr>
        <w:t>Tackle Violence Against Women and Girls</w:t>
      </w:r>
    </w:p>
    <w:p w14:paraId="4ECC9901" w14:textId="77777777" w:rsidR="00B04509" w:rsidRDefault="00B04509" w:rsidP="00725EDF">
      <w:pPr>
        <w:pStyle w:val="ListParagraph"/>
        <w:spacing w:after="0" w:line="240" w:lineRule="auto"/>
        <w:ind w:left="0"/>
        <w:rPr>
          <w:rFonts w:ascii="Tahoma" w:hAnsi="Tahoma" w:cs="Tahoma"/>
          <w:b/>
          <w:bCs/>
          <w:color w:val="000000" w:themeColor="text1"/>
          <w:u w:val="single"/>
        </w:rPr>
      </w:pPr>
    </w:p>
    <w:p w14:paraId="47C91484" w14:textId="77777777" w:rsidR="00BB67F8" w:rsidRPr="00D84DDC" w:rsidRDefault="00BB67F8" w:rsidP="00BB67F8">
      <w:pPr>
        <w:pStyle w:val="ListParagraph"/>
        <w:spacing w:after="0" w:line="240" w:lineRule="auto"/>
        <w:ind w:left="0"/>
        <w:rPr>
          <w:rFonts w:ascii="Tahoma" w:hAnsi="Tahoma" w:cs="Tahoma"/>
          <w:b/>
          <w:bCs/>
          <w:u w:val="single"/>
        </w:rPr>
      </w:pPr>
      <w:r w:rsidRPr="00D84DDC">
        <w:rPr>
          <w:rFonts w:ascii="Tahoma" w:hAnsi="Tahoma" w:cs="Tahoma"/>
          <w:b/>
          <w:bCs/>
          <w:u w:val="single"/>
        </w:rPr>
        <w:t>Rape</w:t>
      </w:r>
    </w:p>
    <w:p w14:paraId="0824E9B1" w14:textId="77777777" w:rsidR="00BB67F8" w:rsidRPr="007979B4" w:rsidRDefault="00BB67F8" w:rsidP="00BB67F8">
      <w:pPr>
        <w:pStyle w:val="ListParagraph"/>
        <w:spacing w:after="0" w:line="240" w:lineRule="auto"/>
        <w:ind w:left="0"/>
        <w:rPr>
          <w:rFonts w:ascii="Tahoma" w:hAnsi="Tahoma" w:cs="Tahoma"/>
          <w:b/>
          <w:bCs/>
        </w:rPr>
      </w:pPr>
      <w:r w:rsidRPr="007979B4">
        <w:rPr>
          <w:rFonts w:ascii="Tahoma" w:hAnsi="Tahoma" w:cs="Tahoma"/>
          <w:b/>
          <w:bCs/>
        </w:rPr>
        <w:t xml:space="preserve"> </w:t>
      </w: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70055D12" w14:textId="77777777" w:rsidTr="004F4D6F">
        <w:trPr>
          <w:cantSplit/>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25E7B2"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8365A93" w14:textId="77777777" w:rsidR="00BB67F8" w:rsidRPr="007979B4" w:rsidRDefault="00BB67F8" w:rsidP="004F4D6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83D9B1B"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E74559E"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4127A09F" w14:textId="77777777" w:rsidTr="004F4D6F">
        <w:trPr>
          <w:cantSplit/>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18D0711B"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0F8FCC2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2356</w:t>
            </w:r>
          </w:p>
        </w:tc>
        <w:tc>
          <w:tcPr>
            <w:tcW w:w="2149" w:type="dxa"/>
            <w:tcBorders>
              <w:top w:val="nil"/>
              <w:left w:val="nil"/>
              <w:bottom w:val="single" w:sz="8" w:space="0" w:color="auto"/>
              <w:right w:val="single" w:sz="8" w:space="0" w:color="auto"/>
            </w:tcBorders>
            <w:shd w:val="clear" w:color="auto" w:fill="auto"/>
            <w:noWrap/>
            <w:vAlign w:val="center"/>
          </w:tcPr>
          <w:p w14:paraId="1A971E7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18.8%</w:t>
            </w:r>
          </w:p>
        </w:tc>
        <w:tc>
          <w:tcPr>
            <w:tcW w:w="2149" w:type="dxa"/>
            <w:tcBorders>
              <w:top w:val="nil"/>
              <w:left w:val="nil"/>
              <w:bottom w:val="single" w:sz="8" w:space="0" w:color="auto"/>
              <w:right w:val="single" w:sz="8" w:space="0" w:color="auto"/>
            </w:tcBorders>
            <w:shd w:val="clear" w:color="auto" w:fill="auto"/>
            <w:noWrap/>
            <w:vAlign w:val="center"/>
          </w:tcPr>
          <w:p w14:paraId="32780369"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372</w:t>
            </w:r>
          </w:p>
        </w:tc>
      </w:tr>
      <w:tr w:rsidR="00BB67F8" w:rsidRPr="007979B4" w14:paraId="377F0ABD" w14:textId="77777777" w:rsidTr="004F4D6F">
        <w:trPr>
          <w:cantSplit/>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2849C68F"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31532AC6"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2364</w:t>
            </w:r>
          </w:p>
        </w:tc>
        <w:tc>
          <w:tcPr>
            <w:tcW w:w="2149" w:type="dxa"/>
            <w:tcBorders>
              <w:top w:val="nil"/>
              <w:left w:val="nil"/>
              <w:bottom w:val="single" w:sz="8" w:space="0" w:color="auto"/>
              <w:right w:val="single" w:sz="8" w:space="0" w:color="auto"/>
            </w:tcBorders>
            <w:shd w:val="clear" w:color="auto" w:fill="auto"/>
            <w:noWrap/>
            <w:vAlign w:val="center"/>
          </w:tcPr>
          <w:p w14:paraId="5E9CCB10"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0.3%</w:t>
            </w:r>
          </w:p>
        </w:tc>
        <w:tc>
          <w:tcPr>
            <w:tcW w:w="2149" w:type="dxa"/>
            <w:tcBorders>
              <w:top w:val="nil"/>
              <w:left w:val="nil"/>
              <w:bottom w:val="single" w:sz="8" w:space="0" w:color="auto"/>
              <w:right w:val="single" w:sz="8" w:space="0" w:color="auto"/>
            </w:tcBorders>
            <w:shd w:val="clear" w:color="auto" w:fill="auto"/>
            <w:noWrap/>
            <w:vAlign w:val="center"/>
          </w:tcPr>
          <w:p w14:paraId="40271C8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8</w:t>
            </w:r>
          </w:p>
        </w:tc>
      </w:tr>
      <w:tr w:rsidR="00BB67F8" w:rsidRPr="007979B4" w14:paraId="54A4142E" w14:textId="77777777" w:rsidTr="004F4D6F">
        <w:trPr>
          <w:cantSplit/>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1FCBD35F"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6978ADC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2073</w:t>
            </w:r>
          </w:p>
        </w:tc>
        <w:tc>
          <w:tcPr>
            <w:tcW w:w="2149" w:type="dxa"/>
            <w:tcBorders>
              <w:top w:val="nil"/>
              <w:left w:val="nil"/>
              <w:bottom w:val="single" w:sz="8" w:space="0" w:color="auto"/>
              <w:right w:val="single" w:sz="8" w:space="0" w:color="auto"/>
            </w:tcBorders>
            <w:shd w:val="clear" w:color="auto" w:fill="auto"/>
            <w:noWrap/>
            <w:vAlign w:val="center"/>
          </w:tcPr>
          <w:p w14:paraId="55AF124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-12.3%</w:t>
            </w:r>
          </w:p>
        </w:tc>
        <w:tc>
          <w:tcPr>
            <w:tcW w:w="2149" w:type="dxa"/>
            <w:tcBorders>
              <w:top w:val="nil"/>
              <w:left w:val="nil"/>
              <w:bottom w:val="single" w:sz="8" w:space="0" w:color="auto"/>
              <w:right w:val="single" w:sz="8" w:space="0" w:color="auto"/>
            </w:tcBorders>
            <w:shd w:val="clear" w:color="auto" w:fill="auto"/>
            <w:noWrap/>
            <w:vAlign w:val="center"/>
          </w:tcPr>
          <w:p w14:paraId="385CA14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-291</w:t>
            </w:r>
          </w:p>
        </w:tc>
      </w:tr>
      <w:tr w:rsidR="00BB67F8" w:rsidRPr="007979B4" w14:paraId="118D1415" w14:textId="77777777" w:rsidTr="004F4D6F">
        <w:trPr>
          <w:cantSplit/>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35A71E6D"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6746FCC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1990</w:t>
            </w:r>
          </w:p>
        </w:tc>
        <w:tc>
          <w:tcPr>
            <w:tcW w:w="2149" w:type="dxa"/>
            <w:tcBorders>
              <w:top w:val="nil"/>
              <w:left w:val="nil"/>
              <w:bottom w:val="single" w:sz="8" w:space="0" w:color="auto"/>
              <w:right w:val="single" w:sz="8" w:space="0" w:color="auto"/>
            </w:tcBorders>
            <w:shd w:val="clear" w:color="auto" w:fill="auto"/>
            <w:noWrap/>
            <w:vAlign w:val="center"/>
          </w:tcPr>
          <w:p w14:paraId="295C85E9"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-4.0%</w:t>
            </w:r>
          </w:p>
        </w:tc>
        <w:tc>
          <w:tcPr>
            <w:tcW w:w="2149" w:type="dxa"/>
            <w:tcBorders>
              <w:top w:val="nil"/>
              <w:left w:val="nil"/>
              <w:bottom w:val="single" w:sz="8" w:space="0" w:color="auto"/>
              <w:right w:val="single" w:sz="8" w:space="0" w:color="auto"/>
            </w:tcBorders>
            <w:shd w:val="clear" w:color="auto" w:fill="auto"/>
            <w:noWrap/>
            <w:vAlign w:val="center"/>
          </w:tcPr>
          <w:p w14:paraId="5D89FBC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-83</w:t>
            </w:r>
          </w:p>
        </w:tc>
      </w:tr>
      <w:tr w:rsidR="00BB67F8" w:rsidRPr="007979B4" w14:paraId="7EA8D643" w14:textId="77777777" w:rsidTr="004F4D6F">
        <w:trPr>
          <w:cantSplit/>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6C4816BC"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249D117A"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38B42D71"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734023C3" w14:textId="77777777" w:rsidR="00BB67F8" w:rsidRPr="007979B4" w:rsidRDefault="00BB67F8" w:rsidP="004F4D6F">
            <w:pPr>
              <w:spacing w:after="0" w:line="240" w:lineRule="auto"/>
              <w:rPr>
                <w:rFonts w:ascii="Tahoma" w:hAnsi="Tahoma" w:cs="Tahoma"/>
                <w:color w:val="FF0000"/>
              </w:rPr>
            </w:pPr>
          </w:p>
        </w:tc>
      </w:tr>
      <w:tr w:rsidR="00BB67F8" w:rsidRPr="007979B4" w14:paraId="192607D7" w14:textId="77777777" w:rsidTr="004F4D6F">
        <w:trPr>
          <w:cantSplit/>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2E30D43B" w14:textId="77777777" w:rsidR="00BB67F8" w:rsidRPr="00D84DDC" w:rsidRDefault="00BB67F8" w:rsidP="004F4D6F">
            <w:pPr>
              <w:spacing w:after="0" w:line="240" w:lineRule="auto"/>
              <w:rPr>
                <w:rFonts w:ascii="Tahoma" w:hAnsi="Tahoma" w:cs="Tahoma"/>
                <w:b/>
                <w:bCs/>
                <w:color w:val="FF0000"/>
              </w:rPr>
            </w:pPr>
            <w:r w:rsidRPr="00D84DDC">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224ABA12" w14:textId="77777777" w:rsidR="00BB67F8" w:rsidRPr="00D84DDC" w:rsidRDefault="00BB67F8" w:rsidP="004F4D6F">
            <w:pPr>
              <w:spacing w:after="0" w:line="240" w:lineRule="auto"/>
              <w:rPr>
                <w:rFonts w:ascii="Tahoma" w:hAnsi="Tahoma" w:cs="Tahoma"/>
                <w:b/>
                <w:bCs/>
              </w:rPr>
            </w:pPr>
            <w:r w:rsidRPr="00D84DDC">
              <w:rPr>
                <w:rFonts w:ascii="Tahoma" w:hAnsi="Tahoma" w:cs="Tahoma"/>
                <w:b/>
                <w:bCs/>
              </w:rPr>
              <w:t>-15.5%</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27D107D4" w14:textId="77777777" w:rsidR="00BB67F8" w:rsidRPr="00D84DDC" w:rsidRDefault="00BB67F8" w:rsidP="004F4D6F">
            <w:pPr>
              <w:spacing w:after="0" w:line="240" w:lineRule="auto"/>
              <w:rPr>
                <w:rFonts w:ascii="Tahoma" w:hAnsi="Tahoma" w:cs="Tahoma"/>
                <w:b/>
                <w:bCs/>
              </w:rPr>
            </w:pPr>
            <w:r w:rsidRPr="00D84DDC">
              <w:rPr>
                <w:rFonts w:ascii="Tahoma" w:hAnsi="Tahoma" w:cs="Tahoma"/>
                <w:b/>
                <w:bCs/>
              </w:rPr>
              <w:t>-366</w:t>
            </w:r>
          </w:p>
        </w:tc>
      </w:tr>
    </w:tbl>
    <w:p w14:paraId="630782F1" w14:textId="77777777" w:rsidR="00BB67F8" w:rsidRPr="007979B4" w:rsidRDefault="00BB67F8" w:rsidP="00BB67F8">
      <w:pPr>
        <w:spacing w:after="0" w:line="240" w:lineRule="auto"/>
        <w:rPr>
          <w:rFonts w:ascii="Tahoma" w:hAnsi="Tahoma" w:cs="Tahoma"/>
          <w:color w:val="FF0000"/>
        </w:rPr>
      </w:pPr>
    </w:p>
    <w:p w14:paraId="32374E77"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noProof/>
          <w:color w:val="FF0000"/>
        </w:rPr>
        <w:drawing>
          <wp:inline distT="0" distB="0" distL="0" distR="0" wp14:anchorId="7FEA3D0B" wp14:editId="386265D4">
            <wp:extent cx="5568950" cy="2082800"/>
            <wp:effectExtent l="0" t="0" r="0" b="0"/>
            <wp:docPr id="861299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68950" cy="2082800"/>
                    </a:xfrm>
                    <a:prstGeom prst="rect">
                      <a:avLst/>
                    </a:prstGeom>
                    <a:noFill/>
                  </pic:spPr>
                </pic:pic>
              </a:graphicData>
            </a:graphic>
          </wp:inline>
        </w:drawing>
      </w:r>
    </w:p>
    <w:p w14:paraId="0EC9E8D3" w14:textId="77777777" w:rsidR="00BB67F8" w:rsidRPr="007979B4" w:rsidRDefault="00BB67F8" w:rsidP="00BB67F8">
      <w:pPr>
        <w:spacing w:after="0" w:line="240" w:lineRule="auto"/>
        <w:rPr>
          <w:rFonts w:ascii="Tahoma" w:hAnsi="Tahoma" w:cs="Tahoma"/>
          <w:color w:val="FF0000"/>
        </w:rPr>
      </w:pPr>
    </w:p>
    <w:p w14:paraId="72F5A5F7" w14:textId="77777777" w:rsidR="00BB67F8" w:rsidRPr="007979B4" w:rsidRDefault="00BB67F8" w:rsidP="00BB67F8">
      <w:pPr>
        <w:spacing w:after="0" w:line="240" w:lineRule="auto"/>
        <w:rPr>
          <w:rFonts w:ascii="Tahoma" w:eastAsia="Calibri" w:hAnsi="Tahoma" w:cs="Tahoma"/>
        </w:rPr>
      </w:pPr>
      <w:r w:rsidRPr="007979B4">
        <w:rPr>
          <w:rFonts w:ascii="Tahoma" w:hAnsi="Tahoma" w:cs="Tahoma"/>
        </w:rPr>
        <w:t>Across the 4 year</w:t>
      </w:r>
      <w:r>
        <w:rPr>
          <w:rFonts w:ascii="Tahoma" w:hAnsi="Tahoma" w:cs="Tahoma"/>
        </w:rPr>
        <w:t>s’</w:t>
      </w:r>
      <w:r w:rsidRPr="007979B4">
        <w:rPr>
          <w:rFonts w:ascii="Tahoma" w:hAnsi="Tahoma" w:cs="Tahoma"/>
        </w:rPr>
        <w:t xml:space="preserve"> period, Rape offences have experienced a decrease of 15.5%, with 366 less offences. </w:t>
      </w:r>
      <w:r>
        <w:rPr>
          <w:rFonts w:ascii="Tahoma" w:hAnsi="Tahoma" w:cs="Tahoma"/>
        </w:rPr>
        <w:t xml:space="preserve">During 2024/25, there was </w:t>
      </w:r>
      <w:r w:rsidRPr="007979B4">
        <w:rPr>
          <w:rFonts w:ascii="Tahoma" w:hAnsi="Tahoma" w:cs="Tahoma"/>
        </w:rPr>
        <w:t>a -4.0% decrease (-83 offences) compared to the previous financial year. Following a peak average monthly volume of almost 200 offences per month between April 2022 to March 2023, Rape offences currently average approximately 165 offences per month.</w:t>
      </w:r>
    </w:p>
    <w:p w14:paraId="54ECE13A"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color w:val="FF0000"/>
        </w:rPr>
        <w:t xml:space="preserve"> </w:t>
      </w:r>
    </w:p>
    <w:p w14:paraId="1E894883" w14:textId="77777777" w:rsidR="00BB67F8" w:rsidRPr="007979B4" w:rsidRDefault="31E95D9C" w:rsidP="00BB67F8">
      <w:pPr>
        <w:spacing w:after="0" w:line="240" w:lineRule="auto"/>
        <w:rPr>
          <w:rFonts w:ascii="Tahoma" w:hAnsi="Tahoma" w:cs="Tahoma"/>
        </w:rPr>
      </w:pPr>
      <w:r w:rsidRPr="1D7D8BE7">
        <w:rPr>
          <w:rFonts w:ascii="Tahoma" w:hAnsi="Tahoma" w:cs="Tahoma"/>
        </w:rPr>
        <w:t xml:space="preserve">The charge volume for Rape offences has seen a 36.4% increase (52 more charges) during 2024/25, resulting in a 2.9% increase in the Charge Rate from 6.9% last year to 9.8%. </w:t>
      </w:r>
    </w:p>
    <w:p w14:paraId="13AF8649" w14:textId="77777777" w:rsidR="00BB67F8" w:rsidRPr="007979B4" w:rsidRDefault="00BB67F8" w:rsidP="00BB67F8">
      <w:pPr>
        <w:spacing w:after="0" w:line="240" w:lineRule="auto"/>
        <w:rPr>
          <w:rFonts w:ascii="Tahoma" w:hAnsi="Tahoma" w:cs="Tahoma"/>
          <w:b/>
          <w:bCs/>
          <w:color w:val="FF0000"/>
        </w:rPr>
      </w:pPr>
    </w:p>
    <w:p w14:paraId="3D301D97" w14:textId="77777777" w:rsidR="00BB67F8" w:rsidRPr="0033456F" w:rsidRDefault="00BB67F8" w:rsidP="00BB67F8">
      <w:pPr>
        <w:pStyle w:val="ListParagraph"/>
        <w:spacing w:after="0" w:line="240" w:lineRule="auto"/>
        <w:ind w:left="0"/>
        <w:rPr>
          <w:rFonts w:ascii="Tahoma" w:hAnsi="Tahoma" w:cs="Tahoma"/>
          <w:b/>
          <w:bCs/>
          <w:u w:val="single"/>
        </w:rPr>
      </w:pPr>
      <w:r w:rsidRPr="0033456F">
        <w:rPr>
          <w:rFonts w:ascii="Tahoma" w:hAnsi="Tahoma" w:cs="Tahoma"/>
          <w:b/>
          <w:bCs/>
          <w:u w:val="single"/>
        </w:rPr>
        <w:t>Sexual Offences</w:t>
      </w:r>
    </w:p>
    <w:p w14:paraId="79EC02CB" w14:textId="77777777" w:rsidR="00BB67F8" w:rsidRPr="007979B4" w:rsidRDefault="00BB67F8" w:rsidP="00BB67F8">
      <w:pPr>
        <w:pStyle w:val="ListParagraph"/>
        <w:spacing w:after="0" w:line="240" w:lineRule="auto"/>
        <w:ind w:left="0"/>
        <w:rPr>
          <w:rFonts w:ascii="Tahoma" w:hAnsi="Tahoma" w:cs="Tahoma"/>
          <w:b/>
          <w:bCs/>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54A20036"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3416E3"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F5EE718" w14:textId="77777777" w:rsidR="00BB67F8" w:rsidRPr="007979B4" w:rsidRDefault="00BB67F8" w:rsidP="004F4D6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6D45B75"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BC58C3E"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7B041149"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65EF01B7"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1D21AB1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6886</w:t>
            </w:r>
          </w:p>
        </w:tc>
        <w:tc>
          <w:tcPr>
            <w:tcW w:w="2149" w:type="dxa"/>
            <w:tcBorders>
              <w:top w:val="nil"/>
              <w:left w:val="nil"/>
              <w:bottom w:val="single" w:sz="8" w:space="0" w:color="auto"/>
              <w:right w:val="single" w:sz="8" w:space="0" w:color="auto"/>
            </w:tcBorders>
            <w:shd w:val="clear" w:color="auto" w:fill="auto"/>
            <w:noWrap/>
            <w:vAlign w:val="center"/>
          </w:tcPr>
          <w:p w14:paraId="2FAE450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22.5%</w:t>
            </w:r>
          </w:p>
        </w:tc>
        <w:tc>
          <w:tcPr>
            <w:tcW w:w="2149" w:type="dxa"/>
            <w:tcBorders>
              <w:top w:val="nil"/>
              <w:left w:val="nil"/>
              <w:bottom w:val="single" w:sz="8" w:space="0" w:color="auto"/>
              <w:right w:val="single" w:sz="8" w:space="0" w:color="auto"/>
            </w:tcBorders>
            <w:shd w:val="clear" w:color="auto" w:fill="auto"/>
            <w:noWrap/>
            <w:vAlign w:val="center"/>
          </w:tcPr>
          <w:p w14:paraId="4B9A56E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1267</w:t>
            </w:r>
          </w:p>
        </w:tc>
      </w:tr>
      <w:tr w:rsidR="00BB67F8" w:rsidRPr="007979B4" w14:paraId="408B562C"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66182104"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46B78E4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6583</w:t>
            </w:r>
          </w:p>
        </w:tc>
        <w:tc>
          <w:tcPr>
            <w:tcW w:w="2149" w:type="dxa"/>
            <w:tcBorders>
              <w:top w:val="nil"/>
              <w:left w:val="nil"/>
              <w:bottom w:val="single" w:sz="8" w:space="0" w:color="auto"/>
              <w:right w:val="single" w:sz="8" w:space="0" w:color="auto"/>
            </w:tcBorders>
            <w:shd w:val="clear" w:color="auto" w:fill="auto"/>
            <w:noWrap/>
            <w:vAlign w:val="center"/>
          </w:tcPr>
          <w:p w14:paraId="0AD98B31"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-4.4%</w:t>
            </w:r>
          </w:p>
        </w:tc>
        <w:tc>
          <w:tcPr>
            <w:tcW w:w="2149" w:type="dxa"/>
            <w:tcBorders>
              <w:top w:val="nil"/>
              <w:left w:val="nil"/>
              <w:bottom w:val="single" w:sz="8" w:space="0" w:color="auto"/>
              <w:right w:val="single" w:sz="8" w:space="0" w:color="auto"/>
            </w:tcBorders>
            <w:shd w:val="clear" w:color="auto" w:fill="auto"/>
            <w:noWrap/>
            <w:vAlign w:val="center"/>
          </w:tcPr>
          <w:p w14:paraId="56BD8B06"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-303</w:t>
            </w:r>
          </w:p>
        </w:tc>
      </w:tr>
      <w:tr w:rsidR="00BB67F8" w:rsidRPr="007979B4" w14:paraId="5E61BAB9"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3C75AC87"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0968890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6206</w:t>
            </w:r>
          </w:p>
        </w:tc>
        <w:tc>
          <w:tcPr>
            <w:tcW w:w="2149" w:type="dxa"/>
            <w:tcBorders>
              <w:top w:val="nil"/>
              <w:left w:val="nil"/>
              <w:bottom w:val="single" w:sz="8" w:space="0" w:color="auto"/>
              <w:right w:val="single" w:sz="8" w:space="0" w:color="auto"/>
            </w:tcBorders>
            <w:shd w:val="clear" w:color="auto" w:fill="auto"/>
            <w:noWrap/>
            <w:vAlign w:val="center"/>
          </w:tcPr>
          <w:p w14:paraId="0A5D2D5B"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-5.7%</w:t>
            </w:r>
          </w:p>
        </w:tc>
        <w:tc>
          <w:tcPr>
            <w:tcW w:w="2149" w:type="dxa"/>
            <w:tcBorders>
              <w:top w:val="nil"/>
              <w:left w:val="nil"/>
              <w:bottom w:val="single" w:sz="8" w:space="0" w:color="auto"/>
              <w:right w:val="single" w:sz="8" w:space="0" w:color="auto"/>
            </w:tcBorders>
            <w:shd w:val="clear" w:color="auto" w:fill="auto"/>
            <w:noWrap/>
            <w:vAlign w:val="center"/>
          </w:tcPr>
          <w:p w14:paraId="33A1B9C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-377</w:t>
            </w:r>
          </w:p>
        </w:tc>
      </w:tr>
      <w:tr w:rsidR="00BB67F8" w:rsidRPr="007979B4" w14:paraId="518451DC"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66452F76"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073A9D0F"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6703</w:t>
            </w:r>
          </w:p>
        </w:tc>
        <w:tc>
          <w:tcPr>
            <w:tcW w:w="2149" w:type="dxa"/>
            <w:tcBorders>
              <w:top w:val="nil"/>
              <w:left w:val="nil"/>
              <w:bottom w:val="single" w:sz="8" w:space="0" w:color="auto"/>
              <w:right w:val="single" w:sz="8" w:space="0" w:color="auto"/>
            </w:tcBorders>
            <w:shd w:val="clear" w:color="auto" w:fill="auto"/>
            <w:noWrap/>
            <w:vAlign w:val="center"/>
          </w:tcPr>
          <w:p w14:paraId="6EA7FE1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8.0%</w:t>
            </w:r>
          </w:p>
        </w:tc>
        <w:tc>
          <w:tcPr>
            <w:tcW w:w="2149" w:type="dxa"/>
            <w:tcBorders>
              <w:top w:val="nil"/>
              <w:left w:val="nil"/>
              <w:bottom w:val="single" w:sz="8" w:space="0" w:color="auto"/>
              <w:right w:val="single" w:sz="8" w:space="0" w:color="auto"/>
            </w:tcBorders>
            <w:shd w:val="clear" w:color="auto" w:fill="auto"/>
            <w:noWrap/>
            <w:vAlign w:val="center"/>
          </w:tcPr>
          <w:p w14:paraId="3DCBE10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497</w:t>
            </w:r>
          </w:p>
        </w:tc>
      </w:tr>
      <w:tr w:rsidR="00BB67F8" w:rsidRPr="007979B4" w14:paraId="7922D485"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5C4544FB"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687425C7"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4ADA1FE7"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2D06CE3D" w14:textId="77777777" w:rsidR="00BB67F8" w:rsidRPr="007979B4" w:rsidRDefault="00BB67F8" w:rsidP="004F4D6F">
            <w:pPr>
              <w:spacing w:after="0" w:line="240" w:lineRule="auto"/>
              <w:rPr>
                <w:rFonts w:ascii="Tahoma" w:hAnsi="Tahoma" w:cs="Tahoma"/>
                <w:color w:val="FF0000"/>
              </w:rPr>
            </w:pPr>
          </w:p>
        </w:tc>
      </w:tr>
      <w:tr w:rsidR="00BB67F8" w:rsidRPr="007979B4" w14:paraId="25BBB02C"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483FF4C4" w14:textId="77777777" w:rsidR="00BB67F8" w:rsidRPr="00211527" w:rsidRDefault="00BB67F8" w:rsidP="004F4D6F">
            <w:pPr>
              <w:spacing w:after="0" w:line="240" w:lineRule="auto"/>
              <w:rPr>
                <w:rFonts w:ascii="Tahoma" w:hAnsi="Tahoma" w:cs="Tahoma"/>
                <w:b/>
                <w:bCs/>
                <w:color w:val="FF0000"/>
              </w:rPr>
            </w:pPr>
            <w:r w:rsidRPr="00211527">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589DE62F" w14:textId="77777777" w:rsidR="00BB67F8" w:rsidRPr="00211527" w:rsidRDefault="00BB67F8" w:rsidP="004F4D6F">
            <w:pPr>
              <w:spacing w:after="0" w:line="240" w:lineRule="auto"/>
              <w:rPr>
                <w:rFonts w:ascii="Tahoma" w:hAnsi="Tahoma" w:cs="Tahoma"/>
                <w:b/>
                <w:bCs/>
              </w:rPr>
            </w:pPr>
            <w:r w:rsidRPr="00211527">
              <w:rPr>
                <w:rFonts w:ascii="Tahoma" w:hAnsi="Tahoma" w:cs="Tahoma"/>
                <w:b/>
                <w:bCs/>
              </w:rPr>
              <w:t>-2.7%</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3C9470E4" w14:textId="77777777" w:rsidR="00BB67F8" w:rsidRPr="00211527" w:rsidRDefault="00BB67F8" w:rsidP="004F4D6F">
            <w:pPr>
              <w:spacing w:after="0" w:line="240" w:lineRule="auto"/>
              <w:rPr>
                <w:rFonts w:ascii="Tahoma" w:hAnsi="Tahoma" w:cs="Tahoma"/>
                <w:b/>
                <w:bCs/>
              </w:rPr>
            </w:pPr>
            <w:r w:rsidRPr="00211527">
              <w:rPr>
                <w:rFonts w:ascii="Tahoma" w:hAnsi="Tahoma" w:cs="Tahoma"/>
                <w:b/>
                <w:bCs/>
              </w:rPr>
              <w:t>-183</w:t>
            </w:r>
          </w:p>
        </w:tc>
      </w:tr>
    </w:tbl>
    <w:p w14:paraId="2C625D8E" w14:textId="77777777" w:rsidR="00BB67F8" w:rsidRPr="007979B4" w:rsidRDefault="00BB67F8" w:rsidP="00BB67F8">
      <w:pPr>
        <w:spacing w:after="0" w:line="240" w:lineRule="auto"/>
        <w:rPr>
          <w:rFonts w:ascii="Tahoma" w:hAnsi="Tahoma" w:cs="Tahoma"/>
          <w:b/>
          <w:bCs/>
          <w:color w:val="FF0000"/>
        </w:rPr>
      </w:pPr>
    </w:p>
    <w:p w14:paraId="54ABD4B2" w14:textId="77777777" w:rsidR="00BB67F8" w:rsidRPr="007979B4" w:rsidRDefault="00BB67F8" w:rsidP="00BB67F8">
      <w:pPr>
        <w:spacing w:after="0" w:line="240" w:lineRule="auto"/>
        <w:rPr>
          <w:rFonts w:ascii="Tahoma" w:hAnsi="Tahoma" w:cs="Tahoma"/>
          <w:b/>
          <w:bCs/>
          <w:color w:val="FF0000"/>
        </w:rPr>
      </w:pPr>
      <w:r w:rsidRPr="007979B4">
        <w:rPr>
          <w:rFonts w:ascii="Tahoma" w:hAnsi="Tahoma" w:cs="Tahoma"/>
          <w:b/>
          <w:bCs/>
          <w:noProof/>
          <w:color w:val="FF0000"/>
        </w:rPr>
        <w:lastRenderedPageBreak/>
        <w:drawing>
          <wp:inline distT="0" distB="0" distL="0" distR="0" wp14:anchorId="7D2027B8" wp14:editId="55A0B979">
            <wp:extent cx="5778500" cy="2349500"/>
            <wp:effectExtent l="0" t="0" r="0" b="0"/>
            <wp:docPr id="12727174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78500" cy="2349500"/>
                    </a:xfrm>
                    <a:prstGeom prst="rect">
                      <a:avLst/>
                    </a:prstGeom>
                    <a:noFill/>
                  </pic:spPr>
                </pic:pic>
              </a:graphicData>
            </a:graphic>
          </wp:inline>
        </w:drawing>
      </w:r>
    </w:p>
    <w:p w14:paraId="5F0B8EC6" w14:textId="77777777" w:rsidR="00BB67F8" w:rsidRPr="007979B4" w:rsidRDefault="00BB67F8" w:rsidP="00BB67F8">
      <w:pPr>
        <w:spacing w:after="0" w:line="240" w:lineRule="auto"/>
        <w:rPr>
          <w:rFonts w:ascii="Tahoma" w:hAnsi="Tahoma" w:cs="Tahoma"/>
          <w:color w:val="FF0000"/>
        </w:rPr>
      </w:pPr>
    </w:p>
    <w:p w14:paraId="5971212A" w14:textId="77777777" w:rsidR="00BB67F8" w:rsidRPr="007979B4" w:rsidRDefault="00BB67F8" w:rsidP="00BB67F8">
      <w:pPr>
        <w:spacing w:after="0" w:line="240" w:lineRule="auto"/>
        <w:rPr>
          <w:rFonts w:ascii="Tahoma" w:hAnsi="Tahoma" w:cs="Tahoma"/>
        </w:rPr>
      </w:pPr>
      <w:r w:rsidRPr="007979B4">
        <w:rPr>
          <w:rFonts w:ascii="Tahoma" w:hAnsi="Tahoma" w:cs="Tahoma"/>
        </w:rPr>
        <w:t xml:space="preserve">There has been a -2.7% decrease (-183 offences) in Sexual </w:t>
      </w:r>
      <w:r>
        <w:rPr>
          <w:rFonts w:ascii="Tahoma" w:hAnsi="Tahoma" w:cs="Tahoma"/>
        </w:rPr>
        <w:t>O</w:t>
      </w:r>
      <w:r w:rsidRPr="007979B4">
        <w:rPr>
          <w:rFonts w:ascii="Tahoma" w:hAnsi="Tahoma" w:cs="Tahoma"/>
        </w:rPr>
        <w:t>ffences across the 4 year</w:t>
      </w:r>
      <w:r>
        <w:rPr>
          <w:rFonts w:ascii="Tahoma" w:hAnsi="Tahoma" w:cs="Tahoma"/>
        </w:rPr>
        <w:t>s’</w:t>
      </w:r>
      <w:r w:rsidRPr="007979B4">
        <w:rPr>
          <w:rFonts w:ascii="Tahoma" w:hAnsi="Tahoma" w:cs="Tahoma"/>
        </w:rPr>
        <w:t xml:space="preserve"> period.</w:t>
      </w:r>
      <w:r>
        <w:rPr>
          <w:rFonts w:ascii="Tahoma" w:hAnsi="Tahoma" w:cs="Tahoma"/>
        </w:rPr>
        <w:t xml:space="preserve">  During 2024/25, </w:t>
      </w:r>
      <w:r w:rsidRPr="007979B4">
        <w:rPr>
          <w:rFonts w:ascii="Tahoma" w:hAnsi="Tahoma" w:cs="Tahoma"/>
        </w:rPr>
        <w:t xml:space="preserve">there </w:t>
      </w:r>
      <w:r>
        <w:rPr>
          <w:rFonts w:ascii="Tahoma" w:hAnsi="Tahoma" w:cs="Tahoma"/>
        </w:rPr>
        <w:t>wa</w:t>
      </w:r>
      <w:r w:rsidRPr="007979B4">
        <w:rPr>
          <w:rFonts w:ascii="Tahoma" w:hAnsi="Tahoma" w:cs="Tahoma"/>
        </w:rPr>
        <w:t xml:space="preserve">s an increase of 8.0% </w:t>
      </w:r>
      <w:r>
        <w:rPr>
          <w:rFonts w:ascii="Tahoma" w:hAnsi="Tahoma" w:cs="Tahoma"/>
        </w:rPr>
        <w:t>(</w:t>
      </w:r>
      <w:r w:rsidRPr="007979B4">
        <w:rPr>
          <w:rFonts w:ascii="Tahoma" w:hAnsi="Tahoma" w:cs="Tahoma"/>
        </w:rPr>
        <w:t>497 more offences</w:t>
      </w:r>
      <w:r>
        <w:rPr>
          <w:rFonts w:ascii="Tahoma" w:hAnsi="Tahoma" w:cs="Tahoma"/>
        </w:rPr>
        <w:t>)</w:t>
      </w:r>
      <w:r w:rsidRPr="007979B4">
        <w:rPr>
          <w:rFonts w:ascii="Tahoma" w:hAnsi="Tahoma" w:cs="Tahoma"/>
        </w:rPr>
        <w:t xml:space="preserve">. The increase is mainly </w:t>
      </w:r>
      <w:r>
        <w:rPr>
          <w:rFonts w:ascii="Tahoma" w:hAnsi="Tahoma" w:cs="Tahoma"/>
        </w:rPr>
        <w:t>attributable</w:t>
      </w:r>
      <w:r w:rsidRPr="007979B4">
        <w:rPr>
          <w:rFonts w:ascii="Tahoma" w:hAnsi="Tahoma" w:cs="Tahoma"/>
        </w:rPr>
        <w:t xml:space="preserve"> to new offences </w:t>
      </w:r>
      <w:r>
        <w:rPr>
          <w:rFonts w:ascii="Tahoma" w:hAnsi="Tahoma" w:cs="Tahoma"/>
        </w:rPr>
        <w:t xml:space="preserve">being </w:t>
      </w:r>
      <w:r w:rsidRPr="007979B4">
        <w:rPr>
          <w:rFonts w:ascii="Tahoma" w:hAnsi="Tahoma" w:cs="Tahoma"/>
        </w:rPr>
        <w:t xml:space="preserve">introduced </w:t>
      </w:r>
      <w:r>
        <w:rPr>
          <w:rFonts w:ascii="Tahoma" w:hAnsi="Tahoma" w:cs="Tahoma"/>
        </w:rPr>
        <w:t xml:space="preserve">in February 2024 </w:t>
      </w:r>
      <w:r w:rsidRPr="007979B4">
        <w:rPr>
          <w:rFonts w:ascii="Tahoma" w:hAnsi="Tahoma" w:cs="Tahoma"/>
        </w:rPr>
        <w:t>relating to</w:t>
      </w:r>
      <w:r>
        <w:rPr>
          <w:rFonts w:ascii="Tahoma" w:hAnsi="Tahoma" w:cs="Tahoma"/>
        </w:rPr>
        <w:t xml:space="preserve"> the</w:t>
      </w:r>
      <w:r w:rsidRPr="007979B4">
        <w:rPr>
          <w:rFonts w:ascii="Tahoma" w:hAnsi="Tahoma" w:cs="Tahoma"/>
        </w:rPr>
        <w:t xml:space="preserve"> Sharing of </w:t>
      </w:r>
      <w:r>
        <w:rPr>
          <w:rFonts w:ascii="Tahoma" w:hAnsi="Tahoma" w:cs="Tahoma"/>
        </w:rPr>
        <w:t>I</w:t>
      </w:r>
      <w:r w:rsidRPr="007979B4">
        <w:rPr>
          <w:rFonts w:ascii="Tahoma" w:hAnsi="Tahoma" w:cs="Tahoma"/>
        </w:rPr>
        <w:t xml:space="preserve">ntimate </w:t>
      </w:r>
      <w:r>
        <w:rPr>
          <w:rFonts w:ascii="Tahoma" w:hAnsi="Tahoma" w:cs="Tahoma"/>
        </w:rPr>
        <w:t>P</w:t>
      </w:r>
      <w:r w:rsidRPr="007979B4">
        <w:rPr>
          <w:rFonts w:ascii="Tahoma" w:hAnsi="Tahoma" w:cs="Tahoma"/>
        </w:rPr>
        <w:t>hotograph</w:t>
      </w:r>
      <w:r>
        <w:rPr>
          <w:rFonts w:ascii="Tahoma" w:hAnsi="Tahoma" w:cs="Tahoma"/>
        </w:rPr>
        <w:t>(s)</w:t>
      </w:r>
      <w:r w:rsidRPr="007979B4">
        <w:rPr>
          <w:rFonts w:ascii="Tahoma" w:hAnsi="Tahoma" w:cs="Tahoma"/>
        </w:rPr>
        <w:t xml:space="preserve"> or </w:t>
      </w:r>
      <w:r>
        <w:rPr>
          <w:rFonts w:ascii="Tahoma" w:hAnsi="Tahoma" w:cs="Tahoma"/>
        </w:rPr>
        <w:t>F</w:t>
      </w:r>
      <w:r w:rsidRPr="007979B4">
        <w:rPr>
          <w:rFonts w:ascii="Tahoma" w:hAnsi="Tahoma" w:cs="Tahoma"/>
        </w:rPr>
        <w:t>ilm</w:t>
      </w:r>
      <w:r>
        <w:rPr>
          <w:rFonts w:ascii="Tahoma" w:hAnsi="Tahoma" w:cs="Tahoma"/>
        </w:rPr>
        <w:t>.  This has</w:t>
      </w:r>
      <w:r w:rsidRPr="007979B4">
        <w:rPr>
          <w:rFonts w:ascii="Tahoma" w:hAnsi="Tahoma" w:cs="Tahoma"/>
        </w:rPr>
        <w:t xml:space="preserve"> result</w:t>
      </w:r>
      <w:r>
        <w:rPr>
          <w:rFonts w:ascii="Tahoma" w:hAnsi="Tahoma" w:cs="Tahoma"/>
        </w:rPr>
        <w:t>ed in 2024/25</w:t>
      </w:r>
      <w:r w:rsidRPr="007979B4">
        <w:rPr>
          <w:rFonts w:ascii="Tahoma" w:hAnsi="Tahoma" w:cs="Tahoma"/>
        </w:rPr>
        <w:t xml:space="preserve"> not being directly comparable with previous years</w:t>
      </w:r>
      <w:r>
        <w:rPr>
          <w:rFonts w:ascii="Tahoma" w:hAnsi="Tahoma" w:cs="Tahoma"/>
        </w:rPr>
        <w:t>;</w:t>
      </w:r>
      <w:r w:rsidRPr="007979B4">
        <w:rPr>
          <w:rFonts w:ascii="Tahoma" w:hAnsi="Tahoma" w:cs="Tahoma"/>
        </w:rPr>
        <w:t xml:space="preserve"> April to June experience</w:t>
      </w:r>
      <w:r>
        <w:rPr>
          <w:rFonts w:ascii="Tahoma" w:hAnsi="Tahoma" w:cs="Tahoma"/>
        </w:rPr>
        <w:t>d</w:t>
      </w:r>
      <w:r w:rsidRPr="007979B4">
        <w:rPr>
          <w:rFonts w:ascii="Tahoma" w:hAnsi="Tahoma" w:cs="Tahoma"/>
        </w:rPr>
        <w:t xml:space="preserve"> the highest volumes across the 4 year</w:t>
      </w:r>
      <w:r>
        <w:rPr>
          <w:rFonts w:ascii="Tahoma" w:hAnsi="Tahoma" w:cs="Tahoma"/>
        </w:rPr>
        <w:t>s’</w:t>
      </w:r>
      <w:r w:rsidRPr="007979B4">
        <w:rPr>
          <w:rFonts w:ascii="Tahoma" w:hAnsi="Tahoma" w:cs="Tahoma"/>
        </w:rPr>
        <w:t xml:space="preserve"> period.</w:t>
      </w:r>
    </w:p>
    <w:p w14:paraId="64121CED" w14:textId="77777777" w:rsidR="00BB67F8" w:rsidRPr="007979B4" w:rsidRDefault="00BB67F8" w:rsidP="00BB67F8">
      <w:pPr>
        <w:spacing w:after="0" w:line="240" w:lineRule="auto"/>
        <w:rPr>
          <w:rFonts w:ascii="Tahoma" w:hAnsi="Tahoma" w:cs="Tahoma"/>
        </w:rPr>
      </w:pPr>
    </w:p>
    <w:p w14:paraId="25EC93AE" w14:textId="77777777" w:rsidR="00BB67F8" w:rsidRPr="007979B4" w:rsidRDefault="00BB67F8" w:rsidP="00BB67F8">
      <w:pPr>
        <w:spacing w:after="0" w:line="240" w:lineRule="auto"/>
        <w:rPr>
          <w:rFonts w:ascii="Tahoma" w:hAnsi="Tahoma" w:cs="Tahoma"/>
        </w:rPr>
      </w:pPr>
      <w:r>
        <w:rPr>
          <w:rFonts w:ascii="Tahoma" w:hAnsi="Tahoma" w:cs="Tahoma"/>
        </w:rPr>
        <w:t xml:space="preserve">Over the reporting period, </w:t>
      </w:r>
      <w:r w:rsidRPr="007979B4">
        <w:rPr>
          <w:rFonts w:ascii="Tahoma" w:hAnsi="Tahoma" w:cs="Tahoma"/>
        </w:rPr>
        <w:t xml:space="preserve">there has been a 21.6% increase (+513) in suspects arrested and interviewed and a 36.5% increase (+206) in charges. </w:t>
      </w:r>
      <w:r>
        <w:rPr>
          <w:rFonts w:ascii="Tahoma" w:hAnsi="Tahoma" w:cs="Tahoma"/>
        </w:rPr>
        <w:t>During 2024/25, t</w:t>
      </w:r>
      <w:r w:rsidRPr="007979B4">
        <w:rPr>
          <w:rFonts w:ascii="Tahoma" w:hAnsi="Tahoma" w:cs="Tahoma"/>
        </w:rPr>
        <w:t>he Charge Rate increased by 2.7</w:t>
      </w:r>
      <w:r>
        <w:rPr>
          <w:rFonts w:ascii="Tahoma" w:hAnsi="Tahoma" w:cs="Tahoma"/>
        </w:rPr>
        <w:t>%</w:t>
      </w:r>
      <w:r w:rsidRPr="007979B4">
        <w:rPr>
          <w:rFonts w:ascii="Tahoma" w:hAnsi="Tahoma" w:cs="Tahoma"/>
        </w:rPr>
        <w:t xml:space="preserve"> to 12.0%.</w:t>
      </w:r>
    </w:p>
    <w:p w14:paraId="63BA74BE" w14:textId="77777777" w:rsidR="00B04509" w:rsidRDefault="00B04509" w:rsidP="00725EDF">
      <w:pPr>
        <w:pStyle w:val="ListParagraph"/>
        <w:spacing w:after="0" w:line="240" w:lineRule="auto"/>
        <w:ind w:left="0"/>
        <w:rPr>
          <w:rFonts w:ascii="Tahoma" w:hAnsi="Tahoma" w:cs="Tahoma"/>
          <w:b/>
          <w:bCs/>
          <w:color w:val="000000" w:themeColor="text1"/>
          <w:u w:val="single"/>
        </w:rPr>
      </w:pPr>
    </w:p>
    <w:p w14:paraId="1E5AA3A8" w14:textId="03D2EE01" w:rsidR="00B04509" w:rsidRPr="00725EDF" w:rsidRDefault="00B04509" w:rsidP="00B04509">
      <w:pPr>
        <w:shd w:val="clear" w:color="auto" w:fill="FFFF00"/>
        <w:spacing w:after="0" w:line="240" w:lineRule="auto"/>
        <w:rPr>
          <w:rFonts w:ascii="Tahoma" w:hAnsi="Tahoma" w:cs="Tahoma"/>
          <w:b/>
          <w:bCs/>
          <w:color w:val="000000" w:themeColor="text1"/>
        </w:rPr>
      </w:pPr>
      <w:r w:rsidRPr="00725EDF">
        <w:rPr>
          <w:rFonts w:ascii="Tahoma" w:hAnsi="Tahoma" w:cs="Tahoma"/>
          <w:b/>
          <w:bCs/>
          <w:color w:val="000000" w:themeColor="text1"/>
        </w:rPr>
        <w:t xml:space="preserve">Priority: </w:t>
      </w:r>
      <w:r>
        <w:rPr>
          <w:rFonts w:ascii="Tahoma" w:hAnsi="Tahoma" w:cs="Tahoma"/>
          <w:b/>
          <w:bCs/>
          <w:color w:val="000000" w:themeColor="text1"/>
        </w:rPr>
        <w:t>Protect People from Exploitation and Abuse</w:t>
      </w:r>
    </w:p>
    <w:p w14:paraId="723DFCD7" w14:textId="77777777" w:rsidR="00B04509" w:rsidRDefault="00B04509" w:rsidP="00725EDF">
      <w:pPr>
        <w:pStyle w:val="ListParagraph"/>
        <w:spacing w:after="0" w:line="240" w:lineRule="auto"/>
        <w:ind w:left="0"/>
        <w:rPr>
          <w:rFonts w:ascii="Tahoma" w:hAnsi="Tahoma" w:cs="Tahoma"/>
          <w:b/>
          <w:bCs/>
          <w:color w:val="000000" w:themeColor="text1"/>
          <w:u w:val="single"/>
        </w:rPr>
      </w:pPr>
    </w:p>
    <w:p w14:paraId="7DC90DEC" w14:textId="77777777" w:rsidR="00BB67F8" w:rsidRPr="00701EA1" w:rsidRDefault="00BB67F8" w:rsidP="00BB67F8">
      <w:pPr>
        <w:pStyle w:val="ListParagraph"/>
        <w:spacing w:after="0" w:line="240" w:lineRule="auto"/>
        <w:ind w:left="0"/>
        <w:rPr>
          <w:rFonts w:ascii="Tahoma" w:hAnsi="Tahoma" w:cs="Tahoma"/>
          <w:b/>
          <w:bCs/>
          <w:u w:val="single"/>
        </w:rPr>
      </w:pPr>
      <w:r w:rsidRPr="00701EA1">
        <w:rPr>
          <w:rFonts w:ascii="Tahoma" w:hAnsi="Tahoma" w:cs="Tahoma"/>
          <w:b/>
          <w:bCs/>
          <w:u w:val="single"/>
        </w:rPr>
        <w:t>Domestic Abuse</w:t>
      </w:r>
    </w:p>
    <w:p w14:paraId="25281836" w14:textId="77777777" w:rsidR="00BB67F8" w:rsidRPr="007979B4" w:rsidRDefault="00BB67F8" w:rsidP="00BB67F8">
      <w:pPr>
        <w:pStyle w:val="ListParagraph"/>
        <w:spacing w:after="0" w:line="240" w:lineRule="auto"/>
        <w:ind w:left="0"/>
        <w:rPr>
          <w:rFonts w:ascii="Tahoma" w:hAnsi="Tahoma" w:cs="Tahoma"/>
          <w:b/>
          <w:bCs/>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0A3BE29B"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35A4AA"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AFAC774" w14:textId="77777777" w:rsidR="00BB67F8" w:rsidRPr="007979B4" w:rsidRDefault="00BB67F8" w:rsidP="004F4D6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1C281BC"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DF7E5E8"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70C36C60"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3671084F"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29589ACA"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38719</w:t>
            </w:r>
          </w:p>
        </w:tc>
        <w:tc>
          <w:tcPr>
            <w:tcW w:w="2149" w:type="dxa"/>
            <w:tcBorders>
              <w:top w:val="nil"/>
              <w:left w:val="nil"/>
              <w:bottom w:val="single" w:sz="8" w:space="0" w:color="auto"/>
              <w:right w:val="single" w:sz="8" w:space="0" w:color="auto"/>
            </w:tcBorders>
            <w:shd w:val="clear" w:color="auto" w:fill="auto"/>
            <w:noWrap/>
            <w:vAlign w:val="center"/>
          </w:tcPr>
          <w:p w14:paraId="4736F3E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-1.1%</w:t>
            </w:r>
          </w:p>
        </w:tc>
        <w:tc>
          <w:tcPr>
            <w:tcW w:w="2149" w:type="dxa"/>
            <w:tcBorders>
              <w:top w:val="nil"/>
              <w:left w:val="nil"/>
              <w:bottom w:val="single" w:sz="8" w:space="0" w:color="auto"/>
              <w:right w:val="single" w:sz="8" w:space="0" w:color="auto"/>
            </w:tcBorders>
            <w:shd w:val="clear" w:color="auto" w:fill="auto"/>
            <w:noWrap/>
            <w:vAlign w:val="center"/>
          </w:tcPr>
          <w:p w14:paraId="22389BF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-442</w:t>
            </w:r>
          </w:p>
        </w:tc>
      </w:tr>
      <w:tr w:rsidR="00BB67F8" w:rsidRPr="007979B4" w14:paraId="4BA0615A"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14219A6F"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682E5C0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34752</w:t>
            </w:r>
          </w:p>
        </w:tc>
        <w:tc>
          <w:tcPr>
            <w:tcW w:w="2149" w:type="dxa"/>
            <w:tcBorders>
              <w:top w:val="nil"/>
              <w:left w:val="nil"/>
              <w:bottom w:val="single" w:sz="8" w:space="0" w:color="auto"/>
              <w:right w:val="single" w:sz="8" w:space="0" w:color="auto"/>
            </w:tcBorders>
            <w:shd w:val="clear" w:color="auto" w:fill="auto"/>
            <w:noWrap/>
            <w:vAlign w:val="center"/>
          </w:tcPr>
          <w:p w14:paraId="558D723A"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-10.2%</w:t>
            </w:r>
          </w:p>
        </w:tc>
        <w:tc>
          <w:tcPr>
            <w:tcW w:w="2149" w:type="dxa"/>
            <w:tcBorders>
              <w:top w:val="nil"/>
              <w:left w:val="nil"/>
              <w:bottom w:val="single" w:sz="8" w:space="0" w:color="auto"/>
              <w:right w:val="single" w:sz="8" w:space="0" w:color="auto"/>
            </w:tcBorders>
            <w:shd w:val="clear" w:color="auto" w:fill="auto"/>
            <w:noWrap/>
            <w:vAlign w:val="center"/>
          </w:tcPr>
          <w:p w14:paraId="2E63F450"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-3967</w:t>
            </w:r>
          </w:p>
        </w:tc>
      </w:tr>
      <w:tr w:rsidR="00BB67F8" w:rsidRPr="007979B4" w14:paraId="7AFA58D7"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62C38DB0"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031F8A8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30134</w:t>
            </w:r>
          </w:p>
        </w:tc>
        <w:tc>
          <w:tcPr>
            <w:tcW w:w="2149" w:type="dxa"/>
            <w:tcBorders>
              <w:top w:val="nil"/>
              <w:left w:val="nil"/>
              <w:bottom w:val="single" w:sz="8" w:space="0" w:color="auto"/>
              <w:right w:val="single" w:sz="8" w:space="0" w:color="auto"/>
            </w:tcBorders>
            <w:shd w:val="clear" w:color="auto" w:fill="auto"/>
            <w:noWrap/>
            <w:vAlign w:val="center"/>
          </w:tcPr>
          <w:p w14:paraId="6C1244F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-13.3%</w:t>
            </w:r>
          </w:p>
        </w:tc>
        <w:tc>
          <w:tcPr>
            <w:tcW w:w="2149" w:type="dxa"/>
            <w:tcBorders>
              <w:top w:val="nil"/>
              <w:left w:val="nil"/>
              <w:bottom w:val="single" w:sz="8" w:space="0" w:color="auto"/>
              <w:right w:val="single" w:sz="8" w:space="0" w:color="auto"/>
            </w:tcBorders>
            <w:shd w:val="clear" w:color="auto" w:fill="auto"/>
            <w:noWrap/>
            <w:vAlign w:val="center"/>
          </w:tcPr>
          <w:p w14:paraId="13ECB57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-4618</w:t>
            </w:r>
          </w:p>
        </w:tc>
      </w:tr>
      <w:tr w:rsidR="00BB67F8" w:rsidRPr="007979B4" w14:paraId="22305291"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712F1C4D"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375D9AE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28129</w:t>
            </w:r>
          </w:p>
        </w:tc>
        <w:tc>
          <w:tcPr>
            <w:tcW w:w="2149" w:type="dxa"/>
            <w:tcBorders>
              <w:top w:val="nil"/>
              <w:left w:val="nil"/>
              <w:bottom w:val="single" w:sz="8" w:space="0" w:color="auto"/>
              <w:right w:val="single" w:sz="8" w:space="0" w:color="auto"/>
            </w:tcBorders>
            <w:shd w:val="clear" w:color="auto" w:fill="auto"/>
            <w:noWrap/>
            <w:vAlign w:val="center"/>
          </w:tcPr>
          <w:p w14:paraId="1D0C5D2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-6.7%</w:t>
            </w:r>
          </w:p>
        </w:tc>
        <w:tc>
          <w:tcPr>
            <w:tcW w:w="2149" w:type="dxa"/>
            <w:tcBorders>
              <w:top w:val="nil"/>
              <w:left w:val="nil"/>
              <w:bottom w:val="single" w:sz="8" w:space="0" w:color="auto"/>
              <w:right w:val="single" w:sz="8" w:space="0" w:color="auto"/>
            </w:tcBorders>
            <w:shd w:val="clear" w:color="auto" w:fill="auto"/>
            <w:noWrap/>
            <w:vAlign w:val="center"/>
          </w:tcPr>
          <w:p w14:paraId="7E5F1EDF"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-2005</w:t>
            </w:r>
          </w:p>
        </w:tc>
      </w:tr>
      <w:tr w:rsidR="00BB67F8" w:rsidRPr="007979B4" w14:paraId="47EF14C2"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32DC3A67"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45B93DF6"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6E8AD736"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5F6F3271" w14:textId="77777777" w:rsidR="00BB67F8" w:rsidRPr="007979B4" w:rsidRDefault="00BB67F8" w:rsidP="004F4D6F">
            <w:pPr>
              <w:spacing w:after="0" w:line="240" w:lineRule="auto"/>
              <w:rPr>
                <w:rFonts w:ascii="Tahoma" w:hAnsi="Tahoma" w:cs="Tahoma"/>
                <w:color w:val="FF0000"/>
              </w:rPr>
            </w:pPr>
          </w:p>
        </w:tc>
      </w:tr>
      <w:tr w:rsidR="00BB67F8" w:rsidRPr="007979B4" w14:paraId="609E999F"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39FC2C0C" w14:textId="77777777" w:rsidR="00BB67F8" w:rsidRPr="00701EA1" w:rsidRDefault="00BB67F8" w:rsidP="004F4D6F">
            <w:pPr>
              <w:spacing w:after="0" w:line="240" w:lineRule="auto"/>
              <w:rPr>
                <w:rFonts w:ascii="Tahoma" w:hAnsi="Tahoma" w:cs="Tahoma"/>
                <w:b/>
                <w:bCs/>
                <w:color w:val="FF0000"/>
              </w:rPr>
            </w:pPr>
            <w:r w:rsidRPr="00701EA1">
              <w:rPr>
                <w:rFonts w:ascii="Tahoma" w:hAnsi="Tahoma" w:cs="Tahoma"/>
                <w:b/>
                <w:bCs/>
              </w:rPr>
              <w:t>4 year</w:t>
            </w:r>
            <w:r>
              <w:rPr>
                <w:rFonts w:ascii="Tahoma" w:hAnsi="Tahoma" w:cs="Tahoma"/>
                <w:b/>
                <w:bCs/>
              </w:rPr>
              <w:t>s’</w:t>
            </w:r>
            <w:r w:rsidRPr="00701EA1">
              <w:rPr>
                <w:rFonts w:ascii="Tahoma" w:hAnsi="Tahoma" w:cs="Tahoma"/>
                <w:b/>
                <w:bCs/>
              </w:rPr>
              <w:t xml:space="preserve">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1A328C79" w14:textId="77777777" w:rsidR="00BB67F8" w:rsidRPr="00701EA1" w:rsidRDefault="00BB67F8" w:rsidP="004F4D6F">
            <w:pPr>
              <w:spacing w:after="0" w:line="240" w:lineRule="auto"/>
              <w:rPr>
                <w:rFonts w:ascii="Tahoma" w:hAnsi="Tahoma" w:cs="Tahoma"/>
                <w:b/>
                <w:bCs/>
              </w:rPr>
            </w:pPr>
            <w:r w:rsidRPr="00701EA1">
              <w:rPr>
                <w:rFonts w:ascii="Tahoma" w:hAnsi="Tahoma" w:cs="Tahoma"/>
                <w:b/>
                <w:bCs/>
              </w:rPr>
              <w:t>-27.4%</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2043B5B5" w14:textId="77777777" w:rsidR="00BB67F8" w:rsidRPr="00701EA1" w:rsidRDefault="00BB67F8" w:rsidP="004F4D6F">
            <w:pPr>
              <w:spacing w:after="0" w:line="240" w:lineRule="auto"/>
              <w:rPr>
                <w:rFonts w:ascii="Tahoma" w:hAnsi="Tahoma" w:cs="Tahoma"/>
                <w:b/>
                <w:bCs/>
              </w:rPr>
            </w:pPr>
            <w:r w:rsidRPr="00701EA1">
              <w:rPr>
                <w:rFonts w:ascii="Tahoma" w:hAnsi="Tahoma" w:cs="Tahoma"/>
                <w:b/>
                <w:bCs/>
              </w:rPr>
              <w:t>-10590</w:t>
            </w:r>
          </w:p>
        </w:tc>
      </w:tr>
    </w:tbl>
    <w:p w14:paraId="3F7863CB"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noProof/>
          <w:color w:val="FF0000"/>
        </w:rPr>
        <w:drawing>
          <wp:inline distT="0" distB="0" distL="0" distR="0" wp14:anchorId="03416363" wp14:editId="7E8E8FDF">
            <wp:extent cx="5689600" cy="2222500"/>
            <wp:effectExtent l="0" t="0" r="6350" b="6350"/>
            <wp:docPr id="14541122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89600" cy="2222500"/>
                    </a:xfrm>
                    <a:prstGeom prst="rect">
                      <a:avLst/>
                    </a:prstGeom>
                    <a:noFill/>
                  </pic:spPr>
                </pic:pic>
              </a:graphicData>
            </a:graphic>
          </wp:inline>
        </w:drawing>
      </w:r>
    </w:p>
    <w:p w14:paraId="08994654" w14:textId="77777777" w:rsidR="00BB67F8" w:rsidRPr="007979B4" w:rsidRDefault="00BB67F8" w:rsidP="00BB67F8">
      <w:pPr>
        <w:spacing w:after="0" w:line="240" w:lineRule="auto"/>
        <w:rPr>
          <w:rFonts w:ascii="Tahoma" w:hAnsi="Tahoma" w:cs="Tahoma"/>
          <w:color w:val="FF0000"/>
        </w:rPr>
      </w:pPr>
    </w:p>
    <w:p w14:paraId="7B2BC759" w14:textId="77777777" w:rsidR="00BB67F8" w:rsidRPr="007979B4" w:rsidRDefault="3E5863F0" w:rsidP="00BB67F8">
      <w:pPr>
        <w:spacing w:after="0" w:line="240" w:lineRule="auto"/>
        <w:rPr>
          <w:rFonts w:ascii="Tahoma" w:hAnsi="Tahoma" w:cs="Tahoma"/>
        </w:rPr>
      </w:pPr>
      <w:r w:rsidRPr="1D7D8BE7">
        <w:rPr>
          <w:rFonts w:ascii="Tahoma" w:hAnsi="Tahoma" w:cs="Tahoma"/>
        </w:rPr>
        <w:lastRenderedPageBreak/>
        <w:t>Domestic Abuse (DA) offences have experienced a -27.4% decrease (10,590 less offences) over the 4 years’ period. There is a -6.7% decrease, with 2,005 less offences compared to the previous financial year. There is an overall decreasing trend in DA across the 4 years’ period with peak months between April and September.</w:t>
      </w:r>
    </w:p>
    <w:p w14:paraId="598BA26F" w14:textId="77777777" w:rsidR="00BB67F8" w:rsidRPr="007979B4" w:rsidRDefault="00BB67F8" w:rsidP="00BB67F8">
      <w:pPr>
        <w:spacing w:after="0" w:line="240" w:lineRule="auto"/>
        <w:rPr>
          <w:rFonts w:ascii="Tahoma" w:hAnsi="Tahoma" w:cs="Tahoma"/>
        </w:rPr>
      </w:pPr>
    </w:p>
    <w:p w14:paraId="5CE354F7" w14:textId="77777777" w:rsidR="00BB67F8" w:rsidRPr="007979B4" w:rsidRDefault="00BB67F8" w:rsidP="00BB67F8">
      <w:pPr>
        <w:spacing w:after="0" w:line="240" w:lineRule="auto"/>
        <w:rPr>
          <w:rFonts w:ascii="Tahoma" w:hAnsi="Tahoma" w:cs="Tahoma"/>
        </w:rPr>
      </w:pPr>
      <w:r w:rsidRPr="007979B4">
        <w:rPr>
          <w:rFonts w:ascii="Tahoma" w:hAnsi="Tahoma" w:cs="Tahoma"/>
        </w:rPr>
        <w:t xml:space="preserve">In April 2024, the Home Office Counting Rules were amended to no longer require behavioural crimes to be recorded in addition to other substantive offences. This will have an impact on any reductions seen, </w:t>
      </w:r>
      <w:r>
        <w:rPr>
          <w:rFonts w:ascii="Tahoma" w:hAnsi="Tahoma" w:cs="Tahoma"/>
        </w:rPr>
        <w:t xml:space="preserve">in addition to the </w:t>
      </w:r>
      <w:r w:rsidRPr="007979B4">
        <w:rPr>
          <w:rFonts w:ascii="Tahoma" w:hAnsi="Tahoma" w:cs="Tahoma"/>
        </w:rPr>
        <w:t xml:space="preserve">ongoing work Kent Police </w:t>
      </w:r>
      <w:r>
        <w:rPr>
          <w:rFonts w:ascii="Tahoma" w:hAnsi="Tahoma" w:cs="Tahoma"/>
        </w:rPr>
        <w:t>undertake</w:t>
      </w:r>
      <w:r w:rsidRPr="007979B4">
        <w:rPr>
          <w:rFonts w:ascii="Tahoma" w:hAnsi="Tahoma" w:cs="Tahoma"/>
        </w:rPr>
        <w:t xml:space="preserve"> with partner agencies and charitable organisations</w:t>
      </w:r>
      <w:r>
        <w:rPr>
          <w:rFonts w:ascii="Tahoma" w:hAnsi="Tahoma" w:cs="Tahoma"/>
        </w:rPr>
        <w:t xml:space="preserve"> to prevent and tackle ASB in our communities</w:t>
      </w:r>
      <w:r w:rsidRPr="007979B4">
        <w:rPr>
          <w:rFonts w:ascii="Tahoma" w:hAnsi="Tahoma" w:cs="Tahoma"/>
        </w:rPr>
        <w:t>.</w:t>
      </w:r>
    </w:p>
    <w:p w14:paraId="183F5D00" w14:textId="77777777" w:rsidR="00BB67F8" w:rsidRPr="007979B4" w:rsidRDefault="00BB67F8" w:rsidP="00BB67F8">
      <w:pPr>
        <w:spacing w:after="0" w:line="240" w:lineRule="auto"/>
        <w:rPr>
          <w:rFonts w:ascii="Tahoma" w:hAnsi="Tahoma" w:cs="Tahoma"/>
          <w:color w:val="FF0000"/>
        </w:rPr>
      </w:pPr>
    </w:p>
    <w:p w14:paraId="51DF9799" w14:textId="77777777" w:rsidR="00BB67F8" w:rsidRPr="007979B4" w:rsidRDefault="3E5863F0" w:rsidP="00BB67F8">
      <w:pPr>
        <w:spacing w:after="0" w:line="240" w:lineRule="auto"/>
        <w:rPr>
          <w:rFonts w:ascii="Tahoma" w:hAnsi="Tahoma" w:cs="Tahoma"/>
        </w:rPr>
      </w:pPr>
      <w:r w:rsidRPr="1D7D8BE7">
        <w:rPr>
          <w:rFonts w:ascii="Tahoma" w:hAnsi="Tahoma" w:cs="Tahoma"/>
        </w:rPr>
        <w:t>The current decrease can be attributed to a -7.3% decrease (-1,715) in Violence Against the Person (VAP) offences. Within VAP, Stalking and Harassment offences decreased by -11.6%, (-748), with Coercive and Controlling behaviour increasing by 13.1% (+309).  Other VAP offences have seen an -8.7% decrease (1,276 less offences).</w:t>
      </w:r>
    </w:p>
    <w:p w14:paraId="09C7B72E" w14:textId="77777777" w:rsidR="00BB67F8" w:rsidRPr="007979B4" w:rsidRDefault="00BB67F8" w:rsidP="00BB67F8">
      <w:pPr>
        <w:spacing w:after="0" w:line="240" w:lineRule="auto"/>
        <w:rPr>
          <w:rFonts w:ascii="Tahoma" w:hAnsi="Tahoma" w:cs="Tahoma"/>
          <w:color w:val="FF0000"/>
        </w:rPr>
      </w:pPr>
    </w:p>
    <w:p w14:paraId="4DCB1715" w14:textId="7ED33AFD" w:rsidR="00BB67F8" w:rsidRDefault="00BB67F8" w:rsidP="00BB67F8">
      <w:pPr>
        <w:spacing w:after="0" w:line="240" w:lineRule="auto"/>
        <w:rPr>
          <w:rFonts w:ascii="Tahoma" w:hAnsi="Tahoma" w:cs="Tahoma"/>
        </w:rPr>
      </w:pPr>
      <w:r w:rsidRPr="007979B4">
        <w:rPr>
          <w:rFonts w:ascii="Tahoma" w:hAnsi="Tahoma" w:cs="Tahoma"/>
        </w:rPr>
        <w:t xml:space="preserve">The Charge Rate is down slightly </w:t>
      </w:r>
      <w:r>
        <w:rPr>
          <w:rFonts w:ascii="Tahoma" w:hAnsi="Tahoma" w:cs="Tahoma"/>
        </w:rPr>
        <w:t>by -0</w:t>
      </w:r>
      <w:r w:rsidR="00946852">
        <w:rPr>
          <w:rFonts w:ascii="Tahoma" w:hAnsi="Tahoma" w:cs="Tahoma"/>
        </w:rPr>
        <w:t>.</w:t>
      </w:r>
      <w:r>
        <w:rPr>
          <w:rFonts w:ascii="Tahoma" w:hAnsi="Tahoma" w:cs="Tahoma"/>
        </w:rPr>
        <w:t xml:space="preserve">1% to 7.1%, </w:t>
      </w:r>
      <w:r w:rsidRPr="007979B4">
        <w:rPr>
          <w:rFonts w:ascii="Tahoma" w:hAnsi="Tahoma" w:cs="Tahoma"/>
        </w:rPr>
        <w:t>compared to the previous financial year</w:t>
      </w:r>
      <w:r>
        <w:rPr>
          <w:rFonts w:ascii="Tahoma" w:hAnsi="Tahoma" w:cs="Tahoma"/>
        </w:rPr>
        <w:t xml:space="preserve">.  </w:t>
      </w:r>
      <w:r w:rsidRPr="007979B4">
        <w:rPr>
          <w:rFonts w:ascii="Tahoma" w:hAnsi="Tahoma" w:cs="Tahoma"/>
        </w:rPr>
        <w:t xml:space="preserve">There has, however, been an increase in the Solved Rate across the Force, from 9.9% to 10.1% for </w:t>
      </w:r>
      <w:r>
        <w:rPr>
          <w:rFonts w:ascii="Tahoma" w:hAnsi="Tahoma" w:cs="Tahoma"/>
        </w:rPr>
        <w:t>2024/25</w:t>
      </w:r>
      <w:r w:rsidRPr="007979B4">
        <w:rPr>
          <w:rFonts w:ascii="Tahoma" w:hAnsi="Tahoma" w:cs="Tahoma"/>
        </w:rPr>
        <w:t xml:space="preserve">. Both charges and Cautions have seen decreases, whilst </w:t>
      </w:r>
      <w:r>
        <w:rPr>
          <w:rFonts w:ascii="Tahoma" w:hAnsi="Tahoma" w:cs="Tahoma"/>
        </w:rPr>
        <w:t>CRs</w:t>
      </w:r>
      <w:r w:rsidRPr="007979B4">
        <w:rPr>
          <w:rFonts w:ascii="Tahoma" w:hAnsi="Tahoma" w:cs="Tahoma"/>
        </w:rPr>
        <w:t xml:space="preserve"> saw an additional 140 being administered.</w:t>
      </w:r>
    </w:p>
    <w:p w14:paraId="0F89EE59" w14:textId="77777777" w:rsidR="00BB67F8" w:rsidRDefault="00BB67F8" w:rsidP="00BB67F8">
      <w:pPr>
        <w:spacing w:after="0" w:line="240" w:lineRule="auto"/>
        <w:rPr>
          <w:rFonts w:ascii="Tahoma" w:hAnsi="Tahoma" w:cs="Tahoma"/>
        </w:rPr>
      </w:pPr>
    </w:p>
    <w:p w14:paraId="6E3F6340" w14:textId="77777777" w:rsidR="00BB67F8" w:rsidRPr="0033456F" w:rsidRDefault="00BB67F8" w:rsidP="00BB67F8">
      <w:pPr>
        <w:pStyle w:val="ListParagraph"/>
        <w:spacing w:after="0" w:line="240" w:lineRule="auto"/>
        <w:ind w:left="0"/>
        <w:rPr>
          <w:rFonts w:ascii="Tahoma" w:hAnsi="Tahoma" w:cs="Tahoma"/>
          <w:b/>
          <w:bCs/>
          <w:u w:val="single"/>
        </w:rPr>
      </w:pPr>
      <w:r w:rsidRPr="0033456F">
        <w:rPr>
          <w:rFonts w:ascii="Tahoma" w:hAnsi="Tahoma" w:cs="Tahoma"/>
          <w:b/>
          <w:bCs/>
          <w:u w:val="single"/>
        </w:rPr>
        <w:t>Adult Protection</w:t>
      </w:r>
    </w:p>
    <w:p w14:paraId="10CF7461" w14:textId="77777777" w:rsidR="00BB67F8" w:rsidRPr="007979B4" w:rsidRDefault="00BB67F8" w:rsidP="00BB67F8">
      <w:pPr>
        <w:pStyle w:val="ListParagraph"/>
        <w:spacing w:after="0" w:line="240" w:lineRule="auto"/>
        <w:ind w:left="0"/>
        <w:rPr>
          <w:rFonts w:ascii="Tahoma" w:hAnsi="Tahoma" w:cs="Tahoma"/>
          <w:b/>
          <w:bCs/>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4008629F"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B076E6"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9CDF7DF" w14:textId="77777777" w:rsidR="00BB67F8" w:rsidRPr="007979B4" w:rsidRDefault="00BB67F8" w:rsidP="004F4D6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DAB0733"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53FEA32"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3AD0F20B"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1CBC3B2A"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7C36861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4748</w:t>
            </w:r>
          </w:p>
        </w:tc>
        <w:tc>
          <w:tcPr>
            <w:tcW w:w="2149" w:type="dxa"/>
            <w:tcBorders>
              <w:top w:val="nil"/>
              <w:left w:val="nil"/>
              <w:bottom w:val="single" w:sz="8" w:space="0" w:color="auto"/>
              <w:right w:val="single" w:sz="8" w:space="0" w:color="auto"/>
            </w:tcBorders>
            <w:shd w:val="clear" w:color="auto" w:fill="auto"/>
            <w:noWrap/>
            <w:vAlign w:val="center"/>
          </w:tcPr>
          <w:p w14:paraId="52C2CCF0"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67.8%</w:t>
            </w:r>
          </w:p>
        </w:tc>
        <w:tc>
          <w:tcPr>
            <w:tcW w:w="2149" w:type="dxa"/>
            <w:tcBorders>
              <w:top w:val="nil"/>
              <w:left w:val="nil"/>
              <w:bottom w:val="single" w:sz="8" w:space="0" w:color="auto"/>
              <w:right w:val="single" w:sz="8" w:space="0" w:color="auto"/>
            </w:tcBorders>
            <w:shd w:val="clear" w:color="auto" w:fill="auto"/>
            <w:noWrap/>
            <w:vAlign w:val="center"/>
          </w:tcPr>
          <w:p w14:paraId="163CF00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1919</w:t>
            </w:r>
          </w:p>
        </w:tc>
      </w:tr>
      <w:tr w:rsidR="00BB67F8" w:rsidRPr="007979B4" w14:paraId="4C3CE41B"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7CE25DFE"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133CDCDA"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4814</w:t>
            </w:r>
          </w:p>
        </w:tc>
        <w:tc>
          <w:tcPr>
            <w:tcW w:w="2149" w:type="dxa"/>
            <w:tcBorders>
              <w:top w:val="nil"/>
              <w:left w:val="nil"/>
              <w:bottom w:val="single" w:sz="8" w:space="0" w:color="auto"/>
              <w:right w:val="single" w:sz="8" w:space="0" w:color="auto"/>
            </w:tcBorders>
            <w:shd w:val="clear" w:color="auto" w:fill="auto"/>
            <w:noWrap/>
            <w:vAlign w:val="center"/>
          </w:tcPr>
          <w:p w14:paraId="20F1492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1.4%</w:t>
            </w:r>
          </w:p>
        </w:tc>
        <w:tc>
          <w:tcPr>
            <w:tcW w:w="2149" w:type="dxa"/>
            <w:tcBorders>
              <w:top w:val="nil"/>
              <w:left w:val="nil"/>
              <w:bottom w:val="single" w:sz="8" w:space="0" w:color="auto"/>
              <w:right w:val="single" w:sz="8" w:space="0" w:color="auto"/>
            </w:tcBorders>
            <w:shd w:val="clear" w:color="auto" w:fill="auto"/>
            <w:noWrap/>
            <w:vAlign w:val="center"/>
          </w:tcPr>
          <w:p w14:paraId="6390FCB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66</w:t>
            </w:r>
          </w:p>
        </w:tc>
      </w:tr>
      <w:tr w:rsidR="00BB67F8" w:rsidRPr="007979B4" w14:paraId="088CDF0F"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5707CCE7"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614CA5B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3831</w:t>
            </w:r>
          </w:p>
        </w:tc>
        <w:tc>
          <w:tcPr>
            <w:tcW w:w="2149" w:type="dxa"/>
            <w:tcBorders>
              <w:top w:val="nil"/>
              <w:left w:val="nil"/>
              <w:bottom w:val="single" w:sz="8" w:space="0" w:color="auto"/>
              <w:right w:val="single" w:sz="8" w:space="0" w:color="auto"/>
            </w:tcBorders>
            <w:shd w:val="clear" w:color="auto" w:fill="auto"/>
            <w:noWrap/>
            <w:vAlign w:val="center"/>
          </w:tcPr>
          <w:p w14:paraId="547F2C1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-20.4%</w:t>
            </w:r>
          </w:p>
        </w:tc>
        <w:tc>
          <w:tcPr>
            <w:tcW w:w="2149" w:type="dxa"/>
            <w:tcBorders>
              <w:top w:val="nil"/>
              <w:left w:val="nil"/>
              <w:bottom w:val="single" w:sz="8" w:space="0" w:color="auto"/>
              <w:right w:val="single" w:sz="8" w:space="0" w:color="auto"/>
            </w:tcBorders>
            <w:shd w:val="clear" w:color="auto" w:fill="auto"/>
            <w:noWrap/>
            <w:vAlign w:val="center"/>
          </w:tcPr>
          <w:p w14:paraId="2DCC0FF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-983</w:t>
            </w:r>
          </w:p>
        </w:tc>
      </w:tr>
      <w:tr w:rsidR="00BB67F8" w:rsidRPr="007979B4" w14:paraId="6F68D0E9"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1F55E6A4"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3D7DF12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3299</w:t>
            </w:r>
          </w:p>
        </w:tc>
        <w:tc>
          <w:tcPr>
            <w:tcW w:w="2149" w:type="dxa"/>
            <w:tcBorders>
              <w:top w:val="nil"/>
              <w:left w:val="nil"/>
              <w:bottom w:val="single" w:sz="8" w:space="0" w:color="auto"/>
              <w:right w:val="single" w:sz="8" w:space="0" w:color="auto"/>
            </w:tcBorders>
            <w:shd w:val="clear" w:color="auto" w:fill="auto"/>
            <w:noWrap/>
            <w:vAlign w:val="center"/>
          </w:tcPr>
          <w:p w14:paraId="23993B43"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-13.9%</w:t>
            </w:r>
          </w:p>
        </w:tc>
        <w:tc>
          <w:tcPr>
            <w:tcW w:w="2149" w:type="dxa"/>
            <w:tcBorders>
              <w:top w:val="nil"/>
              <w:left w:val="nil"/>
              <w:bottom w:val="single" w:sz="8" w:space="0" w:color="auto"/>
              <w:right w:val="single" w:sz="8" w:space="0" w:color="auto"/>
            </w:tcBorders>
            <w:shd w:val="clear" w:color="auto" w:fill="auto"/>
            <w:noWrap/>
            <w:vAlign w:val="center"/>
          </w:tcPr>
          <w:p w14:paraId="488347D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-532</w:t>
            </w:r>
          </w:p>
        </w:tc>
      </w:tr>
      <w:tr w:rsidR="00BB67F8" w:rsidRPr="007979B4" w14:paraId="407CD0D2"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23235C81"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1EA07D08"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0DE97047"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4F851B80" w14:textId="77777777" w:rsidR="00BB67F8" w:rsidRPr="007979B4" w:rsidRDefault="00BB67F8" w:rsidP="004F4D6F">
            <w:pPr>
              <w:spacing w:after="0" w:line="240" w:lineRule="auto"/>
              <w:rPr>
                <w:rFonts w:ascii="Tahoma" w:hAnsi="Tahoma" w:cs="Tahoma"/>
                <w:color w:val="FF0000"/>
              </w:rPr>
            </w:pPr>
          </w:p>
        </w:tc>
      </w:tr>
      <w:tr w:rsidR="00BB67F8" w:rsidRPr="007979B4" w14:paraId="7E9AEC9E"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0F63E188" w14:textId="77777777" w:rsidR="00BB67F8" w:rsidRPr="003B1CA5" w:rsidRDefault="00BB67F8" w:rsidP="004F4D6F">
            <w:pPr>
              <w:spacing w:after="0" w:line="240" w:lineRule="auto"/>
              <w:rPr>
                <w:rFonts w:ascii="Tahoma" w:hAnsi="Tahoma" w:cs="Tahoma"/>
                <w:b/>
                <w:bCs/>
                <w:color w:val="FF0000"/>
              </w:rPr>
            </w:pPr>
            <w:r w:rsidRPr="003B1CA5">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05CFDEB3" w14:textId="77777777" w:rsidR="00BB67F8" w:rsidRPr="003B1CA5" w:rsidRDefault="00BB67F8" w:rsidP="004F4D6F">
            <w:pPr>
              <w:spacing w:after="0" w:line="240" w:lineRule="auto"/>
              <w:rPr>
                <w:rFonts w:ascii="Tahoma" w:hAnsi="Tahoma" w:cs="Tahoma"/>
                <w:b/>
                <w:bCs/>
              </w:rPr>
            </w:pPr>
            <w:r w:rsidRPr="003B1CA5">
              <w:rPr>
                <w:rFonts w:ascii="Tahoma" w:hAnsi="Tahoma" w:cs="Tahoma"/>
                <w:b/>
                <w:bCs/>
              </w:rPr>
              <w:t>-30.5%</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129F26A9" w14:textId="77777777" w:rsidR="00BB67F8" w:rsidRPr="003B1CA5" w:rsidRDefault="00BB67F8" w:rsidP="004F4D6F">
            <w:pPr>
              <w:spacing w:after="0" w:line="240" w:lineRule="auto"/>
              <w:rPr>
                <w:rFonts w:ascii="Tahoma" w:hAnsi="Tahoma" w:cs="Tahoma"/>
                <w:b/>
                <w:bCs/>
              </w:rPr>
            </w:pPr>
            <w:r w:rsidRPr="003B1CA5">
              <w:rPr>
                <w:rFonts w:ascii="Tahoma" w:hAnsi="Tahoma" w:cs="Tahoma"/>
                <w:b/>
                <w:bCs/>
              </w:rPr>
              <w:t>-1449</w:t>
            </w:r>
          </w:p>
        </w:tc>
      </w:tr>
    </w:tbl>
    <w:p w14:paraId="187477B1" w14:textId="77777777" w:rsidR="00BB67F8" w:rsidRPr="007979B4" w:rsidRDefault="00BB67F8" w:rsidP="00BB67F8">
      <w:pPr>
        <w:spacing w:after="0" w:line="240" w:lineRule="auto"/>
        <w:rPr>
          <w:rFonts w:ascii="Tahoma" w:hAnsi="Tahoma" w:cs="Tahoma"/>
          <w:color w:val="FF0000"/>
        </w:rPr>
      </w:pPr>
    </w:p>
    <w:p w14:paraId="47207261"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noProof/>
          <w:color w:val="FF0000"/>
        </w:rPr>
        <w:drawing>
          <wp:inline distT="0" distB="0" distL="0" distR="0" wp14:anchorId="65A3D83A" wp14:editId="59AB1ABC">
            <wp:extent cx="5746750" cy="2178050"/>
            <wp:effectExtent l="0" t="0" r="6350" b="0"/>
            <wp:docPr id="5152112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6750" cy="2178050"/>
                    </a:xfrm>
                    <a:prstGeom prst="rect">
                      <a:avLst/>
                    </a:prstGeom>
                    <a:noFill/>
                  </pic:spPr>
                </pic:pic>
              </a:graphicData>
            </a:graphic>
          </wp:inline>
        </w:drawing>
      </w:r>
    </w:p>
    <w:p w14:paraId="42D0CC1A" w14:textId="77777777" w:rsidR="00BB67F8" w:rsidRDefault="00BB67F8" w:rsidP="00BB67F8">
      <w:pPr>
        <w:spacing w:after="0" w:line="240" w:lineRule="auto"/>
        <w:rPr>
          <w:rFonts w:ascii="Tahoma" w:hAnsi="Tahoma" w:cs="Tahoma"/>
        </w:rPr>
      </w:pPr>
    </w:p>
    <w:p w14:paraId="1114CA5C" w14:textId="77777777" w:rsidR="00BB67F8" w:rsidRDefault="00BB67F8" w:rsidP="00BB67F8">
      <w:pPr>
        <w:spacing w:after="0" w:line="240" w:lineRule="auto"/>
        <w:rPr>
          <w:rFonts w:ascii="Tahoma" w:hAnsi="Tahoma" w:cs="Tahoma"/>
        </w:rPr>
      </w:pPr>
      <w:r w:rsidRPr="007979B4">
        <w:rPr>
          <w:rFonts w:ascii="Tahoma" w:hAnsi="Tahoma" w:cs="Tahoma"/>
        </w:rPr>
        <w:t>Across the 4 year</w:t>
      </w:r>
      <w:r>
        <w:rPr>
          <w:rFonts w:ascii="Tahoma" w:hAnsi="Tahoma" w:cs="Tahoma"/>
        </w:rPr>
        <w:t>s’</w:t>
      </w:r>
      <w:r w:rsidRPr="007979B4">
        <w:rPr>
          <w:rFonts w:ascii="Tahoma" w:hAnsi="Tahoma" w:cs="Tahoma"/>
        </w:rPr>
        <w:t xml:space="preserve"> period, Adult Protection related offences saw a decrease of -30.5% with 1,449 less offences.</w:t>
      </w:r>
      <w:r>
        <w:rPr>
          <w:rFonts w:ascii="Tahoma" w:hAnsi="Tahoma" w:cs="Tahoma"/>
        </w:rPr>
        <w:t xml:space="preserve">  During 2024/25, there was </w:t>
      </w:r>
      <w:r w:rsidRPr="007979B4">
        <w:rPr>
          <w:rFonts w:ascii="Tahoma" w:hAnsi="Tahoma" w:cs="Tahoma"/>
        </w:rPr>
        <w:t xml:space="preserve">a decrease of -13.9% (-532 offences). </w:t>
      </w:r>
      <w:r>
        <w:rPr>
          <w:rFonts w:ascii="Tahoma" w:hAnsi="Tahoma" w:cs="Tahoma"/>
        </w:rPr>
        <w:t xml:space="preserve">There is a reducing trend overall in </w:t>
      </w:r>
      <w:r w:rsidRPr="007979B4">
        <w:rPr>
          <w:rFonts w:ascii="Tahoma" w:hAnsi="Tahoma" w:cs="Tahoma"/>
        </w:rPr>
        <w:t>Adult Protection offences</w:t>
      </w:r>
      <w:r>
        <w:rPr>
          <w:rFonts w:ascii="Tahoma" w:hAnsi="Tahoma" w:cs="Tahoma"/>
        </w:rPr>
        <w:t xml:space="preserve">, </w:t>
      </w:r>
      <w:r w:rsidRPr="007979B4">
        <w:rPr>
          <w:rFonts w:ascii="Tahoma" w:hAnsi="Tahoma" w:cs="Tahoma"/>
        </w:rPr>
        <w:t>with the 2 most recent quarters</w:t>
      </w:r>
      <w:r>
        <w:rPr>
          <w:rFonts w:ascii="Tahoma" w:hAnsi="Tahoma" w:cs="Tahoma"/>
        </w:rPr>
        <w:t xml:space="preserve"> being</w:t>
      </w:r>
      <w:r w:rsidRPr="007979B4">
        <w:rPr>
          <w:rFonts w:ascii="Tahoma" w:hAnsi="Tahoma" w:cs="Tahoma"/>
        </w:rPr>
        <w:t xml:space="preserve"> the lowest across the </w:t>
      </w:r>
      <w:r>
        <w:rPr>
          <w:rFonts w:ascii="Tahoma" w:hAnsi="Tahoma" w:cs="Tahoma"/>
        </w:rPr>
        <w:t>reporting</w:t>
      </w:r>
      <w:r w:rsidRPr="007979B4">
        <w:rPr>
          <w:rFonts w:ascii="Tahoma" w:hAnsi="Tahoma" w:cs="Tahoma"/>
        </w:rPr>
        <w:t xml:space="preserve"> period.</w:t>
      </w:r>
    </w:p>
    <w:p w14:paraId="54DE8929" w14:textId="77777777" w:rsidR="00BB67F8" w:rsidRDefault="00BB67F8" w:rsidP="00BB67F8">
      <w:pPr>
        <w:spacing w:after="0" w:line="240" w:lineRule="auto"/>
        <w:rPr>
          <w:rFonts w:ascii="Tahoma" w:hAnsi="Tahoma" w:cs="Tahoma"/>
        </w:rPr>
      </w:pPr>
    </w:p>
    <w:p w14:paraId="7A99F53D" w14:textId="77777777" w:rsidR="00345A7F" w:rsidRDefault="00345A7F" w:rsidP="00BB67F8">
      <w:pPr>
        <w:pStyle w:val="ListParagraph"/>
        <w:spacing w:after="0" w:line="240" w:lineRule="auto"/>
        <w:ind w:left="0"/>
        <w:rPr>
          <w:rFonts w:ascii="Tahoma" w:hAnsi="Tahoma" w:cs="Tahoma"/>
          <w:b/>
          <w:bCs/>
          <w:u w:val="single"/>
        </w:rPr>
      </w:pPr>
    </w:p>
    <w:p w14:paraId="1AAA9C85" w14:textId="61EDCB37" w:rsidR="00BB67F8" w:rsidRPr="00211527" w:rsidRDefault="00BB67F8" w:rsidP="00BB67F8">
      <w:pPr>
        <w:pStyle w:val="ListParagraph"/>
        <w:spacing w:after="0" w:line="240" w:lineRule="auto"/>
        <w:ind w:left="0"/>
        <w:rPr>
          <w:rFonts w:ascii="Tahoma" w:hAnsi="Tahoma" w:cs="Tahoma"/>
          <w:b/>
          <w:bCs/>
          <w:u w:val="single"/>
        </w:rPr>
      </w:pPr>
      <w:r w:rsidRPr="00211527">
        <w:rPr>
          <w:rFonts w:ascii="Tahoma" w:hAnsi="Tahoma" w:cs="Tahoma"/>
          <w:b/>
          <w:bCs/>
          <w:u w:val="single"/>
        </w:rPr>
        <w:lastRenderedPageBreak/>
        <w:t xml:space="preserve">Violence Against the Person </w:t>
      </w:r>
    </w:p>
    <w:p w14:paraId="1E43604D" w14:textId="77777777" w:rsidR="00BB67F8" w:rsidRPr="007979B4" w:rsidRDefault="00BB67F8" w:rsidP="00BB67F8">
      <w:pPr>
        <w:pStyle w:val="ListParagraph"/>
        <w:spacing w:after="0" w:line="240" w:lineRule="auto"/>
        <w:ind w:left="0"/>
        <w:rPr>
          <w:rFonts w:ascii="Tahoma" w:hAnsi="Tahoma" w:cs="Tahoma"/>
          <w:b/>
          <w:bCs/>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14709BD5"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D2367A"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080AB41" w14:textId="77777777" w:rsidR="00BB67F8" w:rsidRPr="007979B4" w:rsidRDefault="00BB67F8" w:rsidP="004F4D6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336BAA6"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5A34A91"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4FCC7BDB"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3F16F74C"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6F19EBEF"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83393</w:t>
            </w:r>
          </w:p>
        </w:tc>
        <w:tc>
          <w:tcPr>
            <w:tcW w:w="2149" w:type="dxa"/>
            <w:tcBorders>
              <w:top w:val="nil"/>
              <w:left w:val="nil"/>
              <w:bottom w:val="single" w:sz="8" w:space="0" w:color="auto"/>
              <w:right w:val="single" w:sz="8" w:space="0" w:color="auto"/>
            </w:tcBorders>
            <w:shd w:val="clear" w:color="auto" w:fill="auto"/>
            <w:noWrap/>
            <w:vAlign w:val="center"/>
          </w:tcPr>
          <w:p w14:paraId="507D1B0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9.4%</w:t>
            </w:r>
          </w:p>
        </w:tc>
        <w:tc>
          <w:tcPr>
            <w:tcW w:w="2149" w:type="dxa"/>
            <w:tcBorders>
              <w:top w:val="nil"/>
              <w:left w:val="nil"/>
              <w:bottom w:val="single" w:sz="8" w:space="0" w:color="auto"/>
              <w:right w:val="single" w:sz="8" w:space="0" w:color="auto"/>
            </w:tcBorders>
            <w:shd w:val="clear" w:color="auto" w:fill="auto"/>
            <w:noWrap/>
            <w:vAlign w:val="center"/>
          </w:tcPr>
          <w:p w14:paraId="6A837280"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7162</w:t>
            </w:r>
          </w:p>
        </w:tc>
      </w:tr>
      <w:tr w:rsidR="00BB67F8" w:rsidRPr="007979B4" w14:paraId="1A76E4AB"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72B854DA"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249C164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76458</w:t>
            </w:r>
          </w:p>
        </w:tc>
        <w:tc>
          <w:tcPr>
            <w:tcW w:w="2149" w:type="dxa"/>
            <w:tcBorders>
              <w:top w:val="nil"/>
              <w:left w:val="nil"/>
              <w:bottom w:val="single" w:sz="8" w:space="0" w:color="auto"/>
              <w:right w:val="single" w:sz="8" w:space="0" w:color="auto"/>
            </w:tcBorders>
            <w:shd w:val="clear" w:color="auto" w:fill="auto"/>
            <w:noWrap/>
            <w:vAlign w:val="center"/>
          </w:tcPr>
          <w:p w14:paraId="1310390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-8.3%</w:t>
            </w:r>
          </w:p>
        </w:tc>
        <w:tc>
          <w:tcPr>
            <w:tcW w:w="2149" w:type="dxa"/>
            <w:tcBorders>
              <w:top w:val="nil"/>
              <w:left w:val="nil"/>
              <w:bottom w:val="single" w:sz="8" w:space="0" w:color="auto"/>
              <w:right w:val="single" w:sz="8" w:space="0" w:color="auto"/>
            </w:tcBorders>
            <w:shd w:val="clear" w:color="auto" w:fill="auto"/>
            <w:noWrap/>
            <w:vAlign w:val="center"/>
          </w:tcPr>
          <w:p w14:paraId="70698096"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-6935</w:t>
            </w:r>
          </w:p>
        </w:tc>
      </w:tr>
      <w:tr w:rsidR="00BB67F8" w:rsidRPr="007979B4" w14:paraId="35C8C4D2"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5E2F366E"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544810A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71058</w:t>
            </w:r>
          </w:p>
        </w:tc>
        <w:tc>
          <w:tcPr>
            <w:tcW w:w="2149" w:type="dxa"/>
            <w:tcBorders>
              <w:top w:val="nil"/>
              <w:left w:val="nil"/>
              <w:bottom w:val="single" w:sz="8" w:space="0" w:color="auto"/>
              <w:right w:val="single" w:sz="8" w:space="0" w:color="auto"/>
            </w:tcBorders>
            <w:shd w:val="clear" w:color="auto" w:fill="auto"/>
            <w:noWrap/>
            <w:vAlign w:val="center"/>
          </w:tcPr>
          <w:p w14:paraId="6BB37F5A"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-7.1%</w:t>
            </w:r>
          </w:p>
        </w:tc>
        <w:tc>
          <w:tcPr>
            <w:tcW w:w="2149" w:type="dxa"/>
            <w:tcBorders>
              <w:top w:val="nil"/>
              <w:left w:val="nil"/>
              <w:bottom w:val="single" w:sz="8" w:space="0" w:color="auto"/>
              <w:right w:val="single" w:sz="8" w:space="0" w:color="auto"/>
            </w:tcBorders>
            <w:shd w:val="clear" w:color="auto" w:fill="auto"/>
            <w:noWrap/>
            <w:vAlign w:val="center"/>
          </w:tcPr>
          <w:p w14:paraId="602991B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-5400</w:t>
            </w:r>
          </w:p>
        </w:tc>
      </w:tr>
      <w:tr w:rsidR="00BB67F8" w:rsidRPr="007979B4" w14:paraId="5D0D9838"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723378DD"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3BB0A88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67485</w:t>
            </w:r>
          </w:p>
        </w:tc>
        <w:tc>
          <w:tcPr>
            <w:tcW w:w="2149" w:type="dxa"/>
            <w:tcBorders>
              <w:top w:val="nil"/>
              <w:left w:val="nil"/>
              <w:bottom w:val="single" w:sz="8" w:space="0" w:color="auto"/>
              <w:right w:val="single" w:sz="8" w:space="0" w:color="auto"/>
            </w:tcBorders>
            <w:shd w:val="clear" w:color="auto" w:fill="auto"/>
            <w:noWrap/>
            <w:vAlign w:val="center"/>
          </w:tcPr>
          <w:p w14:paraId="033F033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-5.0%</w:t>
            </w:r>
          </w:p>
        </w:tc>
        <w:tc>
          <w:tcPr>
            <w:tcW w:w="2149" w:type="dxa"/>
            <w:tcBorders>
              <w:top w:val="nil"/>
              <w:left w:val="nil"/>
              <w:bottom w:val="single" w:sz="8" w:space="0" w:color="auto"/>
              <w:right w:val="single" w:sz="8" w:space="0" w:color="auto"/>
            </w:tcBorders>
            <w:shd w:val="clear" w:color="auto" w:fill="auto"/>
            <w:noWrap/>
            <w:vAlign w:val="center"/>
          </w:tcPr>
          <w:p w14:paraId="236B0E3A"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-3573</w:t>
            </w:r>
          </w:p>
        </w:tc>
      </w:tr>
      <w:tr w:rsidR="00BB67F8" w:rsidRPr="007979B4" w14:paraId="310EFDD9"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6D958252"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1BB565CC"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190F0D11"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7175035D" w14:textId="77777777" w:rsidR="00BB67F8" w:rsidRPr="007979B4" w:rsidRDefault="00BB67F8" w:rsidP="004F4D6F">
            <w:pPr>
              <w:spacing w:after="0" w:line="240" w:lineRule="auto"/>
              <w:rPr>
                <w:rFonts w:ascii="Tahoma" w:hAnsi="Tahoma" w:cs="Tahoma"/>
                <w:color w:val="FF0000"/>
              </w:rPr>
            </w:pPr>
          </w:p>
        </w:tc>
      </w:tr>
      <w:tr w:rsidR="00BB67F8" w:rsidRPr="007979B4" w14:paraId="2A2E7B70"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272D3970" w14:textId="77777777" w:rsidR="00BB67F8" w:rsidRPr="00211527" w:rsidRDefault="00BB67F8" w:rsidP="004F4D6F">
            <w:pPr>
              <w:spacing w:after="0" w:line="240" w:lineRule="auto"/>
              <w:rPr>
                <w:rFonts w:ascii="Tahoma" w:hAnsi="Tahoma" w:cs="Tahoma"/>
                <w:b/>
                <w:bCs/>
                <w:color w:val="FF0000"/>
              </w:rPr>
            </w:pPr>
            <w:r w:rsidRPr="00211527">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0D013BBB" w14:textId="77777777" w:rsidR="00BB67F8" w:rsidRPr="00211527" w:rsidRDefault="00BB67F8" w:rsidP="004F4D6F">
            <w:pPr>
              <w:spacing w:after="0" w:line="240" w:lineRule="auto"/>
              <w:rPr>
                <w:rFonts w:ascii="Tahoma" w:hAnsi="Tahoma" w:cs="Tahoma"/>
                <w:b/>
                <w:bCs/>
              </w:rPr>
            </w:pPr>
            <w:r w:rsidRPr="00211527">
              <w:rPr>
                <w:rFonts w:ascii="Tahoma" w:hAnsi="Tahoma" w:cs="Tahoma"/>
                <w:b/>
                <w:bCs/>
              </w:rPr>
              <w:t>-19.1%</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035D37B3" w14:textId="77777777" w:rsidR="00BB67F8" w:rsidRPr="00211527" w:rsidRDefault="00BB67F8" w:rsidP="004F4D6F">
            <w:pPr>
              <w:spacing w:after="0" w:line="240" w:lineRule="auto"/>
              <w:rPr>
                <w:rFonts w:ascii="Tahoma" w:hAnsi="Tahoma" w:cs="Tahoma"/>
                <w:b/>
                <w:bCs/>
              </w:rPr>
            </w:pPr>
            <w:r w:rsidRPr="00211527">
              <w:rPr>
                <w:rFonts w:ascii="Tahoma" w:hAnsi="Tahoma" w:cs="Tahoma"/>
                <w:b/>
                <w:bCs/>
              </w:rPr>
              <w:t>-15908</w:t>
            </w:r>
          </w:p>
        </w:tc>
      </w:tr>
    </w:tbl>
    <w:p w14:paraId="54422E02" w14:textId="77777777" w:rsidR="00BB67F8" w:rsidRPr="007979B4" w:rsidRDefault="00BB67F8" w:rsidP="00BB67F8">
      <w:pPr>
        <w:spacing w:after="0" w:line="240" w:lineRule="auto"/>
        <w:rPr>
          <w:rFonts w:ascii="Tahoma" w:hAnsi="Tahoma" w:cs="Tahoma"/>
          <w:color w:val="FF0000"/>
        </w:rPr>
      </w:pPr>
    </w:p>
    <w:p w14:paraId="09EBF705"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noProof/>
          <w:color w:val="FF0000"/>
        </w:rPr>
        <w:drawing>
          <wp:inline distT="0" distB="0" distL="0" distR="0" wp14:anchorId="75777627" wp14:editId="6DFBD271">
            <wp:extent cx="5651500" cy="1955800"/>
            <wp:effectExtent l="0" t="0" r="6350" b="6350"/>
            <wp:docPr id="529140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51500" cy="1955800"/>
                    </a:xfrm>
                    <a:prstGeom prst="rect">
                      <a:avLst/>
                    </a:prstGeom>
                    <a:noFill/>
                  </pic:spPr>
                </pic:pic>
              </a:graphicData>
            </a:graphic>
          </wp:inline>
        </w:drawing>
      </w:r>
    </w:p>
    <w:p w14:paraId="3C702AB2" w14:textId="77777777" w:rsidR="00BB67F8" w:rsidRPr="007979B4" w:rsidRDefault="00BB67F8" w:rsidP="00BB67F8">
      <w:pPr>
        <w:spacing w:after="0" w:line="240" w:lineRule="auto"/>
        <w:rPr>
          <w:rFonts w:ascii="Tahoma" w:hAnsi="Tahoma" w:cs="Tahoma"/>
          <w:color w:val="FF0000"/>
        </w:rPr>
      </w:pPr>
    </w:p>
    <w:p w14:paraId="360AB155" w14:textId="1F1647C7" w:rsidR="00BB67F8" w:rsidRDefault="00BB67F8" w:rsidP="00BB67F8">
      <w:pPr>
        <w:spacing w:after="0" w:line="240" w:lineRule="auto"/>
        <w:rPr>
          <w:rFonts w:ascii="Tahoma" w:hAnsi="Tahoma" w:cs="Tahoma"/>
        </w:rPr>
      </w:pPr>
      <w:r w:rsidRPr="007979B4">
        <w:rPr>
          <w:rFonts w:ascii="Tahoma" w:hAnsi="Tahoma" w:cs="Tahoma"/>
        </w:rPr>
        <w:t>Over the 4 year</w:t>
      </w:r>
      <w:r>
        <w:rPr>
          <w:rFonts w:ascii="Tahoma" w:hAnsi="Tahoma" w:cs="Tahoma"/>
        </w:rPr>
        <w:t>s’</w:t>
      </w:r>
      <w:r w:rsidRPr="007979B4">
        <w:rPr>
          <w:rFonts w:ascii="Tahoma" w:hAnsi="Tahoma" w:cs="Tahoma"/>
        </w:rPr>
        <w:t xml:space="preserve"> period, Violence Against the Person</w:t>
      </w:r>
      <w:r>
        <w:rPr>
          <w:rFonts w:ascii="Tahoma" w:hAnsi="Tahoma" w:cs="Tahoma"/>
        </w:rPr>
        <w:t xml:space="preserve"> (VAP)</w:t>
      </w:r>
      <w:r w:rsidRPr="007979B4">
        <w:rPr>
          <w:rFonts w:ascii="Tahoma" w:hAnsi="Tahoma" w:cs="Tahoma"/>
        </w:rPr>
        <w:t xml:space="preserve"> has experienced a decrease of</w:t>
      </w:r>
      <w:r>
        <w:rPr>
          <w:rFonts w:ascii="Tahoma" w:hAnsi="Tahoma" w:cs="Tahoma"/>
        </w:rPr>
        <w:t xml:space="preserve"> -19.1%</w:t>
      </w:r>
      <w:r w:rsidRPr="007979B4">
        <w:rPr>
          <w:rFonts w:ascii="Tahoma" w:hAnsi="Tahoma" w:cs="Tahoma"/>
        </w:rPr>
        <w:t xml:space="preserve"> </w:t>
      </w:r>
      <w:r>
        <w:rPr>
          <w:rFonts w:ascii="Tahoma" w:hAnsi="Tahoma" w:cs="Tahoma"/>
        </w:rPr>
        <w:t>(</w:t>
      </w:r>
      <w:r w:rsidRPr="007979B4">
        <w:rPr>
          <w:rFonts w:ascii="Tahoma" w:hAnsi="Tahoma" w:cs="Tahoma"/>
        </w:rPr>
        <w:t>15,908 less offences</w:t>
      </w:r>
      <w:r>
        <w:rPr>
          <w:rFonts w:ascii="Tahoma" w:hAnsi="Tahoma" w:cs="Tahoma"/>
        </w:rPr>
        <w:t>)</w:t>
      </w:r>
      <w:r w:rsidRPr="007979B4">
        <w:rPr>
          <w:rFonts w:ascii="Tahoma" w:hAnsi="Tahoma" w:cs="Tahoma"/>
        </w:rPr>
        <w:t xml:space="preserve">. </w:t>
      </w:r>
      <w:r>
        <w:rPr>
          <w:rFonts w:ascii="Tahoma" w:hAnsi="Tahoma" w:cs="Tahoma"/>
        </w:rPr>
        <w:t>During 2024/25, this was a</w:t>
      </w:r>
      <w:r w:rsidRPr="007979B4">
        <w:rPr>
          <w:rFonts w:ascii="Tahoma" w:hAnsi="Tahoma" w:cs="Tahoma"/>
        </w:rPr>
        <w:t xml:space="preserve"> decrease </w:t>
      </w:r>
      <w:r>
        <w:rPr>
          <w:rFonts w:ascii="Tahoma" w:hAnsi="Tahoma" w:cs="Tahoma"/>
        </w:rPr>
        <w:t>of</w:t>
      </w:r>
      <w:r w:rsidRPr="007979B4">
        <w:rPr>
          <w:rFonts w:ascii="Tahoma" w:hAnsi="Tahoma" w:cs="Tahoma"/>
        </w:rPr>
        <w:t xml:space="preserve"> -5.0%</w:t>
      </w:r>
      <w:r>
        <w:rPr>
          <w:rFonts w:ascii="Tahoma" w:hAnsi="Tahoma" w:cs="Tahoma"/>
        </w:rPr>
        <w:t xml:space="preserve"> (</w:t>
      </w:r>
      <w:r w:rsidRPr="007979B4">
        <w:rPr>
          <w:rFonts w:ascii="Tahoma" w:hAnsi="Tahoma" w:cs="Tahoma"/>
        </w:rPr>
        <w:t>3,573 less offences</w:t>
      </w:r>
      <w:r>
        <w:rPr>
          <w:rFonts w:ascii="Tahoma" w:hAnsi="Tahoma" w:cs="Tahoma"/>
        </w:rPr>
        <w:t>)</w:t>
      </w:r>
      <w:r w:rsidRPr="007979B4">
        <w:rPr>
          <w:rFonts w:ascii="Tahoma" w:hAnsi="Tahoma" w:cs="Tahoma"/>
        </w:rPr>
        <w:t>. There is an overall downwards trend with peaks in July to September</w:t>
      </w:r>
      <w:r w:rsidR="00345A7F">
        <w:rPr>
          <w:rFonts w:ascii="Tahoma" w:hAnsi="Tahoma" w:cs="Tahoma"/>
        </w:rPr>
        <w:t xml:space="preserve">, </w:t>
      </w:r>
      <w:r w:rsidRPr="007979B4">
        <w:rPr>
          <w:rFonts w:ascii="Tahoma" w:hAnsi="Tahoma" w:cs="Tahoma"/>
        </w:rPr>
        <w:t>and</w:t>
      </w:r>
      <w:r>
        <w:rPr>
          <w:rFonts w:ascii="Tahoma" w:hAnsi="Tahoma" w:cs="Tahoma"/>
        </w:rPr>
        <w:t xml:space="preserve"> the</w:t>
      </w:r>
      <w:r w:rsidRPr="007979B4">
        <w:rPr>
          <w:rFonts w:ascii="Tahoma" w:hAnsi="Tahoma" w:cs="Tahoma"/>
        </w:rPr>
        <w:t xml:space="preserve"> lowest volumes</w:t>
      </w:r>
      <w:r>
        <w:rPr>
          <w:rFonts w:ascii="Tahoma" w:hAnsi="Tahoma" w:cs="Tahoma"/>
        </w:rPr>
        <w:t xml:space="preserve"> </w:t>
      </w:r>
      <w:r w:rsidRPr="007979B4">
        <w:rPr>
          <w:rFonts w:ascii="Tahoma" w:hAnsi="Tahoma" w:cs="Tahoma"/>
        </w:rPr>
        <w:t xml:space="preserve">in January to March </w:t>
      </w:r>
      <w:r>
        <w:rPr>
          <w:rFonts w:ascii="Tahoma" w:hAnsi="Tahoma" w:cs="Tahoma"/>
        </w:rPr>
        <w:t>(</w:t>
      </w:r>
      <w:r w:rsidRPr="007979B4">
        <w:rPr>
          <w:rFonts w:ascii="Tahoma" w:hAnsi="Tahoma" w:cs="Tahoma"/>
        </w:rPr>
        <w:t xml:space="preserve">as with overall Violent </w:t>
      </w:r>
      <w:r>
        <w:rPr>
          <w:rFonts w:ascii="Tahoma" w:hAnsi="Tahoma" w:cs="Tahoma"/>
        </w:rPr>
        <w:t>C</w:t>
      </w:r>
      <w:r w:rsidRPr="007979B4">
        <w:rPr>
          <w:rFonts w:ascii="Tahoma" w:hAnsi="Tahoma" w:cs="Tahoma"/>
        </w:rPr>
        <w:t>rime</w:t>
      </w:r>
      <w:r>
        <w:rPr>
          <w:rFonts w:ascii="Tahoma" w:hAnsi="Tahoma" w:cs="Tahoma"/>
        </w:rPr>
        <w:t>)</w:t>
      </w:r>
      <w:r w:rsidRPr="007979B4">
        <w:rPr>
          <w:rFonts w:ascii="Tahoma" w:hAnsi="Tahoma" w:cs="Tahoma"/>
        </w:rPr>
        <w:t>.</w:t>
      </w:r>
      <w:r w:rsidR="00345A7F">
        <w:rPr>
          <w:rFonts w:ascii="Tahoma" w:hAnsi="Tahoma" w:cs="Tahoma"/>
        </w:rPr>
        <w:t xml:space="preserve">  </w:t>
      </w:r>
      <w:r w:rsidRPr="007979B4">
        <w:rPr>
          <w:rFonts w:ascii="Tahoma" w:hAnsi="Tahoma" w:cs="Tahoma"/>
        </w:rPr>
        <w:t xml:space="preserve">The proportion of VAP that is </w:t>
      </w:r>
      <w:r>
        <w:rPr>
          <w:rFonts w:ascii="Tahoma" w:hAnsi="Tahoma" w:cs="Tahoma"/>
        </w:rPr>
        <w:t>DA</w:t>
      </w:r>
      <w:r w:rsidRPr="007979B4">
        <w:rPr>
          <w:rFonts w:ascii="Tahoma" w:hAnsi="Tahoma" w:cs="Tahoma"/>
        </w:rPr>
        <w:t xml:space="preserve"> related has fallen from 37.4% </w:t>
      </w:r>
      <w:r>
        <w:rPr>
          <w:rFonts w:ascii="Tahoma" w:hAnsi="Tahoma" w:cs="Tahoma"/>
        </w:rPr>
        <w:t xml:space="preserve">during </w:t>
      </w:r>
      <w:r w:rsidRPr="007979B4">
        <w:rPr>
          <w:rFonts w:ascii="Tahoma" w:hAnsi="Tahoma" w:cs="Tahoma"/>
        </w:rPr>
        <w:t>April 2021 to March 2022</w:t>
      </w:r>
      <w:r>
        <w:rPr>
          <w:rFonts w:ascii="Tahoma" w:hAnsi="Tahoma" w:cs="Tahoma"/>
        </w:rPr>
        <w:t xml:space="preserve">, </w:t>
      </w:r>
      <w:r w:rsidRPr="007979B4">
        <w:rPr>
          <w:rFonts w:ascii="Tahoma" w:hAnsi="Tahoma" w:cs="Tahoma"/>
        </w:rPr>
        <w:t xml:space="preserve">to 32.4% for April 2024 to March 2025. As a result, DA trends will impact on overall VAP to a lesser extent. </w:t>
      </w:r>
    </w:p>
    <w:p w14:paraId="5341E537" w14:textId="77777777" w:rsidR="00BB67F8" w:rsidRDefault="00BB67F8" w:rsidP="00BB67F8">
      <w:pPr>
        <w:spacing w:after="0" w:line="240" w:lineRule="auto"/>
        <w:rPr>
          <w:rFonts w:ascii="Tahoma" w:hAnsi="Tahoma" w:cs="Tahoma"/>
        </w:rPr>
      </w:pPr>
    </w:p>
    <w:p w14:paraId="220358EE" w14:textId="293F1408" w:rsidR="00BB67F8" w:rsidRPr="007979B4" w:rsidRDefault="31E95D9C" w:rsidP="00BB67F8">
      <w:pPr>
        <w:spacing w:after="0" w:line="240" w:lineRule="auto"/>
        <w:rPr>
          <w:rFonts w:ascii="Tahoma" w:hAnsi="Tahoma" w:cs="Tahoma"/>
        </w:rPr>
      </w:pPr>
      <w:r w:rsidRPr="1D7D8BE7">
        <w:rPr>
          <w:rFonts w:ascii="Tahoma" w:hAnsi="Tahoma" w:cs="Tahoma"/>
        </w:rPr>
        <w:t xml:space="preserve">The offence of Assault on Emergency Worker also sits within VAP and during 2024/25, there </w:t>
      </w:r>
      <w:r w:rsidR="6030A845" w:rsidRPr="1D7D8BE7">
        <w:rPr>
          <w:rFonts w:ascii="Tahoma" w:hAnsi="Tahoma" w:cs="Tahoma"/>
        </w:rPr>
        <w:t xml:space="preserve">was </w:t>
      </w:r>
      <w:r w:rsidRPr="1D7D8BE7">
        <w:rPr>
          <w:rFonts w:ascii="Tahoma" w:hAnsi="Tahoma" w:cs="Tahoma"/>
        </w:rPr>
        <w:t xml:space="preserve">an increase of 7.4% (+116 offences) but an overall reduction of -7.3% (-132 offences) over the 4 years’ period.  In line with the Kent Police Pledge, the Chief Constable is committed to ensuring that the health, safety and wellbeing of the workforce is a priority and anyone who assaults or abuses an officer or staff member in the course of their duties will be dealt with robustly.  </w:t>
      </w:r>
    </w:p>
    <w:p w14:paraId="6A6AB4E5" w14:textId="77777777" w:rsidR="00BB67F8" w:rsidRDefault="00BB67F8" w:rsidP="00BB67F8">
      <w:pPr>
        <w:spacing w:after="0" w:line="240" w:lineRule="auto"/>
        <w:rPr>
          <w:rFonts w:ascii="Tahoma" w:hAnsi="Tahoma" w:cs="Tahoma"/>
        </w:rPr>
      </w:pPr>
    </w:p>
    <w:p w14:paraId="099FCCB3" w14:textId="77777777" w:rsidR="00BB67F8" w:rsidRPr="0033456F" w:rsidRDefault="00BB67F8" w:rsidP="00BB67F8">
      <w:pPr>
        <w:pStyle w:val="ListParagraph"/>
        <w:spacing w:after="0" w:line="240" w:lineRule="auto"/>
        <w:ind w:left="0"/>
        <w:rPr>
          <w:rFonts w:ascii="Tahoma" w:hAnsi="Tahoma" w:cs="Tahoma"/>
          <w:b/>
          <w:bCs/>
          <w:u w:val="single"/>
        </w:rPr>
      </w:pPr>
      <w:r w:rsidRPr="0033456F">
        <w:rPr>
          <w:rFonts w:ascii="Tahoma" w:hAnsi="Tahoma" w:cs="Tahoma"/>
          <w:b/>
          <w:bCs/>
          <w:u w:val="single"/>
        </w:rPr>
        <w:t>Fraud</w:t>
      </w:r>
    </w:p>
    <w:p w14:paraId="527C91F1" w14:textId="77777777" w:rsidR="00BB67F8" w:rsidRPr="007979B4" w:rsidRDefault="00BB67F8" w:rsidP="00BB67F8">
      <w:pPr>
        <w:pStyle w:val="ListParagraph"/>
        <w:spacing w:after="0" w:line="240" w:lineRule="auto"/>
        <w:ind w:left="0"/>
        <w:rPr>
          <w:rFonts w:ascii="Tahoma" w:hAnsi="Tahoma" w:cs="Tahoma"/>
          <w:b/>
          <w:bCs/>
        </w:rPr>
      </w:pPr>
    </w:p>
    <w:p w14:paraId="0FF7BD1F" w14:textId="08951948" w:rsidR="00BB67F8" w:rsidRDefault="3E5863F0" w:rsidP="00BB67F8">
      <w:pPr>
        <w:spacing w:after="0" w:line="240" w:lineRule="auto"/>
        <w:rPr>
          <w:rFonts w:ascii="Tahoma" w:hAnsi="Tahoma" w:cs="Tahoma"/>
        </w:rPr>
      </w:pPr>
      <w:r w:rsidRPr="1D7D8BE7">
        <w:rPr>
          <w:rFonts w:ascii="Tahoma" w:hAnsi="Tahoma" w:cs="Tahoma"/>
        </w:rPr>
        <w:t xml:space="preserve">Action Fraud is the UK’s national reporting centre for fraud, providing a central point of contact for information about fraud and financially motivated internet crime. Action Fraud triage </w:t>
      </w:r>
      <w:r w:rsidR="6E653DCF" w:rsidRPr="1D7D8BE7">
        <w:rPr>
          <w:rFonts w:ascii="Tahoma" w:hAnsi="Tahoma" w:cs="Tahoma"/>
        </w:rPr>
        <w:t>and</w:t>
      </w:r>
      <w:r w:rsidRPr="1D7D8BE7">
        <w:rPr>
          <w:rFonts w:ascii="Tahoma" w:hAnsi="Tahoma" w:cs="Tahoma"/>
        </w:rPr>
        <w:t xml:space="preserve"> forward details to the relevant force to carry out </w:t>
      </w:r>
      <w:r w:rsidR="6E653DCF" w:rsidRPr="1D7D8BE7">
        <w:rPr>
          <w:rFonts w:ascii="Tahoma" w:hAnsi="Tahoma" w:cs="Tahoma"/>
        </w:rPr>
        <w:t>an</w:t>
      </w:r>
      <w:r w:rsidRPr="1D7D8BE7">
        <w:rPr>
          <w:rFonts w:ascii="Tahoma" w:hAnsi="Tahoma" w:cs="Tahoma"/>
        </w:rPr>
        <w:t xml:space="preserve"> investigation if necessary.</w:t>
      </w:r>
    </w:p>
    <w:p w14:paraId="2E1EF753" w14:textId="77777777" w:rsidR="00BB67F8" w:rsidRPr="007979B4" w:rsidRDefault="00BB67F8" w:rsidP="00BB67F8">
      <w:pPr>
        <w:spacing w:after="0" w:line="240" w:lineRule="auto"/>
        <w:rPr>
          <w:rFonts w:ascii="Tahoma" w:hAnsi="Tahoma" w:cs="Tahoma"/>
        </w:rPr>
      </w:pPr>
    </w:p>
    <w:tbl>
      <w:tblPr>
        <w:tblW w:w="9277" w:type="dxa"/>
        <w:jc w:val="center"/>
        <w:tblLayout w:type="fixed"/>
        <w:tblLook w:val="04A0" w:firstRow="1" w:lastRow="0" w:firstColumn="1" w:lastColumn="0" w:noHBand="0" w:noVBand="1"/>
      </w:tblPr>
      <w:tblGrid>
        <w:gridCol w:w="2830"/>
        <w:gridCol w:w="2149"/>
        <w:gridCol w:w="2149"/>
        <w:gridCol w:w="2149"/>
      </w:tblGrid>
      <w:tr w:rsidR="00BB67F8" w:rsidRPr="007979B4" w14:paraId="0DD3DCEB"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02F34E" w14:textId="77777777" w:rsidR="00BB67F8" w:rsidRPr="007979B4" w:rsidRDefault="00BB67F8" w:rsidP="004F4D6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D3CF478" w14:textId="77777777" w:rsidR="00BB67F8" w:rsidRPr="007979B4" w:rsidRDefault="00BB67F8" w:rsidP="004F4D6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67B6041" w14:textId="77777777" w:rsidR="00BB67F8" w:rsidRPr="007979B4" w:rsidRDefault="00BB67F8" w:rsidP="004F4D6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6289472" w14:textId="77777777" w:rsidR="00BB67F8" w:rsidRPr="007979B4" w:rsidRDefault="00BB67F8" w:rsidP="004F4D6F">
            <w:pPr>
              <w:spacing w:after="0" w:line="240" w:lineRule="auto"/>
              <w:rPr>
                <w:rFonts w:ascii="Tahoma" w:hAnsi="Tahoma" w:cs="Tahoma"/>
              </w:rPr>
            </w:pPr>
            <w:r w:rsidRPr="007979B4">
              <w:rPr>
                <w:rFonts w:ascii="Tahoma" w:hAnsi="Tahoma" w:cs="Tahoma"/>
              </w:rPr>
              <w:t>Number change</w:t>
            </w:r>
          </w:p>
        </w:tc>
      </w:tr>
      <w:tr w:rsidR="00BB67F8" w:rsidRPr="007979B4" w14:paraId="3DE7AB67"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13CECE75" w14:textId="77777777" w:rsidR="00BB67F8" w:rsidRPr="007979B4" w:rsidRDefault="00BB67F8" w:rsidP="004F4D6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7FD322FC"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1464</w:t>
            </w:r>
          </w:p>
        </w:tc>
        <w:tc>
          <w:tcPr>
            <w:tcW w:w="2149" w:type="dxa"/>
            <w:tcBorders>
              <w:top w:val="nil"/>
              <w:left w:val="nil"/>
              <w:bottom w:val="single" w:sz="8" w:space="0" w:color="auto"/>
              <w:right w:val="single" w:sz="8" w:space="0" w:color="auto"/>
            </w:tcBorders>
            <w:shd w:val="clear" w:color="auto" w:fill="auto"/>
            <w:noWrap/>
            <w:vAlign w:val="center"/>
          </w:tcPr>
          <w:p w14:paraId="61F21E7F"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7.2%</w:t>
            </w:r>
          </w:p>
        </w:tc>
        <w:tc>
          <w:tcPr>
            <w:tcW w:w="2149" w:type="dxa"/>
            <w:tcBorders>
              <w:top w:val="nil"/>
              <w:left w:val="nil"/>
              <w:bottom w:val="single" w:sz="8" w:space="0" w:color="auto"/>
              <w:right w:val="single" w:sz="8" w:space="0" w:color="auto"/>
            </w:tcBorders>
            <w:shd w:val="clear" w:color="auto" w:fill="auto"/>
            <w:noWrap/>
            <w:vAlign w:val="center"/>
          </w:tcPr>
          <w:p w14:paraId="2088DF35"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98</w:t>
            </w:r>
          </w:p>
        </w:tc>
      </w:tr>
      <w:tr w:rsidR="00BB67F8" w:rsidRPr="007979B4" w14:paraId="00393354"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7BA75C44" w14:textId="77777777" w:rsidR="00BB67F8" w:rsidRPr="007979B4" w:rsidRDefault="00BB67F8" w:rsidP="004F4D6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5E8B925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1153</w:t>
            </w:r>
          </w:p>
        </w:tc>
        <w:tc>
          <w:tcPr>
            <w:tcW w:w="2149" w:type="dxa"/>
            <w:tcBorders>
              <w:top w:val="nil"/>
              <w:left w:val="nil"/>
              <w:bottom w:val="single" w:sz="8" w:space="0" w:color="auto"/>
              <w:right w:val="single" w:sz="8" w:space="0" w:color="auto"/>
            </w:tcBorders>
            <w:shd w:val="clear" w:color="auto" w:fill="auto"/>
            <w:noWrap/>
            <w:vAlign w:val="center"/>
          </w:tcPr>
          <w:p w14:paraId="2B79F457"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-21.2%</w:t>
            </w:r>
          </w:p>
        </w:tc>
        <w:tc>
          <w:tcPr>
            <w:tcW w:w="2149" w:type="dxa"/>
            <w:tcBorders>
              <w:top w:val="nil"/>
              <w:left w:val="nil"/>
              <w:bottom w:val="single" w:sz="8" w:space="0" w:color="auto"/>
              <w:right w:val="single" w:sz="8" w:space="0" w:color="auto"/>
            </w:tcBorders>
            <w:shd w:val="clear" w:color="auto" w:fill="auto"/>
            <w:noWrap/>
            <w:vAlign w:val="center"/>
          </w:tcPr>
          <w:p w14:paraId="009F7431"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-311</w:t>
            </w:r>
          </w:p>
        </w:tc>
      </w:tr>
      <w:tr w:rsidR="00BB67F8" w:rsidRPr="007979B4" w14:paraId="1141022B"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2D72C17C" w14:textId="77777777" w:rsidR="00BB67F8" w:rsidRPr="007979B4" w:rsidRDefault="00BB67F8" w:rsidP="004F4D6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2675783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1218</w:t>
            </w:r>
          </w:p>
        </w:tc>
        <w:tc>
          <w:tcPr>
            <w:tcW w:w="2149" w:type="dxa"/>
            <w:tcBorders>
              <w:top w:val="nil"/>
              <w:left w:val="nil"/>
              <w:bottom w:val="single" w:sz="8" w:space="0" w:color="auto"/>
              <w:right w:val="single" w:sz="8" w:space="0" w:color="auto"/>
            </w:tcBorders>
            <w:shd w:val="clear" w:color="auto" w:fill="auto"/>
            <w:noWrap/>
            <w:vAlign w:val="center"/>
          </w:tcPr>
          <w:p w14:paraId="0391B2F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5.6%</w:t>
            </w:r>
          </w:p>
        </w:tc>
        <w:tc>
          <w:tcPr>
            <w:tcW w:w="2149" w:type="dxa"/>
            <w:tcBorders>
              <w:top w:val="nil"/>
              <w:left w:val="nil"/>
              <w:bottom w:val="single" w:sz="8" w:space="0" w:color="auto"/>
              <w:right w:val="single" w:sz="8" w:space="0" w:color="auto"/>
            </w:tcBorders>
            <w:shd w:val="clear" w:color="auto" w:fill="auto"/>
            <w:noWrap/>
            <w:vAlign w:val="center"/>
          </w:tcPr>
          <w:p w14:paraId="078B9788"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65</w:t>
            </w:r>
          </w:p>
        </w:tc>
      </w:tr>
      <w:tr w:rsidR="00BB67F8" w:rsidRPr="007979B4" w14:paraId="75B7C666"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05FCE339" w14:textId="77777777" w:rsidR="00BB67F8" w:rsidRPr="007979B4" w:rsidRDefault="00BB67F8" w:rsidP="004F4D6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51A5ACA4"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1346</w:t>
            </w:r>
          </w:p>
        </w:tc>
        <w:tc>
          <w:tcPr>
            <w:tcW w:w="2149" w:type="dxa"/>
            <w:tcBorders>
              <w:top w:val="nil"/>
              <w:left w:val="nil"/>
              <w:bottom w:val="single" w:sz="8" w:space="0" w:color="auto"/>
              <w:right w:val="single" w:sz="8" w:space="0" w:color="auto"/>
            </w:tcBorders>
            <w:shd w:val="clear" w:color="auto" w:fill="auto"/>
            <w:noWrap/>
            <w:vAlign w:val="center"/>
          </w:tcPr>
          <w:p w14:paraId="5BDCEC7D"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10.5%</w:t>
            </w:r>
          </w:p>
        </w:tc>
        <w:tc>
          <w:tcPr>
            <w:tcW w:w="2149" w:type="dxa"/>
            <w:tcBorders>
              <w:top w:val="nil"/>
              <w:left w:val="nil"/>
              <w:bottom w:val="single" w:sz="8" w:space="0" w:color="auto"/>
              <w:right w:val="single" w:sz="8" w:space="0" w:color="auto"/>
            </w:tcBorders>
            <w:shd w:val="clear" w:color="auto" w:fill="auto"/>
            <w:noWrap/>
            <w:vAlign w:val="center"/>
          </w:tcPr>
          <w:p w14:paraId="45695A3E" w14:textId="77777777" w:rsidR="00BB67F8" w:rsidRPr="007979B4" w:rsidRDefault="00BB67F8" w:rsidP="004F4D6F">
            <w:pPr>
              <w:spacing w:after="0" w:line="240" w:lineRule="auto"/>
              <w:rPr>
                <w:rFonts w:ascii="Tahoma" w:hAnsi="Tahoma" w:cs="Tahoma"/>
                <w:color w:val="FF0000"/>
              </w:rPr>
            </w:pPr>
            <w:r w:rsidRPr="007979B4">
              <w:rPr>
                <w:rFonts w:ascii="Tahoma" w:hAnsi="Tahoma" w:cs="Tahoma"/>
                <w:color w:val="000000"/>
              </w:rPr>
              <w:t>128</w:t>
            </w:r>
          </w:p>
        </w:tc>
      </w:tr>
      <w:tr w:rsidR="00BB67F8" w:rsidRPr="007979B4" w14:paraId="70665A3B"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26433B01"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7C3B6A41"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0E68381A" w14:textId="77777777" w:rsidR="00BB67F8" w:rsidRPr="007979B4" w:rsidRDefault="00BB67F8" w:rsidP="004F4D6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4F3CF3EB" w14:textId="77777777" w:rsidR="00BB67F8" w:rsidRPr="007979B4" w:rsidRDefault="00BB67F8" w:rsidP="004F4D6F">
            <w:pPr>
              <w:spacing w:after="0" w:line="240" w:lineRule="auto"/>
              <w:rPr>
                <w:rFonts w:ascii="Tahoma" w:hAnsi="Tahoma" w:cs="Tahoma"/>
                <w:color w:val="FF0000"/>
              </w:rPr>
            </w:pPr>
          </w:p>
        </w:tc>
      </w:tr>
      <w:tr w:rsidR="00BB67F8" w:rsidRPr="007979B4" w14:paraId="645D2DA3"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21A07DCD" w14:textId="77777777" w:rsidR="00BB67F8" w:rsidRPr="004B34DC" w:rsidRDefault="00BB67F8" w:rsidP="004F4D6F">
            <w:pPr>
              <w:spacing w:after="0" w:line="240" w:lineRule="auto"/>
              <w:rPr>
                <w:rFonts w:ascii="Tahoma" w:hAnsi="Tahoma" w:cs="Tahoma"/>
                <w:b/>
                <w:bCs/>
                <w:color w:val="FF0000"/>
              </w:rPr>
            </w:pPr>
            <w:r w:rsidRPr="004B34DC">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2506D866" w14:textId="77777777" w:rsidR="00BB67F8" w:rsidRPr="004B34DC" w:rsidRDefault="00BB67F8" w:rsidP="004F4D6F">
            <w:pPr>
              <w:spacing w:after="0" w:line="240" w:lineRule="auto"/>
              <w:rPr>
                <w:rFonts w:ascii="Tahoma" w:hAnsi="Tahoma" w:cs="Tahoma"/>
                <w:b/>
                <w:bCs/>
              </w:rPr>
            </w:pPr>
            <w:r w:rsidRPr="004B34DC">
              <w:rPr>
                <w:rFonts w:ascii="Tahoma" w:hAnsi="Tahoma" w:cs="Tahoma"/>
                <w:b/>
                <w:bCs/>
              </w:rPr>
              <w:t>-8.1%</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12A87A01" w14:textId="77777777" w:rsidR="00BB67F8" w:rsidRPr="004B34DC" w:rsidRDefault="00BB67F8" w:rsidP="004F4D6F">
            <w:pPr>
              <w:spacing w:after="0" w:line="240" w:lineRule="auto"/>
              <w:rPr>
                <w:rFonts w:ascii="Tahoma" w:hAnsi="Tahoma" w:cs="Tahoma"/>
                <w:b/>
                <w:bCs/>
              </w:rPr>
            </w:pPr>
            <w:r w:rsidRPr="004B34DC">
              <w:rPr>
                <w:rFonts w:ascii="Tahoma" w:hAnsi="Tahoma" w:cs="Tahoma"/>
                <w:b/>
                <w:bCs/>
              </w:rPr>
              <w:t>-118</w:t>
            </w:r>
          </w:p>
        </w:tc>
      </w:tr>
    </w:tbl>
    <w:p w14:paraId="65ACA5AC" w14:textId="77777777" w:rsidR="00BB67F8" w:rsidRPr="007979B4" w:rsidRDefault="00BB67F8" w:rsidP="00BB67F8">
      <w:pPr>
        <w:spacing w:after="0" w:line="240" w:lineRule="auto"/>
        <w:rPr>
          <w:rFonts w:ascii="Tahoma" w:hAnsi="Tahoma" w:cs="Tahoma"/>
          <w:color w:val="FF0000"/>
        </w:rPr>
      </w:pPr>
    </w:p>
    <w:p w14:paraId="2B5CA10F" w14:textId="77777777" w:rsidR="00BB67F8" w:rsidRPr="007979B4" w:rsidRDefault="00BB67F8" w:rsidP="00BB67F8">
      <w:pPr>
        <w:spacing w:after="0" w:line="240" w:lineRule="auto"/>
        <w:rPr>
          <w:rFonts w:ascii="Tahoma" w:hAnsi="Tahoma" w:cs="Tahoma"/>
          <w:color w:val="FF0000"/>
        </w:rPr>
      </w:pPr>
      <w:r w:rsidRPr="007979B4">
        <w:rPr>
          <w:rFonts w:ascii="Tahoma" w:hAnsi="Tahoma" w:cs="Tahoma"/>
          <w:noProof/>
          <w:color w:val="FF0000"/>
        </w:rPr>
        <w:drawing>
          <wp:inline distT="0" distB="0" distL="0" distR="0" wp14:anchorId="6087B4CD" wp14:editId="60981EE5">
            <wp:extent cx="5797550" cy="2216150"/>
            <wp:effectExtent l="0" t="0" r="0" b="0"/>
            <wp:docPr id="4907655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7550" cy="2216150"/>
                    </a:xfrm>
                    <a:prstGeom prst="rect">
                      <a:avLst/>
                    </a:prstGeom>
                    <a:noFill/>
                  </pic:spPr>
                </pic:pic>
              </a:graphicData>
            </a:graphic>
          </wp:inline>
        </w:drawing>
      </w:r>
    </w:p>
    <w:p w14:paraId="1B9B93AB" w14:textId="77777777" w:rsidR="00BB67F8" w:rsidRPr="007979B4" w:rsidRDefault="00BB67F8" w:rsidP="00BB67F8">
      <w:pPr>
        <w:spacing w:after="0" w:line="240" w:lineRule="auto"/>
        <w:rPr>
          <w:rFonts w:ascii="Tahoma" w:hAnsi="Tahoma" w:cs="Tahoma"/>
          <w:color w:val="FF0000"/>
        </w:rPr>
      </w:pPr>
    </w:p>
    <w:p w14:paraId="3A7CCB15" w14:textId="77777777" w:rsidR="00BB67F8" w:rsidRPr="007979B4" w:rsidRDefault="00BB67F8" w:rsidP="00BB67F8">
      <w:pPr>
        <w:spacing w:after="0" w:line="240" w:lineRule="auto"/>
        <w:rPr>
          <w:rFonts w:ascii="Tahoma" w:hAnsi="Tahoma" w:cs="Tahoma"/>
        </w:rPr>
      </w:pPr>
      <w:r w:rsidRPr="007979B4">
        <w:rPr>
          <w:rFonts w:ascii="Tahoma" w:hAnsi="Tahoma" w:cs="Tahoma"/>
        </w:rPr>
        <w:t>Over the 4 year</w:t>
      </w:r>
      <w:r>
        <w:rPr>
          <w:rFonts w:ascii="Tahoma" w:hAnsi="Tahoma" w:cs="Tahoma"/>
        </w:rPr>
        <w:t>s’</w:t>
      </w:r>
      <w:r w:rsidRPr="007979B4">
        <w:rPr>
          <w:rFonts w:ascii="Tahoma" w:hAnsi="Tahoma" w:cs="Tahoma"/>
        </w:rPr>
        <w:t xml:space="preserve"> period</w:t>
      </w:r>
      <w:r>
        <w:rPr>
          <w:rFonts w:ascii="Tahoma" w:hAnsi="Tahoma" w:cs="Tahoma"/>
        </w:rPr>
        <w:t>,</w:t>
      </w:r>
      <w:r w:rsidRPr="007979B4">
        <w:rPr>
          <w:rFonts w:ascii="Tahoma" w:hAnsi="Tahoma" w:cs="Tahoma"/>
        </w:rPr>
        <w:t xml:space="preserve"> there has been an -8.1% decrease </w:t>
      </w:r>
      <w:r>
        <w:rPr>
          <w:rFonts w:ascii="Tahoma" w:hAnsi="Tahoma" w:cs="Tahoma"/>
        </w:rPr>
        <w:t>(</w:t>
      </w:r>
      <w:r w:rsidRPr="007979B4">
        <w:rPr>
          <w:rFonts w:ascii="Tahoma" w:hAnsi="Tahoma" w:cs="Tahoma"/>
        </w:rPr>
        <w:t>118 less offences</w:t>
      </w:r>
      <w:r>
        <w:rPr>
          <w:rFonts w:ascii="Tahoma" w:hAnsi="Tahoma" w:cs="Tahoma"/>
        </w:rPr>
        <w:t>)</w:t>
      </w:r>
      <w:r w:rsidRPr="007979B4">
        <w:rPr>
          <w:rFonts w:ascii="Tahoma" w:hAnsi="Tahoma" w:cs="Tahoma"/>
        </w:rPr>
        <w:t xml:space="preserve"> for Fraud reports referred to Kent Police.</w:t>
      </w:r>
      <w:r>
        <w:rPr>
          <w:rFonts w:ascii="Tahoma" w:hAnsi="Tahoma" w:cs="Tahoma"/>
        </w:rPr>
        <w:t xml:space="preserve">  During 2024/25, there was </w:t>
      </w:r>
      <w:r w:rsidRPr="007979B4">
        <w:rPr>
          <w:rFonts w:ascii="Tahoma" w:hAnsi="Tahoma" w:cs="Tahoma"/>
        </w:rPr>
        <w:t>a 10.5% increase</w:t>
      </w:r>
      <w:r>
        <w:rPr>
          <w:rFonts w:ascii="Tahoma" w:hAnsi="Tahoma" w:cs="Tahoma"/>
        </w:rPr>
        <w:t xml:space="preserve"> (</w:t>
      </w:r>
      <w:r w:rsidRPr="007979B4">
        <w:rPr>
          <w:rFonts w:ascii="Tahoma" w:hAnsi="Tahoma" w:cs="Tahoma"/>
        </w:rPr>
        <w:t>128 more offences</w:t>
      </w:r>
      <w:r>
        <w:rPr>
          <w:rFonts w:ascii="Tahoma" w:hAnsi="Tahoma" w:cs="Tahoma"/>
        </w:rPr>
        <w:t>)</w:t>
      </w:r>
      <w:r w:rsidRPr="007979B4">
        <w:rPr>
          <w:rFonts w:ascii="Tahoma" w:hAnsi="Tahoma" w:cs="Tahoma"/>
        </w:rPr>
        <w:t xml:space="preserve"> compared to the previous year.</w:t>
      </w:r>
      <w:r>
        <w:rPr>
          <w:rFonts w:ascii="Tahoma" w:hAnsi="Tahoma" w:cs="Tahoma"/>
        </w:rPr>
        <w:t xml:space="preserve">  </w:t>
      </w:r>
      <w:r w:rsidRPr="007979B4">
        <w:rPr>
          <w:rFonts w:ascii="Tahoma" w:hAnsi="Tahoma" w:cs="Tahoma"/>
        </w:rPr>
        <w:t>Fraud typically sees an increasing trend from October to September with a reduction before increasing again</w:t>
      </w:r>
      <w:r>
        <w:rPr>
          <w:rFonts w:ascii="Tahoma" w:hAnsi="Tahoma" w:cs="Tahoma"/>
        </w:rPr>
        <w:t>.  H</w:t>
      </w:r>
      <w:r w:rsidRPr="007979B4">
        <w:rPr>
          <w:rFonts w:ascii="Tahoma" w:hAnsi="Tahoma" w:cs="Tahoma"/>
        </w:rPr>
        <w:t xml:space="preserve">owever, there was no reduction in October </w:t>
      </w:r>
      <w:r>
        <w:rPr>
          <w:rFonts w:ascii="Tahoma" w:hAnsi="Tahoma" w:cs="Tahoma"/>
        </w:rPr>
        <w:t>20</w:t>
      </w:r>
      <w:r w:rsidRPr="007979B4">
        <w:rPr>
          <w:rFonts w:ascii="Tahoma" w:hAnsi="Tahoma" w:cs="Tahoma"/>
        </w:rPr>
        <w:t>24 with quarterly offence volumes continuing to rise.</w:t>
      </w:r>
    </w:p>
    <w:p w14:paraId="7BA4207A" w14:textId="77777777" w:rsidR="00BB67F8" w:rsidRPr="007979B4" w:rsidRDefault="00BB67F8" w:rsidP="00BB67F8">
      <w:pPr>
        <w:spacing w:after="0" w:line="240" w:lineRule="auto"/>
        <w:rPr>
          <w:rFonts w:ascii="Tahoma" w:hAnsi="Tahoma" w:cs="Tahoma"/>
        </w:rPr>
      </w:pPr>
    </w:p>
    <w:p w14:paraId="16452991" w14:textId="3E9D484B" w:rsidR="00B04509" w:rsidRPr="00725EDF" w:rsidRDefault="00B04509" w:rsidP="00B04509">
      <w:pPr>
        <w:shd w:val="clear" w:color="auto" w:fill="FFFF00"/>
        <w:spacing w:after="0" w:line="240" w:lineRule="auto"/>
        <w:rPr>
          <w:rFonts w:ascii="Tahoma" w:hAnsi="Tahoma" w:cs="Tahoma"/>
          <w:b/>
          <w:bCs/>
          <w:color w:val="000000" w:themeColor="text1"/>
        </w:rPr>
      </w:pPr>
      <w:r w:rsidRPr="00725EDF">
        <w:rPr>
          <w:rFonts w:ascii="Tahoma" w:hAnsi="Tahoma" w:cs="Tahoma"/>
          <w:b/>
          <w:bCs/>
          <w:color w:val="000000" w:themeColor="text1"/>
        </w:rPr>
        <w:t xml:space="preserve">Priority: </w:t>
      </w:r>
      <w:r>
        <w:rPr>
          <w:rFonts w:ascii="Tahoma" w:hAnsi="Tahoma" w:cs="Tahoma"/>
          <w:b/>
          <w:bCs/>
          <w:color w:val="000000" w:themeColor="text1"/>
        </w:rPr>
        <w:t>Combat Organised Crime, County Lines and Serious Crime</w:t>
      </w:r>
    </w:p>
    <w:p w14:paraId="29760911" w14:textId="77777777" w:rsidR="00B04509" w:rsidRDefault="00B04509" w:rsidP="00725EDF">
      <w:pPr>
        <w:pStyle w:val="ListParagraph"/>
        <w:spacing w:after="0" w:line="240" w:lineRule="auto"/>
        <w:ind w:left="0"/>
        <w:rPr>
          <w:rFonts w:ascii="Tahoma" w:hAnsi="Tahoma" w:cs="Tahoma"/>
          <w:b/>
          <w:bCs/>
          <w:color w:val="000000" w:themeColor="text1"/>
          <w:u w:val="single"/>
        </w:rPr>
      </w:pPr>
    </w:p>
    <w:p w14:paraId="53BAE450" w14:textId="77777777" w:rsidR="00DB249C" w:rsidRDefault="00DB249C" w:rsidP="00F51D36">
      <w:pPr>
        <w:spacing w:after="0" w:line="240" w:lineRule="auto"/>
        <w:rPr>
          <w:rFonts w:ascii="Tahoma" w:hAnsi="Tahoma" w:cs="Tahoma"/>
          <w:b/>
          <w:bCs/>
          <w:u w:val="single"/>
        </w:rPr>
      </w:pPr>
      <w:r w:rsidRPr="00DB249C">
        <w:rPr>
          <w:rFonts w:ascii="Tahoma" w:hAnsi="Tahoma" w:cs="Tahoma"/>
          <w:b/>
          <w:bCs/>
          <w:u w:val="single"/>
        </w:rPr>
        <w:t>Knife Crime</w:t>
      </w:r>
    </w:p>
    <w:p w14:paraId="370AC703" w14:textId="77777777" w:rsidR="00F51D36" w:rsidRPr="00DB249C" w:rsidRDefault="00F51D36" w:rsidP="00F51D36">
      <w:pPr>
        <w:spacing w:after="0" w:line="240" w:lineRule="auto"/>
        <w:rPr>
          <w:rFonts w:ascii="Tahoma" w:hAnsi="Tahoma" w:cs="Tahoma"/>
          <w:b/>
          <w:bCs/>
          <w:u w:val="single"/>
        </w:rPr>
      </w:pPr>
    </w:p>
    <w:p w14:paraId="0A897B59" w14:textId="0E45652E" w:rsidR="00F51D36" w:rsidRPr="001E0703" w:rsidRDefault="00C8407A" w:rsidP="00F51D36">
      <w:pPr>
        <w:spacing w:after="0" w:line="240" w:lineRule="auto"/>
        <w:rPr>
          <w:rFonts w:ascii="Tahoma" w:hAnsi="Tahoma" w:cs="Tahoma"/>
        </w:rPr>
      </w:pPr>
      <w:r>
        <w:rPr>
          <w:rFonts w:ascii="Tahoma" w:hAnsi="Tahoma" w:cs="Tahoma"/>
        </w:rPr>
        <w:t>Knife enabled crime has remained a core focus within the Force’s Control Strategy.  In line with our Home Office Annual Data Requirement, t</w:t>
      </w:r>
      <w:r w:rsidR="00DB249C" w:rsidRPr="001E0703">
        <w:rPr>
          <w:rFonts w:ascii="Tahoma" w:hAnsi="Tahoma" w:cs="Tahoma"/>
        </w:rPr>
        <w:t>he offences involving knives or sharp instruments collection is based on:</w:t>
      </w:r>
    </w:p>
    <w:p w14:paraId="780FC5D1" w14:textId="77777777" w:rsidR="00DB249C" w:rsidRPr="00F51D36" w:rsidRDefault="00DB249C" w:rsidP="00F51D36">
      <w:pPr>
        <w:pStyle w:val="ListParagraph"/>
        <w:numPr>
          <w:ilvl w:val="0"/>
          <w:numId w:val="9"/>
        </w:numPr>
        <w:spacing w:after="0" w:line="240" w:lineRule="auto"/>
        <w:rPr>
          <w:rFonts w:ascii="Tahoma" w:hAnsi="Tahoma" w:cs="Tahoma"/>
        </w:rPr>
      </w:pPr>
      <w:r w:rsidRPr="00F51D36">
        <w:rPr>
          <w:rFonts w:ascii="Tahoma" w:hAnsi="Tahoma" w:cs="Tahoma"/>
        </w:rPr>
        <w:t>Actual bodily harm and grievous bodily harm or assault with injury and assault with intent to cause serious harm,</w:t>
      </w:r>
    </w:p>
    <w:p w14:paraId="1024EB4C" w14:textId="77777777" w:rsidR="00DB249C" w:rsidRPr="00F51D36" w:rsidRDefault="00DB249C" w:rsidP="00F51D36">
      <w:pPr>
        <w:pStyle w:val="ListParagraph"/>
        <w:numPr>
          <w:ilvl w:val="0"/>
          <w:numId w:val="9"/>
        </w:numPr>
        <w:spacing w:after="0" w:line="240" w:lineRule="auto"/>
        <w:rPr>
          <w:rFonts w:ascii="Tahoma" w:hAnsi="Tahoma" w:cs="Tahoma"/>
        </w:rPr>
      </w:pPr>
      <w:r w:rsidRPr="00F51D36">
        <w:rPr>
          <w:rFonts w:ascii="Tahoma" w:hAnsi="Tahoma" w:cs="Tahoma"/>
        </w:rPr>
        <w:t xml:space="preserve">Attempted murder, </w:t>
      </w:r>
    </w:p>
    <w:p w14:paraId="73638C90" w14:textId="77777777" w:rsidR="00DB249C" w:rsidRPr="00F51D36" w:rsidRDefault="00DB249C" w:rsidP="00F51D36">
      <w:pPr>
        <w:pStyle w:val="ListParagraph"/>
        <w:numPr>
          <w:ilvl w:val="0"/>
          <w:numId w:val="9"/>
        </w:numPr>
        <w:spacing w:after="0" w:line="240" w:lineRule="auto"/>
        <w:rPr>
          <w:rFonts w:ascii="Tahoma" w:hAnsi="Tahoma" w:cs="Tahoma"/>
        </w:rPr>
      </w:pPr>
      <w:r w:rsidRPr="00F51D36">
        <w:rPr>
          <w:rFonts w:ascii="Tahoma" w:hAnsi="Tahoma" w:cs="Tahoma"/>
        </w:rPr>
        <w:t>Robbery</w:t>
      </w:r>
    </w:p>
    <w:p w14:paraId="4D1454DE" w14:textId="77777777" w:rsidR="00DB249C" w:rsidRPr="00F51D36" w:rsidRDefault="00DB249C" w:rsidP="00F51D36">
      <w:pPr>
        <w:pStyle w:val="ListParagraph"/>
        <w:numPr>
          <w:ilvl w:val="0"/>
          <w:numId w:val="9"/>
        </w:numPr>
        <w:spacing w:after="0" w:line="240" w:lineRule="auto"/>
        <w:rPr>
          <w:rFonts w:ascii="Tahoma" w:hAnsi="Tahoma" w:cs="Tahoma"/>
        </w:rPr>
      </w:pPr>
      <w:r w:rsidRPr="00F51D36">
        <w:rPr>
          <w:rFonts w:ascii="Tahoma" w:hAnsi="Tahoma" w:cs="Tahoma"/>
        </w:rPr>
        <w:t>Threats to kill</w:t>
      </w:r>
    </w:p>
    <w:p w14:paraId="20089980" w14:textId="77777777" w:rsidR="00DB249C" w:rsidRPr="00F51D36" w:rsidRDefault="00DB249C" w:rsidP="00F51D36">
      <w:pPr>
        <w:pStyle w:val="ListParagraph"/>
        <w:numPr>
          <w:ilvl w:val="0"/>
          <w:numId w:val="9"/>
        </w:numPr>
        <w:spacing w:after="0" w:line="240" w:lineRule="auto"/>
        <w:rPr>
          <w:rFonts w:ascii="Tahoma" w:hAnsi="Tahoma" w:cs="Tahoma"/>
        </w:rPr>
      </w:pPr>
      <w:r w:rsidRPr="00F51D36">
        <w:rPr>
          <w:rFonts w:ascii="Tahoma" w:hAnsi="Tahoma" w:cs="Tahoma"/>
        </w:rPr>
        <w:t>Rape</w:t>
      </w:r>
    </w:p>
    <w:p w14:paraId="04F5769B" w14:textId="77777777" w:rsidR="00DB249C" w:rsidRPr="00F51D36" w:rsidRDefault="00DB249C" w:rsidP="00F51D36">
      <w:pPr>
        <w:pStyle w:val="ListParagraph"/>
        <w:numPr>
          <w:ilvl w:val="0"/>
          <w:numId w:val="9"/>
        </w:numPr>
        <w:spacing w:after="0" w:line="240" w:lineRule="auto"/>
        <w:rPr>
          <w:rFonts w:ascii="Tahoma" w:hAnsi="Tahoma" w:cs="Tahoma"/>
        </w:rPr>
      </w:pPr>
      <w:r w:rsidRPr="00F51D36">
        <w:rPr>
          <w:rFonts w:ascii="Tahoma" w:hAnsi="Tahoma" w:cs="Tahoma"/>
        </w:rPr>
        <w:t>Sexual assault</w:t>
      </w:r>
    </w:p>
    <w:p w14:paraId="6CF36130" w14:textId="77777777" w:rsidR="00C8407A" w:rsidRDefault="00DB249C" w:rsidP="00F51D36">
      <w:pPr>
        <w:pStyle w:val="ListParagraph"/>
        <w:numPr>
          <w:ilvl w:val="0"/>
          <w:numId w:val="9"/>
        </w:numPr>
        <w:spacing w:after="0" w:line="240" w:lineRule="auto"/>
        <w:rPr>
          <w:rFonts w:ascii="Tahoma" w:hAnsi="Tahoma" w:cs="Tahoma"/>
        </w:rPr>
      </w:pPr>
      <w:r w:rsidRPr="00F51D36">
        <w:rPr>
          <w:rFonts w:ascii="Tahoma" w:hAnsi="Tahoma" w:cs="Tahoma"/>
        </w:rPr>
        <w:t>Homicide</w:t>
      </w:r>
    </w:p>
    <w:p w14:paraId="23F7F1D0" w14:textId="77777777" w:rsidR="00F51D36" w:rsidRPr="00F51D36" w:rsidRDefault="00F51D36" w:rsidP="00F51D36">
      <w:pPr>
        <w:pStyle w:val="ListParagraph"/>
        <w:spacing w:after="0" w:line="240" w:lineRule="auto"/>
        <w:rPr>
          <w:rFonts w:ascii="Tahoma" w:hAnsi="Tahoma" w:cs="Tahoma"/>
        </w:rPr>
      </w:pPr>
    </w:p>
    <w:tbl>
      <w:tblPr>
        <w:tblW w:w="9140" w:type="dxa"/>
        <w:jc w:val="center"/>
        <w:tblLayout w:type="fixed"/>
        <w:tblLook w:val="04A0" w:firstRow="1" w:lastRow="0" w:firstColumn="1" w:lastColumn="0" w:noHBand="0" w:noVBand="1"/>
      </w:tblPr>
      <w:tblGrid>
        <w:gridCol w:w="2693"/>
        <w:gridCol w:w="2149"/>
        <w:gridCol w:w="2149"/>
        <w:gridCol w:w="2149"/>
      </w:tblGrid>
      <w:tr w:rsidR="00DB249C" w:rsidRPr="001E0703" w14:paraId="273A4FA7" w14:textId="77777777" w:rsidTr="004F4D6F">
        <w:trPr>
          <w:trHeight w:val="556"/>
          <w:jc w:val="center"/>
        </w:trPr>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8B77B5"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B7C4D78"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AB4D208"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5EA43DE"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Number change</w:t>
            </w:r>
          </w:p>
        </w:tc>
      </w:tr>
      <w:tr w:rsidR="00DB249C" w:rsidRPr="001E0703" w14:paraId="66710258" w14:textId="77777777" w:rsidTr="004F4D6F">
        <w:trPr>
          <w:trHeight w:val="210"/>
          <w:jc w:val="center"/>
        </w:trPr>
        <w:tc>
          <w:tcPr>
            <w:tcW w:w="2693" w:type="dxa"/>
            <w:tcBorders>
              <w:top w:val="nil"/>
              <w:left w:val="single" w:sz="4" w:space="0" w:color="auto"/>
              <w:bottom w:val="single" w:sz="4" w:space="0" w:color="auto"/>
              <w:right w:val="single" w:sz="4" w:space="0" w:color="auto"/>
            </w:tcBorders>
            <w:shd w:val="clear" w:color="auto" w:fill="auto"/>
            <w:hideMark/>
          </w:tcPr>
          <w:p w14:paraId="030E6F65"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rPr>
              <w:t>April 2021 - March 2022</w:t>
            </w:r>
          </w:p>
        </w:tc>
        <w:tc>
          <w:tcPr>
            <w:tcW w:w="2149" w:type="dxa"/>
            <w:tcBorders>
              <w:top w:val="nil"/>
              <w:left w:val="nil"/>
              <w:bottom w:val="single" w:sz="4" w:space="0" w:color="auto"/>
              <w:right w:val="single" w:sz="4" w:space="0" w:color="auto"/>
            </w:tcBorders>
            <w:shd w:val="clear" w:color="auto" w:fill="auto"/>
            <w:vAlign w:val="center"/>
          </w:tcPr>
          <w:p w14:paraId="5BD4323B"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1252</w:t>
            </w:r>
          </w:p>
        </w:tc>
        <w:tc>
          <w:tcPr>
            <w:tcW w:w="2149" w:type="dxa"/>
            <w:tcBorders>
              <w:top w:val="nil"/>
              <w:left w:val="nil"/>
              <w:bottom w:val="single" w:sz="4" w:space="0" w:color="auto"/>
              <w:right w:val="single" w:sz="4" w:space="0" w:color="auto"/>
            </w:tcBorders>
            <w:shd w:val="clear" w:color="auto" w:fill="auto"/>
            <w:noWrap/>
            <w:vAlign w:val="center"/>
          </w:tcPr>
          <w:p w14:paraId="7697F8A5"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-9.8%</w:t>
            </w:r>
          </w:p>
        </w:tc>
        <w:tc>
          <w:tcPr>
            <w:tcW w:w="2149" w:type="dxa"/>
            <w:tcBorders>
              <w:top w:val="nil"/>
              <w:left w:val="nil"/>
              <w:bottom w:val="single" w:sz="4" w:space="0" w:color="auto"/>
              <w:right w:val="single" w:sz="4" w:space="0" w:color="auto"/>
            </w:tcBorders>
            <w:shd w:val="clear" w:color="auto" w:fill="auto"/>
            <w:noWrap/>
            <w:vAlign w:val="center"/>
          </w:tcPr>
          <w:p w14:paraId="3F2AC269"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-136</w:t>
            </w:r>
          </w:p>
        </w:tc>
      </w:tr>
      <w:tr w:rsidR="00DB249C" w:rsidRPr="001E0703" w14:paraId="1C594055" w14:textId="77777777" w:rsidTr="004F4D6F">
        <w:trPr>
          <w:trHeight w:val="210"/>
          <w:jc w:val="center"/>
        </w:trPr>
        <w:tc>
          <w:tcPr>
            <w:tcW w:w="2693" w:type="dxa"/>
            <w:tcBorders>
              <w:top w:val="nil"/>
              <w:left w:val="single" w:sz="4" w:space="0" w:color="auto"/>
              <w:bottom w:val="single" w:sz="4" w:space="0" w:color="auto"/>
              <w:right w:val="single" w:sz="4" w:space="0" w:color="auto"/>
            </w:tcBorders>
            <w:shd w:val="clear" w:color="auto" w:fill="auto"/>
            <w:noWrap/>
            <w:hideMark/>
          </w:tcPr>
          <w:p w14:paraId="1873DFC2"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rPr>
              <w:t>April 2022 - March 2023</w:t>
            </w:r>
          </w:p>
        </w:tc>
        <w:tc>
          <w:tcPr>
            <w:tcW w:w="2149" w:type="dxa"/>
            <w:tcBorders>
              <w:top w:val="nil"/>
              <w:left w:val="nil"/>
              <w:bottom w:val="single" w:sz="4" w:space="0" w:color="auto"/>
              <w:right w:val="single" w:sz="4" w:space="0" w:color="auto"/>
            </w:tcBorders>
            <w:shd w:val="clear" w:color="auto" w:fill="auto"/>
            <w:noWrap/>
            <w:vAlign w:val="center"/>
          </w:tcPr>
          <w:p w14:paraId="305BDDA2"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1264</w:t>
            </w:r>
          </w:p>
        </w:tc>
        <w:tc>
          <w:tcPr>
            <w:tcW w:w="2149" w:type="dxa"/>
            <w:tcBorders>
              <w:top w:val="nil"/>
              <w:left w:val="nil"/>
              <w:bottom w:val="single" w:sz="4" w:space="0" w:color="auto"/>
              <w:right w:val="single" w:sz="4" w:space="0" w:color="auto"/>
            </w:tcBorders>
            <w:shd w:val="clear" w:color="auto" w:fill="auto"/>
            <w:noWrap/>
            <w:vAlign w:val="center"/>
          </w:tcPr>
          <w:p w14:paraId="4F52669E"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1.0%</w:t>
            </w:r>
          </w:p>
        </w:tc>
        <w:tc>
          <w:tcPr>
            <w:tcW w:w="2149" w:type="dxa"/>
            <w:tcBorders>
              <w:top w:val="nil"/>
              <w:left w:val="nil"/>
              <w:bottom w:val="single" w:sz="4" w:space="0" w:color="auto"/>
              <w:right w:val="single" w:sz="4" w:space="0" w:color="auto"/>
            </w:tcBorders>
            <w:shd w:val="clear" w:color="auto" w:fill="auto"/>
            <w:noWrap/>
            <w:vAlign w:val="center"/>
          </w:tcPr>
          <w:p w14:paraId="2737A247"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12</w:t>
            </w:r>
          </w:p>
        </w:tc>
      </w:tr>
      <w:tr w:rsidR="00DB249C" w:rsidRPr="001E0703" w14:paraId="764DC614" w14:textId="77777777" w:rsidTr="004F4D6F">
        <w:trPr>
          <w:trHeight w:val="210"/>
          <w:jc w:val="center"/>
        </w:trPr>
        <w:tc>
          <w:tcPr>
            <w:tcW w:w="2693" w:type="dxa"/>
            <w:tcBorders>
              <w:top w:val="nil"/>
              <w:left w:val="single" w:sz="4" w:space="0" w:color="auto"/>
              <w:bottom w:val="single" w:sz="4" w:space="0" w:color="auto"/>
              <w:right w:val="single" w:sz="4" w:space="0" w:color="auto"/>
            </w:tcBorders>
            <w:shd w:val="clear" w:color="auto" w:fill="auto"/>
            <w:noWrap/>
            <w:hideMark/>
          </w:tcPr>
          <w:p w14:paraId="2705BBBF"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rPr>
              <w:t>April 2023 - March 2024</w:t>
            </w:r>
          </w:p>
        </w:tc>
        <w:tc>
          <w:tcPr>
            <w:tcW w:w="2149" w:type="dxa"/>
            <w:tcBorders>
              <w:top w:val="nil"/>
              <w:left w:val="nil"/>
              <w:bottom w:val="single" w:sz="4" w:space="0" w:color="auto"/>
              <w:right w:val="single" w:sz="4" w:space="0" w:color="auto"/>
            </w:tcBorders>
            <w:shd w:val="clear" w:color="auto" w:fill="auto"/>
            <w:noWrap/>
            <w:vAlign w:val="center"/>
          </w:tcPr>
          <w:p w14:paraId="22005113"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1022</w:t>
            </w:r>
          </w:p>
        </w:tc>
        <w:tc>
          <w:tcPr>
            <w:tcW w:w="2149" w:type="dxa"/>
            <w:tcBorders>
              <w:top w:val="nil"/>
              <w:left w:val="nil"/>
              <w:bottom w:val="single" w:sz="4" w:space="0" w:color="auto"/>
              <w:right w:val="single" w:sz="4" w:space="0" w:color="auto"/>
            </w:tcBorders>
            <w:shd w:val="clear" w:color="auto" w:fill="auto"/>
            <w:noWrap/>
            <w:vAlign w:val="center"/>
          </w:tcPr>
          <w:p w14:paraId="013312B5"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-19.1%</w:t>
            </w:r>
          </w:p>
        </w:tc>
        <w:tc>
          <w:tcPr>
            <w:tcW w:w="2149" w:type="dxa"/>
            <w:tcBorders>
              <w:top w:val="nil"/>
              <w:left w:val="nil"/>
              <w:bottom w:val="single" w:sz="4" w:space="0" w:color="auto"/>
              <w:right w:val="single" w:sz="4" w:space="0" w:color="auto"/>
            </w:tcBorders>
            <w:shd w:val="clear" w:color="auto" w:fill="auto"/>
            <w:noWrap/>
            <w:vAlign w:val="center"/>
          </w:tcPr>
          <w:p w14:paraId="1F616433"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-242</w:t>
            </w:r>
          </w:p>
        </w:tc>
      </w:tr>
      <w:tr w:rsidR="00DB249C" w:rsidRPr="001E0703" w14:paraId="3D5D2C9D" w14:textId="77777777" w:rsidTr="004F4D6F">
        <w:trPr>
          <w:trHeight w:val="21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0B4D289"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rPr>
              <w:t>April 2024 - March 2025</w:t>
            </w:r>
          </w:p>
        </w:tc>
        <w:tc>
          <w:tcPr>
            <w:tcW w:w="2149" w:type="dxa"/>
            <w:tcBorders>
              <w:top w:val="single" w:sz="4" w:space="0" w:color="auto"/>
              <w:left w:val="nil"/>
              <w:bottom w:val="single" w:sz="4" w:space="0" w:color="auto"/>
              <w:right w:val="single" w:sz="4" w:space="0" w:color="auto"/>
            </w:tcBorders>
            <w:shd w:val="clear" w:color="auto" w:fill="auto"/>
            <w:noWrap/>
            <w:vAlign w:val="center"/>
          </w:tcPr>
          <w:p w14:paraId="53FD84CB"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1050</w:t>
            </w:r>
          </w:p>
        </w:tc>
        <w:tc>
          <w:tcPr>
            <w:tcW w:w="2149" w:type="dxa"/>
            <w:tcBorders>
              <w:top w:val="single" w:sz="4" w:space="0" w:color="auto"/>
              <w:left w:val="nil"/>
              <w:bottom w:val="single" w:sz="4" w:space="0" w:color="auto"/>
              <w:right w:val="single" w:sz="4" w:space="0" w:color="auto"/>
            </w:tcBorders>
            <w:shd w:val="clear" w:color="auto" w:fill="auto"/>
            <w:noWrap/>
            <w:vAlign w:val="center"/>
          </w:tcPr>
          <w:p w14:paraId="3FDC5456"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2.7%</w:t>
            </w:r>
          </w:p>
        </w:tc>
        <w:tc>
          <w:tcPr>
            <w:tcW w:w="2149" w:type="dxa"/>
            <w:tcBorders>
              <w:top w:val="single" w:sz="4" w:space="0" w:color="auto"/>
              <w:left w:val="nil"/>
              <w:bottom w:val="single" w:sz="4" w:space="0" w:color="auto"/>
              <w:right w:val="single" w:sz="4" w:space="0" w:color="auto"/>
            </w:tcBorders>
            <w:shd w:val="clear" w:color="auto" w:fill="auto"/>
            <w:noWrap/>
            <w:vAlign w:val="center"/>
          </w:tcPr>
          <w:p w14:paraId="029C3300" w14:textId="77777777" w:rsidR="00DB249C" w:rsidRPr="001E0703" w:rsidRDefault="00DB249C" w:rsidP="004F4D6F">
            <w:pPr>
              <w:spacing w:after="0" w:line="276" w:lineRule="auto"/>
              <w:jc w:val="center"/>
              <w:rPr>
                <w:rFonts w:ascii="Tahoma" w:hAnsi="Tahoma" w:cs="Tahoma"/>
                <w:color w:val="000000"/>
              </w:rPr>
            </w:pPr>
            <w:r w:rsidRPr="001E0703">
              <w:rPr>
                <w:rFonts w:ascii="Tahoma" w:hAnsi="Tahoma" w:cs="Tahoma"/>
                <w:color w:val="000000"/>
              </w:rPr>
              <w:t>28</w:t>
            </w:r>
          </w:p>
        </w:tc>
      </w:tr>
      <w:tr w:rsidR="00DB249C" w:rsidRPr="001E0703" w14:paraId="7F268481" w14:textId="77777777" w:rsidTr="004F4D6F">
        <w:trPr>
          <w:trHeight w:val="70"/>
          <w:jc w:val="center"/>
        </w:trPr>
        <w:tc>
          <w:tcPr>
            <w:tcW w:w="269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3A8563EC" w14:textId="77777777" w:rsidR="00DB249C" w:rsidRPr="001E0703" w:rsidRDefault="00DB249C" w:rsidP="004F4D6F">
            <w:pPr>
              <w:spacing w:after="0" w:line="276" w:lineRule="auto"/>
              <w:jc w:val="center"/>
              <w:rPr>
                <w:rFonts w:ascii="Tahoma" w:hAnsi="Tahoma" w:cs="Tahoma"/>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2A5719E5" w14:textId="77777777" w:rsidR="00DB249C" w:rsidRPr="001E0703" w:rsidRDefault="00DB249C" w:rsidP="004F4D6F">
            <w:pPr>
              <w:spacing w:after="0" w:line="276" w:lineRule="auto"/>
              <w:jc w:val="center"/>
              <w:rPr>
                <w:rFonts w:ascii="Tahoma" w:hAnsi="Tahoma" w:cs="Tahoma"/>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6A8932C4" w14:textId="77777777" w:rsidR="00DB249C" w:rsidRPr="001E0703" w:rsidRDefault="00DB249C" w:rsidP="004F4D6F">
            <w:pPr>
              <w:spacing w:after="0" w:line="276" w:lineRule="auto"/>
              <w:jc w:val="center"/>
              <w:rPr>
                <w:rFonts w:ascii="Tahoma" w:hAnsi="Tahoma" w:cs="Tahoma"/>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2C6D7B78" w14:textId="77777777" w:rsidR="00DB249C" w:rsidRPr="001E0703" w:rsidRDefault="00DB249C" w:rsidP="004F4D6F">
            <w:pPr>
              <w:spacing w:after="0" w:line="276" w:lineRule="auto"/>
              <w:jc w:val="center"/>
              <w:rPr>
                <w:rFonts w:ascii="Tahoma" w:hAnsi="Tahoma" w:cs="Tahoma"/>
              </w:rPr>
            </w:pPr>
          </w:p>
        </w:tc>
      </w:tr>
      <w:tr w:rsidR="00DB249C" w:rsidRPr="001E0703" w14:paraId="10565796" w14:textId="77777777" w:rsidTr="004F4D6F">
        <w:trPr>
          <w:trHeight w:val="210"/>
          <w:jc w:val="center"/>
        </w:trPr>
        <w:tc>
          <w:tcPr>
            <w:tcW w:w="4842"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03B647DF" w14:textId="3B16331D" w:rsidR="00DB249C" w:rsidRPr="00C8407A" w:rsidRDefault="00DB249C" w:rsidP="004F4D6F">
            <w:pPr>
              <w:spacing w:after="0" w:line="276" w:lineRule="auto"/>
              <w:jc w:val="center"/>
              <w:rPr>
                <w:rFonts w:ascii="Tahoma" w:hAnsi="Tahoma" w:cs="Tahoma"/>
                <w:b/>
                <w:bCs/>
              </w:rPr>
            </w:pPr>
            <w:r w:rsidRPr="00C8407A">
              <w:rPr>
                <w:rFonts w:ascii="Tahoma" w:hAnsi="Tahoma" w:cs="Tahoma"/>
                <w:b/>
                <w:bCs/>
              </w:rPr>
              <w:t>4 year</w:t>
            </w:r>
            <w:r w:rsidR="00C8407A">
              <w:rPr>
                <w:rFonts w:ascii="Tahoma" w:hAnsi="Tahoma" w:cs="Tahoma"/>
                <w:b/>
                <w:bCs/>
              </w:rPr>
              <w:t>s’</w:t>
            </w:r>
            <w:r w:rsidRPr="00C8407A">
              <w:rPr>
                <w:rFonts w:ascii="Tahoma" w:hAnsi="Tahoma" w:cs="Tahoma"/>
                <w:b/>
                <w:bCs/>
              </w:rPr>
              <w:t xml:space="preserve">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FE4FF" w14:textId="77777777" w:rsidR="00DB249C" w:rsidRPr="00C8407A" w:rsidRDefault="00DB249C" w:rsidP="004F4D6F">
            <w:pPr>
              <w:spacing w:after="0" w:line="276" w:lineRule="auto"/>
              <w:jc w:val="center"/>
              <w:rPr>
                <w:rFonts w:ascii="Tahoma" w:hAnsi="Tahoma" w:cs="Tahoma"/>
                <w:b/>
                <w:bCs/>
              </w:rPr>
            </w:pPr>
            <w:r w:rsidRPr="00C8407A">
              <w:rPr>
                <w:rFonts w:ascii="Tahoma" w:hAnsi="Tahoma" w:cs="Tahoma"/>
                <w:b/>
                <w:bCs/>
                <w:color w:val="000000"/>
              </w:rPr>
              <w:t>-16.1%</w:t>
            </w:r>
          </w:p>
        </w:tc>
        <w:tc>
          <w:tcPr>
            <w:tcW w:w="2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0B9D7" w14:textId="77777777" w:rsidR="00DB249C" w:rsidRPr="00C8407A" w:rsidRDefault="00DB249C" w:rsidP="004F4D6F">
            <w:pPr>
              <w:spacing w:after="0" w:line="276" w:lineRule="auto"/>
              <w:jc w:val="center"/>
              <w:rPr>
                <w:rFonts w:ascii="Tahoma" w:hAnsi="Tahoma" w:cs="Tahoma"/>
                <w:b/>
                <w:bCs/>
              </w:rPr>
            </w:pPr>
            <w:r w:rsidRPr="00C8407A">
              <w:rPr>
                <w:rFonts w:ascii="Tahoma" w:hAnsi="Tahoma" w:cs="Tahoma"/>
                <w:b/>
                <w:bCs/>
                <w:color w:val="000000"/>
              </w:rPr>
              <w:t>-202</w:t>
            </w:r>
          </w:p>
        </w:tc>
      </w:tr>
    </w:tbl>
    <w:p w14:paraId="5B6ABDE1" w14:textId="77777777" w:rsidR="00DB249C" w:rsidRPr="001E0703" w:rsidRDefault="00DB249C" w:rsidP="00DB249C">
      <w:pPr>
        <w:rPr>
          <w:rFonts w:ascii="Tahoma" w:hAnsi="Tahoma" w:cs="Tahoma"/>
          <w:b/>
          <w:bCs/>
        </w:rPr>
      </w:pPr>
    </w:p>
    <w:p w14:paraId="290336E8" w14:textId="77777777" w:rsidR="00DB249C" w:rsidRPr="001E0703" w:rsidRDefault="00DB249C" w:rsidP="00DB249C">
      <w:pPr>
        <w:rPr>
          <w:rFonts w:ascii="Tahoma" w:hAnsi="Tahoma" w:cs="Tahoma"/>
          <w:b/>
          <w:bCs/>
          <w:noProof/>
        </w:rPr>
      </w:pPr>
      <w:r w:rsidRPr="001E0703">
        <w:rPr>
          <w:rFonts w:ascii="Tahoma" w:hAnsi="Tahoma" w:cs="Tahoma"/>
          <w:b/>
          <w:bCs/>
          <w:noProof/>
        </w:rPr>
        <w:lastRenderedPageBreak/>
        <w:drawing>
          <wp:inline distT="0" distB="0" distL="0" distR="0" wp14:anchorId="3F61A68E" wp14:editId="78EA1598">
            <wp:extent cx="5600700" cy="2108200"/>
            <wp:effectExtent l="0" t="0" r="0" b="6350"/>
            <wp:docPr id="492226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1350" cy="2112209"/>
                    </a:xfrm>
                    <a:prstGeom prst="rect">
                      <a:avLst/>
                    </a:prstGeom>
                    <a:noFill/>
                  </pic:spPr>
                </pic:pic>
              </a:graphicData>
            </a:graphic>
          </wp:inline>
        </w:drawing>
      </w:r>
    </w:p>
    <w:p w14:paraId="7B5E37C5" w14:textId="0F22219E" w:rsidR="00DB249C" w:rsidRPr="001E0703" w:rsidRDefault="00DB249C" w:rsidP="00DB249C">
      <w:pPr>
        <w:jc w:val="both"/>
        <w:rPr>
          <w:rFonts w:ascii="Tahoma" w:hAnsi="Tahoma" w:cs="Tahoma"/>
        </w:rPr>
      </w:pPr>
      <w:r w:rsidRPr="1D7D8BE7">
        <w:rPr>
          <w:rFonts w:ascii="Tahoma" w:hAnsi="Tahoma" w:cs="Tahoma"/>
        </w:rPr>
        <w:t>Over the 4 year</w:t>
      </w:r>
      <w:r w:rsidR="00C8407A" w:rsidRPr="1D7D8BE7">
        <w:rPr>
          <w:rFonts w:ascii="Tahoma" w:hAnsi="Tahoma" w:cs="Tahoma"/>
        </w:rPr>
        <w:t>s’</w:t>
      </w:r>
      <w:r w:rsidRPr="1D7D8BE7">
        <w:rPr>
          <w:rFonts w:ascii="Tahoma" w:hAnsi="Tahoma" w:cs="Tahoma"/>
        </w:rPr>
        <w:t xml:space="preserve"> period Knife enabled crime has experienced a -16.1% decrease with 202 less crimes. </w:t>
      </w:r>
      <w:r w:rsidR="00C8407A" w:rsidRPr="1D7D8BE7">
        <w:rPr>
          <w:rFonts w:ascii="Tahoma" w:hAnsi="Tahoma" w:cs="Tahoma"/>
        </w:rPr>
        <w:t>During 2024/25, there</w:t>
      </w:r>
      <w:r w:rsidRPr="1D7D8BE7">
        <w:rPr>
          <w:rFonts w:ascii="Tahoma" w:hAnsi="Tahoma" w:cs="Tahoma"/>
        </w:rPr>
        <w:t xml:space="preserve"> has </w:t>
      </w:r>
      <w:r w:rsidR="00C8407A" w:rsidRPr="1D7D8BE7">
        <w:rPr>
          <w:rFonts w:ascii="Tahoma" w:hAnsi="Tahoma" w:cs="Tahoma"/>
        </w:rPr>
        <w:t>be</w:t>
      </w:r>
      <w:r w:rsidRPr="1D7D8BE7">
        <w:rPr>
          <w:rFonts w:ascii="Tahoma" w:hAnsi="Tahoma" w:cs="Tahoma"/>
        </w:rPr>
        <w:t>en an increase of 2.7% with 28 more crimes, however annual volumes for both financial year 2023/24 and 2024/25 are lower than the previous 2 financial years.</w:t>
      </w:r>
    </w:p>
    <w:p w14:paraId="688E8A6F" w14:textId="3EFEA6A0" w:rsidR="00DB249C" w:rsidRDefault="00DB249C" w:rsidP="00B77CF7">
      <w:pPr>
        <w:spacing w:after="0" w:line="240" w:lineRule="auto"/>
        <w:rPr>
          <w:rFonts w:ascii="Tahoma" w:hAnsi="Tahoma" w:cs="Tahoma"/>
        </w:rPr>
      </w:pPr>
      <w:r w:rsidRPr="001E0703">
        <w:rPr>
          <w:rFonts w:ascii="Tahoma" w:hAnsi="Tahoma" w:cs="Tahoma"/>
        </w:rPr>
        <w:t>The peak quarter is usually July to September but for July to September 2024 there w</w:t>
      </w:r>
      <w:r>
        <w:rPr>
          <w:rFonts w:ascii="Tahoma" w:hAnsi="Tahoma" w:cs="Tahoma"/>
        </w:rPr>
        <w:t>as</w:t>
      </w:r>
      <w:r w:rsidRPr="001E0703">
        <w:rPr>
          <w:rFonts w:ascii="Tahoma" w:hAnsi="Tahoma" w:cs="Tahoma"/>
        </w:rPr>
        <w:t xml:space="preserve"> a lower volume of offences recorded compared to October to December 2024.  Offences peaked in July to September 2021,</w:t>
      </w:r>
      <w:r w:rsidR="005400CA">
        <w:rPr>
          <w:rFonts w:ascii="Tahoma" w:hAnsi="Tahoma" w:cs="Tahoma"/>
        </w:rPr>
        <w:t xml:space="preserve"> which </w:t>
      </w:r>
      <w:r w:rsidRPr="001E0703">
        <w:rPr>
          <w:rFonts w:ascii="Tahoma" w:hAnsi="Tahoma" w:cs="Tahoma"/>
        </w:rPr>
        <w:t>w</w:t>
      </w:r>
      <w:r w:rsidR="005400CA">
        <w:rPr>
          <w:rFonts w:ascii="Tahoma" w:hAnsi="Tahoma" w:cs="Tahoma"/>
        </w:rPr>
        <w:t>ere</w:t>
      </w:r>
      <w:r w:rsidRPr="001E0703">
        <w:rPr>
          <w:rFonts w:ascii="Tahoma" w:hAnsi="Tahoma" w:cs="Tahoma"/>
        </w:rPr>
        <w:t xml:space="preserve"> the first months following the C</w:t>
      </w:r>
      <w:r w:rsidR="005400CA" w:rsidRPr="001E0703">
        <w:rPr>
          <w:rFonts w:ascii="Tahoma" w:hAnsi="Tahoma" w:cs="Tahoma"/>
        </w:rPr>
        <w:t>ovid</w:t>
      </w:r>
      <w:r w:rsidRPr="001E0703">
        <w:rPr>
          <w:rFonts w:ascii="Tahoma" w:hAnsi="Tahoma" w:cs="Tahoma"/>
        </w:rPr>
        <w:t>-19 pandemic when all lockdown restrictions were lifted.</w:t>
      </w:r>
    </w:p>
    <w:p w14:paraId="63D0C586" w14:textId="77777777" w:rsidR="00B77CF7" w:rsidRDefault="00B77CF7" w:rsidP="00B77CF7">
      <w:pPr>
        <w:spacing w:after="0" w:line="240" w:lineRule="auto"/>
        <w:rPr>
          <w:rFonts w:ascii="Tahoma" w:hAnsi="Tahoma" w:cs="Tahoma"/>
        </w:rPr>
      </w:pPr>
    </w:p>
    <w:p w14:paraId="44C70660" w14:textId="190F1E04" w:rsidR="00765BED" w:rsidRDefault="00765BED" w:rsidP="00B77CF7">
      <w:pPr>
        <w:spacing w:after="0" w:line="240" w:lineRule="auto"/>
        <w:rPr>
          <w:rFonts w:ascii="Tahoma" w:hAnsi="Tahoma" w:cs="Tahoma"/>
        </w:rPr>
      </w:pPr>
      <w:r>
        <w:rPr>
          <w:rFonts w:ascii="Tahoma" w:hAnsi="Tahoma" w:cs="Tahoma"/>
        </w:rPr>
        <w:t>Kent is one</w:t>
      </w:r>
      <w:r w:rsidRPr="00765BED">
        <w:rPr>
          <w:rFonts w:ascii="Tahoma" w:hAnsi="Tahoma" w:cs="Tahoma"/>
        </w:rPr>
        <w:t xml:space="preserve"> of 18 forces nationally that have a funded Violence Reduction Unit (VRU) which has been in place since 2020</w:t>
      </w:r>
      <w:r>
        <w:rPr>
          <w:rFonts w:ascii="Tahoma" w:hAnsi="Tahoma" w:cs="Tahoma"/>
        </w:rPr>
        <w:t xml:space="preserve"> and </w:t>
      </w:r>
      <w:r w:rsidRPr="00765BED">
        <w:rPr>
          <w:rFonts w:ascii="Tahoma" w:hAnsi="Tahoma" w:cs="Tahoma"/>
        </w:rPr>
        <w:t>is tasked with providing leadership and strategic coordination of the local response to serious violence</w:t>
      </w:r>
      <w:r>
        <w:rPr>
          <w:rFonts w:ascii="Tahoma" w:hAnsi="Tahoma" w:cs="Tahoma"/>
        </w:rPr>
        <w:t>, with a particular focus on knife enabled crime</w:t>
      </w:r>
      <w:r w:rsidRPr="00765BED">
        <w:rPr>
          <w:rFonts w:ascii="Tahoma" w:hAnsi="Tahoma" w:cs="Tahoma"/>
        </w:rPr>
        <w:t>.</w:t>
      </w:r>
      <w:r>
        <w:rPr>
          <w:rFonts w:ascii="Tahoma" w:hAnsi="Tahoma" w:cs="Tahoma"/>
        </w:rPr>
        <w:t xml:space="preserve">  They also work closely with the new Child Centred Policing Teams as a core component of the Force’s Neighbourhood Policing Model</w:t>
      </w:r>
      <w:r w:rsidR="00FD75B6">
        <w:rPr>
          <w:rFonts w:ascii="Tahoma" w:hAnsi="Tahoma" w:cs="Tahoma"/>
        </w:rPr>
        <w:t xml:space="preserve">. </w:t>
      </w:r>
    </w:p>
    <w:p w14:paraId="35F5E723" w14:textId="77777777" w:rsidR="00B77CF7" w:rsidRDefault="00B77CF7" w:rsidP="00B77CF7">
      <w:pPr>
        <w:spacing w:after="0" w:line="240" w:lineRule="auto"/>
        <w:rPr>
          <w:rFonts w:ascii="Tahoma" w:hAnsi="Tahoma" w:cs="Tahoma"/>
          <w:b/>
          <w:bCs/>
        </w:rPr>
      </w:pPr>
    </w:p>
    <w:p w14:paraId="252F0E4D" w14:textId="24C508F8" w:rsidR="001C6862" w:rsidRPr="00B77CF7" w:rsidRDefault="00B77CF7" w:rsidP="00B77CF7">
      <w:pPr>
        <w:spacing w:after="0" w:line="240" w:lineRule="auto"/>
        <w:rPr>
          <w:rFonts w:ascii="Tahoma" w:hAnsi="Tahoma" w:cs="Tahoma"/>
          <w:b/>
          <w:bCs/>
        </w:rPr>
      </w:pPr>
      <w:r w:rsidRPr="767A1FBE">
        <w:rPr>
          <w:rFonts w:ascii="Tahoma" w:hAnsi="Tahoma" w:cs="Tahoma"/>
          <w:b/>
          <w:bCs/>
        </w:rPr>
        <w:t>County Lines and OCGs</w:t>
      </w:r>
    </w:p>
    <w:p w14:paraId="6DF2A75A" w14:textId="3FCC9404" w:rsidR="767A1FBE" w:rsidRDefault="767A1FBE" w:rsidP="767A1FBE">
      <w:pPr>
        <w:spacing w:after="0" w:line="240" w:lineRule="auto"/>
        <w:rPr>
          <w:rFonts w:ascii="Tahoma" w:hAnsi="Tahoma" w:cs="Tahoma"/>
          <w:b/>
          <w:bCs/>
        </w:rPr>
      </w:pPr>
    </w:p>
    <w:p w14:paraId="3DEA7BED" w14:textId="70683309" w:rsidR="001E220D" w:rsidRDefault="00B77CF7" w:rsidP="00B77CF7">
      <w:pPr>
        <w:spacing w:after="0" w:line="240" w:lineRule="auto"/>
        <w:rPr>
          <w:rFonts w:ascii="Tahoma" w:hAnsi="Tahoma" w:cs="Tahoma"/>
        </w:rPr>
      </w:pPr>
      <w:r>
        <w:rPr>
          <w:rFonts w:ascii="Tahoma" w:hAnsi="Tahoma" w:cs="Tahoma"/>
        </w:rPr>
        <w:t xml:space="preserve">Under the Force’s Divisional Review, there is a continued and relentless focus on the pursuit of county lines and those who often seek to exploit those most vulnerable in our communities.  We do this by also working in strong partnership with others such as the Metropolitan Police Service and British Transport Police, with operations often attracting local, national and Cabinet Office attention.  </w:t>
      </w:r>
      <w:r w:rsidR="001E220D">
        <w:rPr>
          <w:rFonts w:ascii="Tahoma" w:hAnsi="Tahoma" w:cs="Tahoma"/>
        </w:rPr>
        <w:t>During the reporting period,</w:t>
      </w:r>
      <w:r>
        <w:rPr>
          <w:rFonts w:ascii="Tahoma" w:hAnsi="Tahoma" w:cs="Tahoma"/>
        </w:rPr>
        <w:t xml:space="preserve"> </w:t>
      </w:r>
      <w:r w:rsidR="001E220D">
        <w:rPr>
          <w:rFonts w:ascii="Tahoma" w:hAnsi="Tahoma" w:cs="Tahoma"/>
        </w:rPr>
        <w:t>the Force has</w:t>
      </w:r>
      <w:r>
        <w:rPr>
          <w:rFonts w:ascii="Tahoma" w:hAnsi="Tahoma" w:cs="Tahoma"/>
        </w:rPr>
        <w:t xml:space="preserve"> continue</w:t>
      </w:r>
      <w:r w:rsidR="001E220D">
        <w:rPr>
          <w:rFonts w:ascii="Tahoma" w:hAnsi="Tahoma" w:cs="Tahoma"/>
        </w:rPr>
        <w:t>d</w:t>
      </w:r>
      <w:r>
        <w:rPr>
          <w:rFonts w:ascii="Tahoma" w:hAnsi="Tahoma" w:cs="Tahoma"/>
        </w:rPr>
        <w:t xml:space="preserve"> to target, disrupt and dismantle a number of county lines; for example an intensification week during March saw in excess of 45 arrests and 52 charges, disrupting 19 county lines</w:t>
      </w:r>
      <w:r w:rsidR="001E220D">
        <w:rPr>
          <w:rFonts w:ascii="Tahoma" w:hAnsi="Tahoma" w:cs="Tahoma"/>
        </w:rPr>
        <w:t xml:space="preserve"> and safeguarding many who were being exploited due to this criminality</w:t>
      </w:r>
      <w:r>
        <w:rPr>
          <w:rFonts w:ascii="Tahoma" w:hAnsi="Tahoma" w:cs="Tahoma"/>
        </w:rPr>
        <w:t xml:space="preserve">. </w:t>
      </w:r>
    </w:p>
    <w:p w14:paraId="25BCC46B" w14:textId="77777777" w:rsidR="001E220D" w:rsidRDefault="001E220D" w:rsidP="00B77CF7">
      <w:pPr>
        <w:spacing w:after="0" w:line="240" w:lineRule="auto"/>
        <w:rPr>
          <w:rFonts w:ascii="Tahoma" w:hAnsi="Tahoma" w:cs="Tahoma"/>
        </w:rPr>
      </w:pPr>
    </w:p>
    <w:p w14:paraId="6E438135" w14:textId="565D44AB" w:rsidR="001E220D" w:rsidRDefault="001E220D" w:rsidP="00B77CF7">
      <w:pPr>
        <w:spacing w:after="0" w:line="240" w:lineRule="auto"/>
        <w:rPr>
          <w:rFonts w:ascii="Tahoma" w:hAnsi="Tahoma" w:cs="Tahoma"/>
        </w:rPr>
      </w:pPr>
      <w:r>
        <w:rPr>
          <w:rFonts w:ascii="Tahoma" w:hAnsi="Tahoma" w:cs="Tahoma"/>
        </w:rPr>
        <w:t>OCGs have also remained subject to relentless targe</w:t>
      </w:r>
      <w:r w:rsidR="00484C0E">
        <w:rPr>
          <w:rFonts w:ascii="Tahoma" w:hAnsi="Tahoma" w:cs="Tahoma"/>
        </w:rPr>
        <w:t>ting and disruption,</w:t>
      </w:r>
      <w:r>
        <w:rPr>
          <w:rFonts w:ascii="Tahoma" w:hAnsi="Tahoma" w:cs="Tahoma"/>
        </w:rPr>
        <w:t xml:space="preserve"> led by the Serious Crime Directorate and supported by other departments across the Force, including the Local Policing Teams.</w:t>
      </w:r>
      <w:r w:rsidR="00484C0E">
        <w:rPr>
          <w:rFonts w:ascii="Tahoma" w:hAnsi="Tahoma" w:cs="Tahoma"/>
        </w:rPr>
        <w:t xml:space="preserve">  These operations are led in close collaboration with others, and as part of national campaigns.  An example of recent activity in this area was the disruption and shutting down of cannabis cultivations as part of Operation Mille.  Warrants were carried out at eight properties in towns including Rochester, Meopham, Greenhithe, Maidstone and Tonbridge, and resulted in the arrest of 9 people and seizure of cannabis, cocaine and weapons.  The Force will not stop in its prevention and pursuit of such offending, and it remains a core part of our Control Strategy.  </w:t>
      </w:r>
    </w:p>
    <w:p w14:paraId="314AE377" w14:textId="77777777" w:rsidR="001E220D" w:rsidRDefault="001E220D" w:rsidP="00B77CF7">
      <w:pPr>
        <w:spacing w:after="0" w:line="240" w:lineRule="auto"/>
        <w:rPr>
          <w:rFonts w:ascii="Tahoma" w:hAnsi="Tahoma" w:cs="Tahoma"/>
        </w:rPr>
      </w:pPr>
    </w:p>
    <w:p w14:paraId="3B427160" w14:textId="10C70AAC" w:rsidR="00B77CF7" w:rsidRDefault="001E220D" w:rsidP="00B77CF7">
      <w:pPr>
        <w:spacing w:after="0" w:line="240" w:lineRule="auto"/>
        <w:rPr>
          <w:rFonts w:ascii="Tahoma" w:hAnsi="Tahoma" w:cs="Tahoma"/>
        </w:rPr>
      </w:pPr>
      <w:r>
        <w:rPr>
          <w:rFonts w:ascii="Tahoma" w:hAnsi="Tahoma" w:cs="Tahoma"/>
        </w:rPr>
        <w:t xml:space="preserve">  </w:t>
      </w:r>
      <w:r w:rsidR="00B77CF7">
        <w:rPr>
          <w:rFonts w:ascii="Tahoma" w:hAnsi="Tahoma" w:cs="Tahoma"/>
        </w:rPr>
        <w:t xml:space="preserve">  </w:t>
      </w:r>
    </w:p>
    <w:p w14:paraId="6FA0B929" w14:textId="77777777" w:rsidR="001C6862" w:rsidRPr="001E0703" w:rsidRDefault="001C6862" w:rsidP="00DB249C">
      <w:pPr>
        <w:jc w:val="both"/>
        <w:rPr>
          <w:rFonts w:ascii="Tahoma" w:hAnsi="Tahoma" w:cs="Tahoma"/>
        </w:rPr>
      </w:pPr>
    </w:p>
    <w:p w14:paraId="7A1D6B20" w14:textId="77777777" w:rsidR="00B04509" w:rsidRDefault="00B04509" w:rsidP="00725EDF">
      <w:pPr>
        <w:pStyle w:val="ListParagraph"/>
        <w:spacing w:after="0" w:line="240" w:lineRule="auto"/>
        <w:ind w:left="0"/>
        <w:rPr>
          <w:rFonts w:ascii="Tahoma" w:hAnsi="Tahoma" w:cs="Tahoma"/>
          <w:b/>
          <w:bCs/>
          <w:color w:val="000000" w:themeColor="text1"/>
          <w:u w:val="single"/>
        </w:rPr>
      </w:pPr>
    </w:p>
    <w:p w14:paraId="765868BA" w14:textId="69B02DD9" w:rsidR="00B04509" w:rsidRPr="00725EDF" w:rsidRDefault="00B04509" w:rsidP="00B04509">
      <w:pPr>
        <w:shd w:val="clear" w:color="auto" w:fill="FFFF00"/>
        <w:spacing w:after="0" w:line="240" w:lineRule="auto"/>
        <w:rPr>
          <w:rFonts w:ascii="Tahoma" w:hAnsi="Tahoma" w:cs="Tahoma"/>
          <w:b/>
          <w:bCs/>
          <w:color w:val="000000" w:themeColor="text1"/>
        </w:rPr>
      </w:pPr>
      <w:r w:rsidRPr="00725EDF">
        <w:rPr>
          <w:rFonts w:ascii="Tahoma" w:hAnsi="Tahoma" w:cs="Tahoma"/>
          <w:b/>
          <w:bCs/>
          <w:color w:val="000000" w:themeColor="text1"/>
        </w:rPr>
        <w:t xml:space="preserve">Priority: </w:t>
      </w:r>
      <w:r>
        <w:rPr>
          <w:rFonts w:ascii="Tahoma" w:hAnsi="Tahoma" w:cs="Tahoma"/>
          <w:b/>
          <w:bCs/>
          <w:color w:val="000000" w:themeColor="text1"/>
        </w:rPr>
        <w:t>Be Visible and Responsive to the needs of the Communities</w:t>
      </w:r>
    </w:p>
    <w:p w14:paraId="20CB3942" w14:textId="77777777" w:rsidR="00B04509" w:rsidRDefault="00B04509" w:rsidP="00725EDF">
      <w:pPr>
        <w:pStyle w:val="ListParagraph"/>
        <w:spacing w:after="0" w:line="240" w:lineRule="auto"/>
        <w:ind w:left="0"/>
        <w:rPr>
          <w:rFonts w:ascii="Tahoma" w:hAnsi="Tahoma" w:cs="Tahoma"/>
          <w:b/>
          <w:bCs/>
          <w:color w:val="000000" w:themeColor="text1"/>
          <w:u w:val="single"/>
        </w:rPr>
      </w:pPr>
    </w:p>
    <w:p w14:paraId="0048A1DB" w14:textId="65175C0C" w:rsidR="0033456F" w:rsidRPr="0033456F" w:rsidRDefault="0033456F" w:rsidP="00725EDF">
      <w:pPr>
        <w:pStyle w:val="ListParagraph"/>
        <w:spacing w:after="0" w:line="240" w:lineRule="auto"/>
        <w:ind w:left="0"/>
        <w:rPr>
          <w:rFonts w:ascii="Tahoma" w:hAnsi="Tahoma" w:cs="Tahoma"/>
          <w:b/>
          <w:bCs/>
          <w:color w:val="000000" w:themeColor="text1"/>
          <w:u w:val="single"/>
        </w:rPr>
      </w:pPr>
      <w:r w:rsidRPr="0033456F">
        <w:rPr>
          <w:rFonts w:ascii="Tahoma" w:hAnsi="Tahoma" w:cs="Tahoma"/>
          <w:b/>
          <w:bCs/>
          <w:color w:val="000000" w:themeColor="text1"/>
          <w:u w:val="single"/>
        </w:rPr>
        <w:t>Force Crime and Incident Response</w:t>
      </w:r>
    </w:p>
    <w:p w14:paraId="5400FDE7" w14:textId="77777777" w:rsidR="0033456F" w:rsidRDefault="0033456F" w:rsidP="00725EDF">
      <w:pPr>
        <w:pStyle w:val="ListParagraph"/>
        <w:spacing w:after="0" w:line="240" w:lineRule="auto"/>
        <w:ind w:left="0"/>
        <w:rPr>
          <w:rFonts w:ascii="Tahoma" w:hAnsi="Tahoma" w:cs="Tahoma"/>
          <w:b/>
          <w:bCs/>
          <w:color w:val="000000" w:themeColor="text1"/>
          <w:u w:val="single"/>
        </w:rPr>
      </w:pPr>
    </w:p>
    <w:tbl>
      <w:tblPr>
        <w:tblStyle w:val="TableGrid"/>
        <w:tblW w:w="9776" w:type="dxa"/>
        <w:tblInd w:w="-5" w:type="dxa"/>
        <w:tblLook w:val="04A0" w:firstRow="1" w:lastRow="0" w:firstColumn="1" w:lastColumn="0" w:noHBand="0" w:noVBand="1"/>
      </w:tblPr>
      <w:tblGrid>
        <w:gridCol w:w="3402"/>
        <w:gridCol w:w="1701"/>
        <w:gridCol w:w="1560"/>
        <w:gridCol w:w="1559"/>
        <w:gridCol w:w="1554"/>
      </w:tblGrid>
      <w:tr w:rsidR="00BB67F8" w:rsidRPr="000561A3" w14:paraId="6DF8F344" w14:textId="77777777" w:rsidTr="002F60E9">
        <w:trPr>
          <w:trHeight w:val="124"/>
        </w:trPr>
        <w:tc>
          <w:tcPr>
            <w:tcW w:w="3402" w:type="dxa"/>
            <w:tcBorders>
              <w:bottom w:val="double" w:sz="4" w:space="0" w:color="auto"/>
            </w:tcBorders>
            <w:shd w:val="clear" w:color="auto" w:fill="D9D9D9" w:themeFill="background1" w:themeFillShade="D9"/>
            <w:vAlign w:val="center"/>
          </w:tcPr>
          <w:p w14:paraId="717172EB" w14:textId="7DBD10B5" w:rsidR="00BB67F8" w:rsidRPr="000561A3" w:rsidRDefault="00BB67F8" w:rsidP="004F4D6F">
            <w:pPr>
              <w:jc w:val="center"/>
              <w:rPr>
                <w:rFonts w:ascii="Tahoma" w:eastAsia="Calibri" w:hAnsi="Tahoma" w:cs="Tahoma"/>
                <w:b/>
                <w:bCs/>
              </w:rPr>
            </w:pPr>
            <w:bookmarkStart w:id="0" w:name="_Hlk187919852"/>
            <w:r w:rsidRPr="000561A3">
              <w:rPr>
                <w:rFonts w:ascii="Tahoma" w:eastAsia="Calibri" w:hAnsi="Tahoma" w:cs="Tahoma"/>
                <w:b/>
                <w:bCs/>
              </w:rPr>
              <w:t>999 Contact</w:t>
            </w:r>
          </w:p>
        </w:tc>
        <w:tc>
          <w:tcPr>
            <w:tcW w:w="1701" w:type="dxa"/>
            <w:tcBorders>
              <w:bottom w:val="double" w:sz="4" w:space="0" w:color="auto"/>
            </w:tcBorders>
            <w:shd w:val="clear" w:color="auto" w:fill="D9D9D9" w:themeFill="background1" w:themeFillShade="D9"/>
            <w:vAlign w:val="center"/>
          </w:tcPr>
          <w:p w14:paraId="2852A58C" w14:textId="77777777" w:rsidR="00BB67F8" w:rsidRPr="00C00D91" w:rsidRDefault="00BB67F8" w:rsidP="004F4D6F">
            <w:pPr>
              <w:jc w:val="center"/>
              <w:rPr>
                <w:rFonts w:ascii="Tahoma" w:eastAsia="Calibri" w:hAnsi="Tahoma" w:cs="Tahoma"/>
              </w:rPr>
            </w:pPr>
            <w:r>
              <w:rPr>
                <w:rFonts w:ascii="Tahoma" w:eastAsia="Calibri" w:hAnsi="Tahoma" w:cs="Tahoma"/>
              </w:rPr>
              <w:t>April 2021 to March 2022</w:t>
            </w:r>
          </w:p>
        </w:tc>
        <w:tc>
          <w:tcPr>
            <w:tcW w:w="1560" w:type="dxa"/>
            <w:tcBorders>
              <w:bottom w:val="double" w:sz="4" w:space="0" w:color="auto"/>
            </w:tcBorders>
            <w:shd w:val="clear" w:color="auto" w:fill="D9D9D9" w:themeFill="background1" w:themeFillShade="D9"/>
            <w:vAlign w:val="center"/>
          </w:tcPr>
          <w:p w14:paraId="05A5AF39" w14:textId="77777777" w:rsidR="00BB67F8" w:rsidRPr="00C00D91" w:rsidRDefault="00BB67F8" w:rsidP="004F4D6F">
            <w:pPr>
              <w:jc w:val="center"/>
              <w:rPr>
                <w:rFonts w:ascii="Tahoma" w:eastAsia="Calibri" w:hAnsi="Tahoma" w:cs="Tahoma"/>
              </w:rPr>
            </w:pPr>
            <w:r>
              <w:rPr>
                <w:rFonts w:ascii="Tahoma" w:eastAsia="Calibri" w:hAnsi="Tahoma" w:cs="Tahoma"/>
              </w:rPr>
              <w:t>April 2022 to March 2023</w:t>
            </w:r>
          </w:p>
        </w:tc>
        <w:tc>
          <w:tcPr>
            <w:tcW w:w="1559" w:type="dxa"/>
            <w:tcBorders>
              <w:bottom w:val="double" w:sz="4" w:space="0" w:color="auto"/>
            </w:tcBorders>
            <w:shd w:val="clear" w:color="auto" w:fill="D9D9D9" w:themeFill="background1" w:themeFillShade="D9"/>
            <w:vAlign w:val="center"/>
          </w:tcPr>
          <w:p w14:paraId="403FDC7F" w14:textId="77777777" w:rsidR="00BB67F8" w:rsidRPr="000561A3" w:rsidRDefault="00BB67F8" w:rsidP="004F4D6F">
            <w:pPr>
              <w:jc w:val="center"/>
              <w:rPr>
                <w:rFonts w:ascii="Tahoma" w:eastAsia="Calibri" w:hAnsi="Tahoma" w:cs="Tahoma"/>
                <w:b/>
                <w:bCs/>
              </w:rPr>
            </w:pPr>
            <w:r>
              <w:rPr>
                <w:rFonts w:ascii="Tahoma" w:eastAsia="Calibri" w:hAnsi="Tahoma" w:cs="Tahoma"/>
              </w:rPr>
              <w:t>April 2023 to March 2024</w:t>
            </w:r>
          </w:p>
        </w:tc>
        <w:tc>
          <w:tcPr>
            <w:tcW w:w="1554" w:type="dxa"/>
            <w:tcBorders>
              <w:bottom w:val="double" w:sz="4" w:space="0" w:color="auto"/>
            </w:tcBorders>
            <w:shd w:val="clear" w:color="auto" w:fill="D9D9D9" w:themeFill="background1" w:themeFillShade="D9"/>
            <w:vAlign w:val="center"/>
          </w:tcPr>
          <w:p w14:paraId="6CFAD637" w14:textId="77777777" w:rsidR="00BB67F8" w:rsidRDefault="00BB67F8" w:rsidP="004F4D6F">
            <w:pPr>
              <w:jc w:val="center"/>
              <w:rPr>
                <w:rFonts w:ascii="Tahoma" w:eastAsia="Calibri" w:hAnsi="Tahoma" w:cs="Tahoma"/>
              </w:rPr>
            </w:pPr>
            <w:r>
              <w:rPr>
                <w:rFonts w:ascii="Tahoma" w:eastAsia="Calibri" w:hAnsi="Tahoma" w:cs="Tahoma"/>
              </w:rPr>
              <w:t>April 2024 to March 2025</w:t>
            </w:r>
          </w:p>
        </w:tc>
      </w:tr>
      <w:bookmarkEnd w:id="0"/>
      <w:tr w:rsidR="00BB67F8" w:rsidRPr="000561A3" w14:paraId="3CE15A55" w14:textId="77777777" w:rsidTr="002F60E9">
        <w:tc>
          <w:tcPr>
            <w:tcW w:w="3402" w:type="dxa"/>
            <w:tcBorders>
              <w:top w:val="double" w:sz="4" w:space="0" w:color="auto"/>
            </w:tcBorders>
            <w:vAlign w:val="center"/>
          </w:tcPr>
          <w:p w14:paraId="02995824" w14:textId="77777777" w:rsidR="00BB67F8" w:rsidRPr="000561A3" w:rsidRDefault="00BB67F8" w:rsidP="002F60E9">
            <w:pPr>
              <w:jc w:val="left"/>
              <w:rPr>
                <w:rFonts w:ascii="Tahoma" w:eastAsia="Calibri" w:hAnsi="Tahoma" w:cs="Tahoma"/>
              </w:rPr>
            </w:pPr>
            <w:r w:rsidRPr="000561A3">
              <w:rPr>
                <w:rFonts w:ascii="Tahoma" w:eastAsia="Calibri" w:hAnsi="Tahoma" w:cs="Tahoma"/>
              </w:rPr>
              <w:t>Calls Received</w:t>
            </w:r>
          </w:p>
        </w:tc>
        <w:tc>
          <w:tcPr>
            <w:tcW w:w="1701" w:type="dxa"/>
            <w:tcBorders>
              <w:top w:val="double" w:sz="4" w:space="0" w:color="auto"/>
            </w:tcBorders>
            <w:vAlign w:val="center"/>
          </w:tcPr>
          <w:p w14:paraId="4FD707DD" w14:textId="77777777" w:rsidR="00BB67F8" w:rsidRPr="00321DE7" w:rsidRDefault="00BB67F8" w:rsidP="004F4D6F">
            <w:pPr>
              <w:jc w:val="center"/>
              <w:rPr>
                <w:rFonts w:ascii="Tahoma" w:hAnsi="Tahoma" w:cs="Tahoma"/>
              </w:rPr>
            </w:pPr>
            <w:r w:rsidRPr="00321DE7">
              <w:rPr>
                <w:rFonts w:ascii="Tahoma" w:hAnsi="Tahoma" w:cs="Tahoma"/>
              </w:rPr>
              <w:t>354,887</w:t>
            </w:r>
          </w:p>
        </w:tc>
        <w:tc>
          <w:tcPr>
            <w:tcW w:w="1560" w:type="dxa"/>
            <w:tcBorders>
              <w:top w:val="double" w:sz="4" w:space="0" w:color="auto"/>
            </w:tcBorders>
            <w:vAlign w:val="center"/>
          </w:tcPr>
          <w:p w14:paraId="07557844" w14:textId="77777777" w:rsidR="00BB67F8" w:rsidRPr="0055259B" w:rsidRDefault="00BB67F8" w:rsidP="004F4D6F">
            <w:pPr>
              <w:jc w:val="center"/>
              <w:rPr>
                <w:rFonts w:ascii="Tahoma" w:hAnsi="Tahoma" w:cs="Tahoma"/>
              </w:rPr>
            </w:pPr>
            <w:r w:rsidRPr="0055259B">
              <w:rPr>
                <w:rFonts w:ascii="Tahoma" w:hAnsi="Tahoma" w:cs="Tahoma"/>
              </w:rPr>
              <w:t>382,689</w:t>
            </w:r>
          </w:p>
        </w:tc>
        <w:tc>
          <w:tcPr>
            <w:tcW w:w="1559" w:type="dxa"/>
            <w:tcBorders>
              <w:top w:val="double" w:sz="4" w:space="0" w:color="auto"/>
            </w:tcBorders>
            <w:vAlign w:val="center"/>
          </w:tcPr>
          <w:p w14:paraId="74F37E0D" w14:textId="77777777" w:rsidR="00BB67F8" w:rsidRPr="00B20EF5" w:rsidRDefault="00BB67F8" w:rsidP="004F4D6F">
            <w:pPr>
              <w:jc w:val="center"/>
              <w:rPr>
                <w:rFonts w:ascii="Tahoma" w:hAnsi="Tahoma" w:cs="Tahoma"/>
              </w:rPr>
            </w:pPr>
            <w:r w:rsidRPr="00B20EF5">
              <w:rPr>
                <w:rFonts w:ascii="Tahoma" w:hAnsi="Tahoma" w:cs="Tahoma"/>
              </w:rPr>
              <w:t>384,460</w:t>
            </w:r>
          </w:p>
        </w:tc>
        <w:tc>
          <w:tcPr>
            <w:tcW w:w="1554" w:type="dxa"/>
            <w:tcBorders>
              <w:top w:val="double" w:sz="4" w:space="0" w:color="auto"/>
            </w:tcBorders>
            <w:vAlign w:val="center"/>
          </w:tcPr>
          <w:p w14:paraId="3C379F26" w14:textId="77777777" w:rsidR="00BB67F8" w:rsidRPr="00F267DA" w:rsidRDefault="00BB67F8" w:rsidP="004F4D6F">
            <w:pPr>
              <w:jc w:val="center"/>
              <w:rPr>
                <w:rFonts w:ascii="Tahoma" w:eastAsia="Calibri" w:hAnsi="Tahoma" w:cs="Tahoma"/>
              </w:rPr>
            </w:pPr>
            <w:r>
              <w:rPr>
                <w:rFonts w:ascii="Tahoma" w:eastAsia="Calibri" w:hAnsi="Tahoma" w:cs="Tahoma"/>
              </w:rPr>
              <w:t>363,396</w:t>
            </w:r>
          </w:p>
        </w:tc>
      </w:tr>
      <w:tr w:rsidR="00BB67F8" w:rsidRPr="000561A3" w14:paraId="0617DE75" w14:textId="77777777" w:rsidTr="002F60E9">
        <w:tc>
          <w:tcPr>
            <w:tcW w:w="3402" w:type="dxa"/>
            <w:vAlign w:val="center"/>
          </w:tcPr>
          <w:p w14:paraId="2C534D71" w14:textId="77777777" w:rsidR="00BB67F8" w:rsidRPr="000561A3" w:rsidRDefault="00BB67F8" w:rsidP="002F60E9">
            <w:pPr>
              <w:jc w:val="left"/>
              <w:rPr>
                <w:rFonts w:ascii="Tahoma" w:eastAsia="Calibri" w:hAnsi="Tahoma" w:cs="Tahoma"/>
              </w:rPr>
            </w:pPr>
            <w:r w:rsidRPr="000561A3">
              <w:rPr>
                <w:rFonts w:ascii="Tahoma" w:eastAsia="Calibri" w:hAnsi="Tahoma" w:cs="Tahoma"/>
              </w:rPr>
              <w:t>Calls Answered</w:t>
            </w:r>
          </w:p>
        </w:tc>
        <w:tc>
          <w:tcPr>
            <w:tcW w:w="1701" w:type="dxa"/>
            <w:vAlign w:val="center"/>
          </w:tcPr>
          <w:p w14:paraId="12CEA45F" w14:textId="77777777" w:rsidR="00BB67F8" w:rsidRPr="00321DE7" w:rsidRDefault="00BB67F8" w:rsidP="004F4D6F">
            <w:pPr>
              <w:jc w:val="center"/>
              <w:rPr>
                <w:rFonts w:ascii="Tahoma" w:hAnsi="Tahoma" w:cs="Tahoma"/>
              </w:rPr>
            </w:pPr>
            <w:r w:rsidRPr="00321DE7">
              <w:rPr>
                <w:rFonts w:ascii="Tahoma" w:hAnsi="Tahoma" w:cs="Tahoma"/>
              </w:rPr>
              <w:t>349,804</w:t>
            </w:r>
          </w:p>
        </w:tc>
        <w:tc>
          <w:tcPr>
            <w:tcW w:w="1560" w:type="dxa"/>
            <w:vAlign w:val="center"/>
          </w:tcPr>
          <w:p w14:paraId="1C848C75" w14:textId="77777777" w:rsidR="00BB67F8" w:rsidRPr="0055259B" w:rsidRDefault="00BB67F8" w:rsidP="004F4D6F">
            <w:pPr>
              <w:jc w:val="center"/>
              <w:rPr>
                <w:rFonts w:ascii="Tahoma" w:hAnsi="Tahoma" w:cs="Tahoma"/>
              </w:rPr>
            </w:pPr>
            <w:r w:rsidRPr="0055259B">
              <w:rPr>
                <w:rFonts w:ascii="Tahoma" w:hAnsi="Tahoma" w:cs="Tahoma"/>
              </w:rPr>
              <w:t>377,763</w:t>
            </w:r>
          </w:p>
        </w:tc>
        <w:tc>
          <w:tcPr>
            <w:tcW w:w="1559" w:type="dxa"/>
            <w:vAlign w:val="center"/>
          </w:tcPr>
          <w:p w14:paraId="240D23F8" w14:textId="77777777" w:rsidR="00BB67F8" w:rsidRPr="00B20EF5" w:rsidRDefault="00BB67F8" w:rsidP="004F4D6F">
            <w:pPr>
              <w:jc w:val="center"/>
              <w:rPr>
                <w:rFonts w:ascii="Tahoma" w:hAnsi="Tahoma" w:cs="Tahoma"/>
              </w:rPr>
            </w:pPr>
            <w:r w:rsidRPr="00B20EF5">
              <w:rPr>
                <w:rFonts w:ascii="Tahoma" w:hAnsi="Tahoma" w:cs="Tahoma"/>
              </w:rPr>
              <w:t>383,132</w:t>
            </w:r>
          </w:p>
        </w:tc>
        <w:tc>
          <w:tcPr>
            <w:tcW w:w="1554" w:type="dxa"/>
            <w:vAlign w:val="center"/>
          </w:tcPr>
          <w:p w14:paraId="2729B52A" w14:textId="77777777" w:rsidR="00BB67F8" w:rsidRPr="00F267DA" w:rsidRDefault="00BB67F8" w:rsidP="004F4D6F">
            <w:pPr>
              <w:jc w:val="center"/>
              <w:rPr>
                <w:rFonts w:ascii="Tahoma" w:eastAsia="Calibri" w:hAnsi="Tahoma" w:cs="Tahoma"/>
              </w:rPr>
            </w:pPr>
            <w:r>
              <w:rPr>
                <w:rFonts w:ascii="Tahoma" w:eastAsia="Calibri" w:hAnsi="Tahoma" w:cs="Tahoma"/>
              </w:rPr>
              <w:t>361,813</w:t>
            </w:r>
          </w:p>
        </w:tc>
      </w:tr>
      <w:tr w:rsidR="00BB67F8" w:rsidRPr="000561A3" w14:paraId="786214B6" w14:textId="77777777" w:rsidTr="002F60E9">
        <w:tc>
          <w:tcPr>
            <w:tcW w:w="3402" w:type="dxa"/>
            <w:vAlign w:val="center"/>
          </w:tcPr>
          <w:p w14:paraId="5CBDEBF2" w14:textId="77777777" w:rsidR="00BB67F8" w:rsidRPr="000561A3" w:rsidRDefault="00BB67F8" w:rsidP="002F60E9">
            <w:pPr>
              <w:jc w:val="left"/>
              <w:rPr>
                <w:rFonts w:ascii="Tahoma" w:eastAsia="Calibri" w:hAnsi="Tahoma" w:cs="Tahoma"/>
              </w:rPr>
            </w:pPr>
            <w:r w:rsidRPr="000561A3">
              <w:rPr>
                <w:rFonts w:ascii="Tahoma" w:eastAsia="Calibri" w:hAnsi="Tahoma" w:cs="Tahoma"/>
              </w:rPr>
              <w:t>Calls Not Answered</w:t>
            </w:r>
          </w:p>
        </w:tc>
        <w:tc>
          <w:tcPr>
            <w:tcW w:w="1701" w:type="dxa"/>
            <w:vAlign w:val="center"/>
          </w:tcPr>
          <w:p w14:paraId="7D117AA7" w14:textId="77777777" w:rsidR="00BB67F8" w:rsidRPr="00321DE7" w:rsidRDefault="00BB67F8" w:rsidP="004F4D6F">
            <w:pPr>
              <w:jc w:val="center"/>
              <w:rPr>
                <w:rFonts w:ascii="Tahoma" w:hAnsi="Tahoma" w:cs="Tahoma"/>
              </w:rPr>
            </w:pPr>
            <w:r w:rsidRPr="00321DE7">
              <w:rPr>
                <w:rFonts w:ascii="Tahoma" w:hAnsi="Tahoma" w:cs="Tahoma"/>
              </w:rPr>
              <w:t>5,083</w:t>
            </w:r>
          </w:p>
        </w:tc>
        <w:tc>
          <w:tcPr>
            <w:tcW w:w="1560" w:type="dxa"/>
            <w:vAlign w:val="center"/>
          </w:tcPr>
          <w:p w14:paraId="229B4D69" w14:textId="77777777" w:rsidR="00BB67F8" w:rsidRPr="0055259B" w:rsidRDefault="00BB67F8" w:rsidP="004F4D6F">
            <w:pPr>
              <w:jc w:val="center"/>
              <w:rPr>
                <w:rFonts w:ascii="Tahoma" w:eastAsia="Calibri" w:hAnsi="Tahoma" w:cs="Tahoma"/>
              </w:rPr>
            </w:pPr>
            <w:r w:rsidRPr="0055259B">
              <w:rPr>
                <w:rFonts w:ascii="Tahoma" w:eastAsia="Calibri" w:hAnsi="Tahoma" w:cs="Tahoma"/>
              </w:rPr>
              <w:t>4,926</w:t>
            </w:r>
          </w:p>
        </w:tc>
        <w:tc>
          <w:tcPr>
            <w:tcW w:w="1559" w:type="dxa"/>
            <w:vAlign w:val="center"/>
          </w:tcPr>
          <w:p w14:paraId="3AF5689F" w14:textId="77777777" w:rsidR="00BB67F8" w:rsidRPr="00B20EF5" w:rsidRDefault="00BB67F8" w:rsidP="004F4D6F">
            <w:pPr>
              <w:jc w:val="center"/>
              <w:rPr>
                <w:rFonts w:ascii="Tahoma" w:eastAsia="Calibri" w:hAnsi="Tahoma" w:cs="Tahoma"/>
              </w:rPr>
            </w:pPr>
            <w:r w:rsidRPr="00B20EF5">
              <w:rPr>
                <w:rFonts w:ascii="Tahoma" w:eastAsia="Calibri" w:hAnsi="Tahoma" w:cs="Tahoma"/>
              </w:rPr>
              <w:t>1,328</w:t>
            </w:r>
          </w:p>
        </w:tc>
        <w:tc>
          <w:tcPr>
            <w:tcW w:w="1554" w:type="dxa"/>
            <w:vAlign w:val="center"/>
          </w:tcPr>
          <w:p w14:paraId="73BB6D6E" w14:textId="77777777" w:rsidR="00BB67F8" w:rsidRPr="00F267DA" w:rsidRDefault="00BB67F8" w:rsidP="004F4D6F">
            <w:pPr>
              <w:jc w:val="center"/>
              <w:rPr>
                <w:rFonts w:ascii="Tahoma" w:eastAsia="Calibri" w:hAnsi="Tahoma" w:cs="Tahoma"/>
              </w:rPr>
            </w:pPr>
            <w:r>
              <w:rPr>
                <w:rFonts w:ascii="Tahoma" w:eastAsia="Calibri" w:hAnsi="Tahoma" w:cs="Tahoma"/>
              </w:rPr>
              <w:t>1,583</w:t>
            </w:r>
          </w:p>
        </w:tc>
      </w:tr>
      <w:tr w:rsidR="00BB67F8" w:rsidRPr="000561A3" w14:paraId="01F5D2B3" w14:textId="77777777" w:rsidTr="002F60E9">
        <w:trPr>
          <w:trHeight w:val="50"/>
        </w:trPr>
        <w:tc>
          <w:tcPr>
            <w:tcW w:w="3402" w:type="dxa"/>
            <w:vAlign w:val="center"/>
          </w:tcPr>
          <w:p w14:paraId="65C17EC7" w14:textId="77777777" w:rsidR="00BB67F8" w:rsidRPr="000561A3" w:rsidRDefault="00BB67F8" w:rsidP="002F60E9">
            <w:pPr>
              <w:jc w:val="left"/>
              <w:rPr>
                <w:rFonts w:ascii="Tahoma" w:eastAsia="Calibri" w:hAnsi="Tahoma" w:cs="Tahoma"/>
              </w:rPr>
            </w:pPr>
            <w:r w:rsidRPr="000561A3">
              <w:rPr>
                <w:rFonts w:ascii="Tahoma" w:eastAsia="Calibri" w:hAnsi="Tahoma" w:cs="Tahoma"/>
              </w:rPr>
              <w:t>% Not Answered</w:t>
            </w:r>
          </w:p>
        </w:tc>
        <w:tc>
          <w:tcPr>
            <w:tcW w:w="1701" w:type="dxa"/>
            <w:vAlign w:val="center"/>
          </w:tcPr>
          <w:p w14:paraId="4B299174" w14:textId="77777777" w:rsidR="00BB67F8" w:rsidRPr="00321DE7" w:rsidRDefault="00BB67F8" w:rsidP="004F4D6F">
            <w:pPr>
              <w:jc w:val="center"/>
              <w:rPr>
                <w:rFonts w:ascii="Tahoma" w:hAnsi="Tahoma" w:cs="Tahoma"/>
              </w:rPr>
            </w:pPr>
            <w:r w:rsidRPr="00321DE7">
              <w:rPr>
                <w:rFonts w:ascii="Tahoma" w:hAnsi="Tahoma" w:cs="Tahoma"/>
              </w:rPr>
              <w:t>1.43%</w:t>
            </w:r>
          </w:p>
        </w:tc>
        <w:tc>
          <w:tcPr>
            <w:tcW w:w="1560" w:type="dxa"/>
            <w:vAlign w:val="center"/>
          </w:tcPr>
          <w:p w14:paraId="14BDDDF8" w14:textId="77777777" w:rsidR="00BB67F8" w:rsidRPr="0055259B" w:rsidRDefault="00BB67F8" w:rsidP="004F4D6F">
            <w:pPr>
              <w:jc w:val="center"/>
              <w:rPr>
                <w:rFonts w:ascii="Tahoma" w:hAnsi="Tahoma" w:cs="Tahoma"/>
              </w:rPr>
            </w:pPr>
            <w:r w:rsidRPr="0055259B">
              <w:rPr>
                <w:rFonts w:ascii="Tahoma" w:hAnsi="Tahoma" w:cs="Tahoma"/>
              </w:rPr>
              <w:t>1.29%</w:t>
            </w:r>
          </w:p>
        </w:tc>
        <w:tc>
          <w:tcPr>
            <w:tcW w:w="1559" w:type="dxa"/>
            <w:vAlign w:val="center"/>
          </w:tcPr>
          <w:p w14:paraId="52F929DE" w14:textId="77777777" w:rsidR="00BB67F8" w:rsidRPr="00B20EF5" w:rsidRDefault="00BB67F8" w:rsidP="004F4D6F">
            <w:pPr>
              <w:jc w:val="center"/>
              <w:rPr>
                <w:rFonts w:ascii="Tahoma" w:hAnsi="Tahoma" w:cs="Tahoma"/>
              </w:rPr>
            </w:pPr>
            <w:r w:rsidRPr="00B20EF5">
              <w:rPr>
                <w:rFonts w:ascii="Tahoma" w:hAnsi="Tahoma" w:cs="Tahoma"/>
              </w:rPr>
              <w:t>0.35%</w:t>
            </w:r>
          </w:p>
        </w:tc>
        <w:tc>
          <w:tcPr>
            <w:tcW w:w="1554" w:type="dxa"/>
            <w:vAlign w:val="center"/>
          </w:tcPr>
          <w:p w14:paraId="3BC7FB05" w14:textId="77777777" w:rsidR="00BB67F8" w:rsidRPr="00F267DA" w:rsidRDefault="00BB67F8" w:rsidP="004F4D6F">
            <w:pPr>
              <w:jc w:val="center"/>
              <w:rPr>
                <w:rFonts w:ascii="Tahoma" w:eastAsia="Calibri" w:hAnsi="Tahoma" w:cs="Tahoma"/>
              </w:rPr>
            </w:pPr>
            <w:r>
              <w:rPr>
                <w:rFonts w:ascii="Tahoma" w:eastAsia="Calibri" w:hAnsi="Tahoma" w:cs="Tahoma"/>
              </w:rPr>
              <w:t>0.44%</w:t>
            </w:r>
          </w:p>
        </w:tc>
      </w:tr>
      <w:tr w:rsidR="00BB67F8" w:rsidRPr="000561A3" w14:paraId="1084E39A" w14:textId="77777777" w:rsidTr="002F60E9">
        <w:trPr>
          <w:trHeight w:val="50"/>
        </w:trPr>
        <w:tc>
          <w:tcPr>
            <w:tcW w:w="3402" w:type="dxa"/>
            <w:vAlign w:val="center"/>
          </w:tcPr>
          <w:p w14:paraId="4EA0D55F" w14:textId="77777777" w:rsidR="00BB67F8" w:rsidRPr="000561A3" w:rsidRDefault="00BB67F8" w:rsidP="002F60E9">
            <w:pPr>
              <w:jc w:val="left"/>
              <w:rPr>
                <w:rFonts w:ascii="Tahoma" w:eastAsia="Calibri" w:hAnsi="Tahoma" w:cs="Tahoma"/>
              </w:rPr>
            </w:pPr>
            <w:r w:rsidRPr="000561A3">
              <w:rPr>
                <w:rFonts w:ascii="Tahoma" w:eastAsia="Calibri" w:hAnsi="Tahoma" w:cs="Tahoma"/>
              </w:rPr>
              <w:t>Average Time to Answer</w:t>
            </w:r>
          </w:p>
        </w:tc>
        <w:tc>
          <w:tcPr>
            <w:tcW w:w="1701" w:type="dxa"/>
            <w:vAlign w:val="center"/>
          </w:tcPr>
          <w:p w14:paraId="0B268E23" w14:textId="77777777" w:rsidR="00BB67F8" w:rsidRPr="00321DE7" w:rsidRDefault="00BB67F8" w:rsidP="004F4D6F">
            <w:pPr>
              <w:jc w:val="center"/>
              <w:rPr>
                <w:rFonts w:ascii="Tahoma" w:eastAsia="Calibri" w:hAnsi="Tahoma" w:cs="Tahoma"/>
              </w:rPr>
            </w:pPr>
            <w:r w:rsidRPr="00321DE7">
              <w:rPr>
                <w:rFonts w:ascii="Tahoma" w:eastAsia="Calibri" w:hAnsi="Tahoma" w:cs="Tahoma"/>
              </w:rPr>
              <w:t>16 sec</w:t>
            </w:r>
          </w:p>
        </w:tc>
        <w:tc>
          <w:tcPr>
            <w:tcW w:w="1560" w:type="dxa"/>
            <w:vAlign w:val="center"/>
          </w:tcPr>
          <w:p w14:paraId="6127790E" w14:textId="77777777" w:rsidR="00BB67F8" w:rsidRPr="0055259B" w:rsidRDefault="00BB67F8" w:rsidP="004F4D6F">
            <w:pPr>
              <w:jc w:val="center"/>
              <w:rPr>
                <w:rFonts w:ascii="Tahoma" w:eastAsia="Calibri" w:hAnsi="Tahoma" w:cs="Tahoma"/>
              </w:rPr>
            </w:pPr>
            <w:r w:rsidRPr="0055259B">
              <w:rPr>
                <w:rFonts w:ascii="Tahoma" w:eastAsia="Calibri" w:hAnsi="Tahoma" w:cs="Tahoma"/>
              </w:rPr>
              <w:t>18 sec</w:t>
            </w:r>
          </w:p>
        </w:tc>
        <w:tc>
          <w:tcPr>
            <w:tcW w:w="1559" w:type="dxa"/>
            <w:vAlign w:val="center"/>
          </w:tcPr>
          <w:p w14:paraId="425BEB99" w14:textId="77777777" w:rsidR="00BB67F8" w:rsidRPr="00B20EF5" w:rsidRDefault="00BB67F8" w:rsidP="004F4D6F">
            <w:pPr>
              <w:jc w:val="center"/>
              <w:rPr>
                <w:rFonts w:ascii="Tahoma" w:eastAsia="Calibri" w:hAnsi="Tahoma" w:cs="Tahoma"/>
              </w:rPr>
            </w:pPr>
            <w:r w:rsidRPr="00B20EF5">
              <w:rPr>
                <w:rFonts w:ascii="Tahoma" w:eastAsia="Calibri" w:hAnsi="Tahoma" w:cs="Tahoma"/>
              </w:rPr>
              <w:t>10 sec</w:t>
            </w:r>
          </w:p>
        </w:tc>
        <w:tc>
          <w:tcPr>
            <w:tcW w:w="1554" w:type="dxa"/>
            <w:vAlign w:val="center"/>
          </w:tcPr>
          <w:p w14:paraId="5B6A1A6E" w14:textId="77777777" w:rsidR="00BB67F8" w:rsidRDefault="00BB67F8" w:rsidP="004F4D6F">
            <w:pPr>
              <w:jc w:val="center"/>
              <w:rPr>
                <w:rFonts w:ascii="Tahoma" w:eastAsia="Calibri" w:hAnsi="Tahoma" w:cs="Tahoma"/>
              </w:rPr>
            </w:pPr>
            <w:r>
              <w:rPr>
                <w:rFonts w:ascii="Tahoma" w:eastAsia="Calibri" w:hAnsi="Tahoma" w:cs="Tahoma"/>
              </w:rPr>
              <w:t>3 sec</w:t>
            </w:r>
          </w:p>
        </w:tc>
      </w:tr>
      <w:tr w:rsidR="00BB67F8" w:rsidRPr="000561A3" w14:paraId="33BA5450" w14:textId="77777777" w:rsidTr="002F60E9">
        <w:tc>
          <w:tcPr>
            <w:tcW w:w="3402" w:type="dxa"/>
            <w:vAlign w:val="center"/>
          </w:tcPr>
          <w:p w14:paraId="551C452A" w14:textId="77777777" w:rsidR="00BB67F8" w:rsidRPr="000561A3" w:rsidRDefault="00BB67F8" w:rsidP="002F60E9">
            <w:pPr>
              <w:jc w:val="left"/>
              <w:rPr>
                <w:rFonts w:ascii="Tahoma" w:eastAsia="Calibri" w:hAnsi="Tahoma" w:cs="Tahoma"/>
              </w:rPr>
            </w:pPr>
            <w:r w:rsidRPr="000561A3">
              <w:rPr>
                <w:rFonts w:ascii="Tahoma" w:eastAsia="Calibri" w:hAnsi="Tahoma" w:cs="Tahoma"/>
              </w:rPr>
              <w:t>% Answered Under 10 Seconds</w:t>
            </w:r>
          </w:p>
        </w:tc>
        <w:tc>
          <w:tcPr>
            <w:tcW w:w="1701" w:type="dxa"/>
            <w:vAlign w:val="center"/>
          </w:tcPr>
          <w:p w14:paraId="38963B45" w14:textId="77777777" w:rsidR="00BB67F8" w:rsidRPr="00321DE7" w:rsidRDefault="00BB67F8" w:rsidP="004F4D6F">
            <w:pPr>
              <w:jc w:val="center"/>
              <w:rPr>
                <w:rFonts w:ascii="Tahoma" w:eastAsia="Calibri" w:hAnsi="Tahoma" w:cs="Tahoma"/>
              </w:rPr>
            </w:pPr>
            <w:r w:rsidRPr="00321DE7">
              <w:rPr>
                <w:rFonts w:ascii="Tahoma" w:eastAsia="Calibri" w:hAnsi="Tahoma" w:cs="Tahoma"/>
              </w:rPr>
              <w:t>66.74%</w:t>
            </w:r>
          </w:p>
        </w:tc>
        <w:tc>
          <w:tcPr>
            <w:tcW w:w="1560" w:type="dxa"/>
            <w:vAlign w:val="center"/>
          </w:tcPr>
          <w:p w14:paraId="766C85D4" w14:textId="77777777" w:rsidR="00BB67F8" w:rsidRPr="0055259B" w:rsidRDefault="00BB67F8" w:rsidP="004F4D6F">
            <w:pPr>
              <w:jc w:val="center"/>
              <w:rPr>
                <w:rFonts w:ascii="Tahoma" w:eastAsia="Calibri" w:hAnsi="Tahoma" w:cs="Tahoma"/>
              </w:rPr>
            </w:pPr>
            <w:r w:rsidRPr="0055259B">
              <w:rPr>
                <w:rFonts w:ascii="Tahoma" w:eastAsia="Calibri" w:hAnsi="Tahoma" w:cs="Tahoma"/>
              </w:rPr>
              <w:t>68.49%</w:t>
            </w:r>
          </w:p>
        </w:tc>
        <w:tc>
          <w:tcPr>
            <w:tcW w:w="1559" w:type="dxa"/>
            <w:vAlign w:val="center"/>
          </w:tcPr>
          <w:p w14:paraId="3C5705F6" w14:textId="77777777" w:rsidR="00BB67F8" w:rsidRPr="00B20EF5" w:rsidRDefault="00BB67F8" w:rsidP="004F4D6F">
            <w:pPr>
              <w:jc w:val="center"/>
              <w:rPr>
                <w:rFonts w:ascii="Tahoma" w:eastAsia="Calibri" w:hAnsi="Tahoma" w:cs="Tahoma"/>
              </w:rPr>
            </w:pPr>
            <w:r w:rsidRPr="00B20EF5">
              <w:rPr>
                <w:rFonts w:ascii="Tahoma" w:eastAsia="Calibri" w:hAnsi="Tahoma" w:cs="Tahoma"/>
              </w:rPr>
              <w:t>81.41%</w:t>
            </w:r>
          </w:p>
        </w:tc>
        <w:tc>
          <w:tcPr>
            <w:tcW w:w="1554" w:type="dxa"/>
            <w:vAlign w:val="center"/>
          </w:tcPr>
          <w:p w14:paraId="718C703A" w14:textId="77777777" w:rsidR="00BB67F8" w:rsidRDefault="00BB67F8" w:rsidP="004F4D6F">
            <w:pPr>
              <w:jc w:val="center"/>
              <w:rPr>
                <w:rFonts w:ascii="Tahoma" w:eastAsia="Calibri" w:hAnsi="Tahoma" w:cs="Tahoma"/>
              </w:rPr>
            </w:pPr>
            <w:r>
              <w:rPr>
                <w:rFonts w:ascii="Tahoma" w:eastAsia="Calibri" w:hAnsi="Tahoma" w:cs="Tahoma"/>
              </w:rPr>
              <w:t>96.59%</w:t>
            </w:r>
          </w:p>
        </w:tc>
      </w:tr>
    </w:tbl>
    <w:p w14:paraId="0E4142A1" w14:textId="77777777" w:rsidR="00BB67F8" w:rsidRDefault="00BB67F8" w:rsidP="00BB67F8">
      <w:pPr>
        <w:spacing w:after="0" w:line="240" w:lineRule="auto"/>
        <w:contextualSpacing/>
        <w:jc w:val="both"/>
        <w:rPr>
          <w:rFonts w:ascii="Tahoma" w:eastAsia="Calibri" w:hAnsi="Tahoma" w:cs="Tahoma"/>
        </w:rPr>
      </w:pPr>
    </w:p>
    <w:tbl>
      <w:tblPr>
        <w:tblStyle w:val="TableGrid"/>
        <w:tblW w:w="9776" w:type="dxa"/>
        <w:tblInd w:w="-5" w:type="dxa"/>
        <w:tblLook w:val="04A0" w:firstRow="1" w:lastRow="0" w:firstColumn="1" w:lastColumn="0" w:noHBand="0" w:noVBand="1"/>
      </w:tblPr>
      <w:tblGrid>
        <w:gridCol w:w="3402"/>
        <w:gridCol w:w="1701"/>
        <w:gridCol w:w="1560"/>
        <w:gridCol w:w="1559"/>
        <w:gridCol w:w="1554"/>
      </w:tblGrid>
      <w:tr w:rsidR="00BB67F8" w:rsidRPr="000561A3" w14:paraId="351CB6F7" w14:textId="77777777" w:rsidTr="002F60E9">
        <w:trPr>
          <w:trHeight w:val="124"/>
        </w:trPr>
        <w:tc>
          <w:tcPr>
            <w:tcW w:w="3402" w:type="dxa"/>
            <w:tcBorders>
              <w:bottom w:val="double" w:sz="4" w:space="0" w:color="auto"/>
            </w:tcBorders>
            <w:shd w:val="clear" w:color="auto" w:fill="D9D9D9" w:themeFill="background1" w:themeFillShade="D9"/>
            <w:vAlign w:val="center"/>
          </w:tcPr>
          <w:p w14:paraId="78A5CB7D" w14:textId="5936DDF9" w:rsidR="00BB67F8" w:rsidRPr="000561A3" w:rsidRDefault="00BB67F8" w:rsidP="004F4D6F">
            <w:pPr>
              <w:jc w:val="center"/>
              <w:rPr>
                <w:rFonts w:ascii="Tahoma" w:eastAsia="Calibri" w:hAnsi="Tahoma" w:cs="Tahoma"/>
                <w:b/>
                <w:bCs/>
              </w:rPr>
            </w:pPr>
            <w:r w:rsidRPr="000561A3">
              <w:rPr>
                <w:rFonts w:ascii="Tahoma" w:eastAsia="Calibri" w:hAnsi="Tahoma" w:cs="Tahoma"/>
                <w:b/>
                <w:bCs/>
              </w:rPr>
              <w:t>101 Contact</w:t>
            </w:r>
          </w:p>
        </w:tc>
        <w:tc>
          <w:tcPr>
            <w:tcW w:w="1701" w:type="dxa"/>
            <w:tcBorders>
              <w:bottom w:val="double" w:sz="4" w:space="0" w:color="auto"/>
            </w:tcBorders>
            <w:shd w:val="clear" w:color="auto" w:fill="D9D9D9" w:themeFill="background1" w:themeFillShade="D9"/>
            <w:vAlign w:val="center"/>
          </w:tcPr>
          <w:p w14:paraId="0B7C72AC" w14:textId="77777777" w:rsidR="00BB67F8" w:rsidRPr="000561A3" w:rsidRDefault="00BB67F8" w:rsidP="004F4D6F">
            <w:pPr>
              <w:jc w:val="center"/>
              <w:rPr>
                <w:rFonts w:ascii="Tahoma" w:eastAsia="Calibri" w:hAnsi="Tahoma" w:cs="Tahoma"/>
              </w:rPr>
            </w:pPr>
            <w:r>
              <w:rPr>
                <w:rFonts w:ascii="Tahoma" w:eastAsia="Calibri" w:hAnsi="Tahoma" w:cs="Tahoma"/>
              </w:rPr>
              <w:t>April 2021 to March 2022</w:t>
            </w:r>
          </w:p>
        </w:tc>
        <w:tc>
          <w:tcPr>
            <w:tcW w:w="1560" w:type="dxa"/>
            <w:tcBorders>
              <w:bottom w:val="double" w:sz="4" w:space="0" w:color="auto"/>
            </w:tcBorders>
            <w:shd w:val="clear" w:color="auto" w:fill="D9D9D9" w:themeFill="background1" w:themeFillShade="D9"/>
            <w:vAlign w:val="center"/>
          </w:tcPr>
          <w:p w14:paraId="4047F87E" w14:textId="77777777" w:rsidR="00BB67F8" w:rsidRPr="00910C11" w:rsidRDefault="00BB67F8" w:rsidP="004F4D6F">
            <w:pPr>
              <w:jc w:val="center"/>
              <w:rPr>
                <w:rFonts w:ascii="Tahoma" w:eastAsia="Calibri" w:hAnsi="Tahoma" w:cs="Tahoma"/>
              </w:rPr>
            </w:pPr>
            <w:r>
              <w:rPr>
                <w:rFonts w:ascii="Tahoma" w:eastAsia="Calibri" w:hAnsi="Tahoma" w:cs="Tahoma"/>
              </w:rPr>
              <w:t>April 2022 to March 2023</w:t>
            </w:r>
          </w:p>
        </w:tc>
        <w:tc>
          <w:tcPr>
            <w:tcW w:w="1559" w:type="dxa"/>
            <w:tcBorders>
              <w:bottom w:val="double" w:sz="4" w:space="0" w:color="auto"/>
            </w:tcBorders>
            <w:shd w:val="clear" w:color="auto" w:fill="D9D9D9" w:themeFill="background1" w:themeFillShade="D9"/>
            <w:vAlign w:val="center"/>
          </w:tcPr>
          <w:p w14:paraId="2414C29B" w14:textId="77777777" w:rsidR="00BB67F8" w:rsidRPr="00910C11" w:rsidRDefault="00BB67F8" w:rsidP="004F4D6F">
            <w:pPr>
              <w:jc w:val="center"/>
              <w:rPr>
                <w:rFonts w:ascii="Tahoma" w:eastAsia="Calibri" w:hAnsi="Tahoma" w:cs="Tahoma"/>
              </w:rPr>
            </w:pPr>
            <w:r>
              <w:rPr>
                <w:rFonts w:ascii="Tahoma" w:eastAsia="Calibri" w:hAnsi="Tahoma" w:cs="Tahoma"/>
              </w:rPr>
              <w:t>April 2023 to March 2024</w:t>
            </w:r>
          </w:p>
        </w:tc>
        <w:tc>
          <w:tcPr>
            <w:tcW w:w="1554" w:type="dxa"/>
            <w:tcBorders>
              <w:bottom w:val="double" w:sz="4" w:space="0" w:color="auto"/>
            </w:tcBorders>
            <w:shd w:val="clear" w:color="auto" w:fill="D9D9D9" w:themeFill="background1" w:themeFillShade="D9"/>
            <w:vAlign w:val="center"/>
          </w:tcPr>
          <w:p w14:paraId="4B7A7D10" w14:textId="77777777" w:rsidR="00BB67F8" w:rsidRDefault="00BB67F8" w:rsidP="004F4D6F">
            <w:pPr>
              <w:jc w:val="center"/>
              <w:rPr>
                <w:rFonts w:ascii="Tahoma" w:eastAsia="Calibri" w:hAnsi="Tahoma" w:cs="Tahoma"/>
              </w:rPr>
            </w:pPr>
            <w:r>
              <w:rPr>
                <w:rFonts w:ascii="Tahoma" w:eastAsia="Calibri" w:hAnsi="Tahoma" w:cs="Tahoma"/>
              </w:rPr>
              <w:t>April 2024 to March 2025</w:t>
            </w:r>
          </w:p>
        </w:tc>
      </w:tr>
      <w:tr w:rsidR="00BB67F8" w:rsidRPr="000561A3" w14:paraId="2BE58E0F" w14:textId="77777777" w:rsidTr="002F60E9">
        <w:tc>
          <w:tcPr>
            <w:tcW w:w="3402" w:type="dxa"/>
            <w:tcBorders>
              <w:top w:val="double" w:sz="4" w:space="0" w:color="auto"/>
            </w:tcBorders>
            <w:vAlign w:val="center"/>
          </w:tcPr>
          <w:p w14:paraId="29A3E7A4" w14:textId="77777777" w:rsidR="00BB67F8" w:rsidRPr="000561A3" w:rsidRDefault="00BB67F8" w:rsidP="002F60E9">
            <w:pPr>
              <w:jc w:val="left"/>
              <w:rPr>
                <w:rFonts w:ascii="Tahoma" w:eastAsia="Calibri" w:hAnsi="Tahoma" w:cs="Tahoma"/>
              </w:rPr>
            </w:pPr>
            <w:r w:rsidRPr="000561A3">
              <w:rPr>
                <w:rFonts w:ascii="Tahoma" w:eastAsia="Calibri" w:hAnsi="Tahoma" w:cs="Tahoma"/>
              </w:rPr>
              <w:t>Calls Received</w:t>
            </w:r>
          </w:p>
        </w:tc>
        <w:tc>
          <w:tcPr>
            <w:tcW w:w="1701" w:type="dxa"/>
            <w:tcBorders>
              <w:top w:val="double" w:sz="4" w:space="0" w:color="auto"/>
            </w:tcBorders>
            <w:vAlign w:val="center"/>
          </w:tcPr>
          <w:p w14:paraId="0FFA441D" w14:textId="77777777" w:rsidR="00BB67F8" w:rsidRPr="002C0B0F" w:rsidRDefault="00BB67F8" w:rsidP="004F4D6F">
            <w:pPr>
              <w:jc w:val="center"/>
              <w:rPr>
                <w:rFonts w:ascii="Tahoma" w:eastAsia="Calibri" w:hAnsi="Tahoma" w:cs="Tahoma"/>
              </w:rPr>
            </w:pPr>
            <w:r w:rsidRPr="002C0B0F">
              <w:rPr>
                <w:rFonts w:ascii="Tahoma" w:eastAsia="Calibri" w:hAnsi="Tahoma" w:cs="Tahoma"/>
              </w:rPr>
              <w:t>360,181</w:t>
            </w:r>
          </w:p>
        </w:tc>
        <w:tc>
          <w:tcPr>
            <w:tcW w:w="1560" w:type="dxa"/>
            <w:tcBorders>
              <w:top w:val="double" w:sz="4" w:space="0" w:color="auto"/>
            </w:tcBorders>
            <w:vAlign w:val="center"/>
          </w:tcPr>
          <w:p w14:paraId="0F13D598" w14:textId="77777777" w:rsidR="00BB67F8" w:rsidRPr="002C0B0F" w:rsidRDefault="00BB67F8" w:rsidP="004F4D6F">
            <w:pPr>
              <w:jc w:val="center"/>
              <w:rPr>
                <w:rFonts w:ascii="Tahoma" w:eastAsia="Calibri" w:hAnsi="Tahoma" w:cs="Tahoma"/>
              </w:rPr>
            </w:pPr>
            <w:r w:rsidRPr="002C0B0F">
              <w:rPr>
                <w:rFonts w:ascii="Tahoma" w:eastAsia="Calibri" w:hAnsi="Tahoma" w:cs="Tahoma"/>
              </w:rPr>
              <w:t>312,321</w:t>
            </w:r>
          </w:p>
        </w:tc>
        <w:tc>
          <w:tcPr>
            <w:tcW w:w="1559" w:type="dxa"/>
            <w:tcBorders>
              <w:top w:val="double" w:sz="4" w:space="0" w:color="auto"/>
            </w:tcBorders>
            <w:vAlign w:val="center"/>
          </w:tcPr>
          <w:p w14:paraId="06F5DF85" w14:textId="77777777" w:rsidR="00BB67F8" w:rsidRPr="002C0B0F" w:rsidRDefault="00BB67F8" w:rsidP="004F4D6F">
            <w:pPr>
              <w:jc w:val="center"/>
              <w:rPr>
                <w:rFonts w:ascii="Tahoma" w:eastAsia="Calibri" w:hAnsi="Tahoma" w:cs="Tahoma"/>
              </w:rPr>
            </w:pPr>
            <w:r w:rsidRPr="002C0B0F">
              <w:rPr>
                <w:rFonts w:ascii="Tahoma" w:eastAsia="Calibri" w:hAnsi="Tahoma" w:cs="Tahoma"/>
              </w:rPr>
              <w:t>275,065</w:t>
            </w:r>
          </w:p>
        </w:tc>
        <w:tc>
          <w:tcPr>
            <w:tcW w:w="1554" w:type="dxa"/>
            <w:tcBorders>
              <w:top w:val="double" w:sz="4" w:space="0" w:color="auto"/>
            </w:tcBorders>
            <w:vAlign w:val="center"/>
          </w:tcPr>
          <w:p w14:paraId="218CA6BE" w14:textId="77777777" w:rsidR="00BB67F8" w:rsidRPr="00F267DA" w:rsidRDefault="00BB67F8" w:rsidP="004F4D6F">
            <w:pPr>
              <w:jc w:val="center"/>
              <w:rPr>
                <w:rFonts w:ascii="Tahoma" w:eastAsia="Calibri" w:hAnsi="Tahoma" w:cs="Tahoma"/>
              </w:rPr>
            </w:pPr>
            <w:r>
              <w:rPr>
                <w:rFonts w:ascii="Tahoma" w:eastAsia="Calibri" w:hAnsi="Tahoma" w:cs="Tahoma"/>
              </w:rPr>
              <w:t>255,824</w:t>
            </w:r>
          </w:p>
        </w:tc>
      </w:tr>
      <w:tr w:rsidR="00BB67F8" w:rsidRPr="000561A3" w14:paraId="096BE710" w14:textId="77777777" w:rsidTr="002F60E9">
        <w:tc>
          <w:tcPr>
            <w:tcW w:w="3402" w:type="dxa"/>
            <w:vAlign w:val="center"/>
          </w:tcPr>
          <w:p w14:paraId="2087906C" w14:textId="77777777" w:rsidR="00BB67F8" w:rsidRPr="000561A3" w:rsidRDefault="00BB67F8" w:rsidP="002F60E9">
            <w:pPr>
              <w:jc w:val="left"/>
              <w:rPr>
                <w:rFonts w:ascii="Tahoma" w:eastAsia="Calibri" w:hAnsi="Tahoma" w:cs="Tahoma"/>
              </w:rPr>
            </w:pPr>
            <w:r w:rsidRPr="000561A3">
              <w:rPr>
                <w:rFonts w:ascii="Tahoma" w:eastAsia="Calibri" w:hAnsi="Tahoma" w:cs="Tahoma"/>
              </w:rPr>
              <w:t>Calls Answered</w:t>
            </w:r>
          </w:p>
        </w:tc>
        <w:tc>
          <w:tcPr>
            <w:tcW w:w="1701" w:type="dxa"/>
            <w:vAlign w:val="center"/>
          </w:tcPr>
          <w:p w14:paraId="0BBC30D7" w14:textId="77777777" w:rsidR="00BB67F8" w:rsidRPr="002C0B0F" w:rsidRDefault="00BB67F8" w:rsidP="004F4D6F">
            <w:pPr>
              <w:jc w:val="center"/>
              <w:rPr>
                <w:rFonts w:ascii="Tahoma" w:hAnsi="Tahoma" w:cs="Tahoma"/>
              </w:rPr>
            </w:pPr>
            <w:r w:rsidRPr="002C0B0F">
              <w:rPr>
                <w:rFonts w:ascii="Tahoma" w:hAnsi="Tahoma" w:cs="Tahoma"/>
              </w:rPr>
              <w:t>286,159</w:t>
            </w:r>
          </w:p>
        </w:tc>
        <w:tc>
          <w:tcPr>
            <w:tcW w:w="1560" w:type="dxa"/>
            <w:vAlign w:val="center"/>
          </w:tcPr>
          <w:p w14:paraId="4DAA6506" w14:textId="77777777" w:rsidR="00BB67F8" w:rsidRPr="002C0B0F" w:rsidRDefault="00BB67F8" w:rsidP="004F4D6F">
            <w:pPr>
              <w:jc w:val="center"/>
              <w:rPr>
                <w:rFonts w:ascii="Tahoma" w:hAnsi="Tahoma" w:cs="Tahoma"/>
              </w:rPr>
            </w:pPr>
            <w:r w:rsidRPr="002C0B0F">
              <w:rPr>
                <w:rFonts w:ascii="Tahoma" w:hAnsi="Tahoma" w:cs="Tahoma"/>
              </w:rPr>
              <w:t>208,034</w:t>
            </w:r>
          </w:p>
        </w:tc>
        <w:tc>
          <w:tcPr>
            <w:tcW w:w="1559" w:type="dxa"/>
            <w:vAlign w:val="center"/>
          </w:tcPr>
          <w:p w14:paraId="1CF26482" w14:textId="77777777" w:rsidR="00BB67F8" w:rsidRPr="002C0B0F" w:rsidRDefault="00BB67F8" w:rsidP="004F4D6F">
            <w:pPr>
              <w:jc w:val="center"/>
              <w:rPr>
                <w:rFonts w:ascii="Tahoma" w:hAnsi="Tahoma" w:cs="Tahoma"/>
              </w:rPr>
            </w:pPr>
            <w:r w:rsidRPr="002C0B0F">
              <w:rPr>
                <w:rFonts w:ascii="Tahoma" w:hAnsi="Tahoma" w:cs="Tahoma"/>
              </w:rPr>
              <w:t>250,996</w:t>
            </w:r>
          </w:p>
        </w:tc>
        <w:tc>
          <w:tcPr>
            <w:tcW w:w="1554" w:type="dxa"/>
            <w:vAlign w:val="center"/>
          </w:tcPr>
          <w:p w14:paraId="1A069417" w14:textId="77777777" w:rsidR="00BB67F8" w:rsidRPr="00F267DA" w:rsidRDefault="00BB67F8" w:rsidP="004F4D6F">
            <w:pPr>
              <w:jc w:val="center"/>
              <w:rPr>
                <w:rFonts w:ascii="Tahoma" w:eastAsia="Calibri" w:hAnsi="Tahoma" w:cs="Tahoma"/>
              </w:rPr>
            </w:pPr>
            <w:r>
              <w:rPr>
                <w:rFonts w:ascii="Tahoma" w:eastAsia="Calibri" w:hAnsi="Tahoma" w:cs="Tahoma"/>
              </w:rPr>
              <w:t>248,284</w:t>
            </w:r>
          </w:p>
        </w:tc>
      </w:tr>
      <w:tr w:rsidR="00BB67F8" w:rsidRPr="000561A3" w14:paraId="33032855" w14:textId="77777777" w:rsidTr="002F60E9">
        <w:tc>
          <w:tcPr>
            <w:tcW w:w="3402" w:type="dxa"/>
            <w:vAlign w:val="center"/>
          </w:tcPr>
          <w:p w14:paraId="0B8C06D7" w14:textId="77777777" w:rsidR="00BB67F8" w:rsidRPr="000561A3" w:rsidRDefault="00BB67F8" w:rsidP="002F60E9">
            <w:pPr>
              <w:jc w:val="left"/>
              <w:rPr>
                <w:rFonts w:ascii="Tahoma" w:eastAsia="Calibri" w:hAnsi="Tahoma" w:cs="Tahoma"/>
              </w:rPr>
            </w:pPr>
            <w:r w:rsidRPr="000561A3">
              <w:rPr>
                <w:rFonts w:ascii="Tahoma" w:eastAsia="Calibri" w:hAnsi="Tahoma" w:cs="Tahoma"/>
              </w:rPr>
              <w:t>Calls Not Answered</w:t>
            </w:r>
          </w:p>
        </w:tc>
        <w:tc>
          <w:tcPr>
            <w:tcW w:w="1701" w:type="dxa"/>
            <w:vAlign w:val="center"/>
          </w:tcPr>
          <w:p w14:paraId="15EF1829" w14:textId="77777777" w:rsidR="00BB67F8" w:rsidRPr="000F5458" w:rsidRDefault="00BB67F8" w:rsidP="004F4D6F">
            <w:pPr>
              <w:jc w:val="center"/>
              <w:rPr>
                <w:rFonts w:ascii="Tahoma" w:eastAsia="Calibri" w:hAnsi="Tahoma" w:cs="Tahoma"/>
              </w:rPr>
            </w:pPr>
            <w:r w:rsidRPr="000F5458">
              <w:rPr>
                <w:rFonts w:ascii="Tahoma" w:eastAsia="Calibri" w:hAnsi="Tahoma" w:cs="Tahoma"/>
              </w:rPr>
              <w:t>74,022</w:t>
            </w:r>
          </w:p>
        </w:tc>
        <w:tc>
          <w:tcPr>
            <w:tcW w:w="1560" w:type="dxa"/>
            <w:vAlign w:val="center"/>
          </w:tcPr>
          <w:p w14:paraId="107E9D43" w14:textId="77777777" w:rsidR="00BB67F8" w:rsidRPr="000F5458" w:rsidRDefault="00BB67F8" w:rsidP="004F4D6F">
            <w:pPr>
              <w:jc w:val="center"/>
              <w:rPr>
                <w:rFonts w:ascii="Tahoma" w:eastAsia="Calibri" w:hAnsi="Tahoma" w:cs="Tahoma"/>
              </w:rPr>
            </w:pPr>
            <w:r w:rsidRPr="000F5458">
              <w:rPr>
                <w:rFonts w:ascii="Tahoma" w:eastAsia="Calibri" w:hAnsi="Tahoma" w:cs="Tahoma"/>
              </w:rPr>
              <w:t>104,287</w:t>
            </w:r>
          </w:p>
        </w:tc>
        <w:tc>
          <w:tcPr>
            <w:tcW w:w="1559" w:type="dxa"/>
            <w:vAlign w:val="center"/>
          </w:tcPr>
          <w:p w14:paraId="6463C7F0" w14:textId="77777777" w:rsidR="00BB67F8" w:rsidRPr="000F5458" w:rsidRDefault="00BB67F8" w:rsidP="004F4D6F">
            <w:pPr>
              <w:jc w:val="center"/>
              <w:rPr>
                <w:rFonts w:ascii="Tahoma" w:eastAsia="Calibri" w:hAnsi="Tahoma" w:cs="Tahoma"/>
              </w:rPr>
            </w:pPr>
            <w:r w:rsidRPr="000F5458">
              <w:rPr>
                <w:rFonts w:ascii="Tahoma" w:eastAsia="Calibri" w:hAnsi="Tahoma" w:cs="Tahoma"/>
              </w:rPr>
              <w:t>24,069</w:t>
            </w:r>
          </w:p>
        </w:tc>
        <w:tc>
          <w:tcPr>
            <w:tcW w:w="1554" w:type="dxa"/>
            <w:vAlign w:val="center"/>
          </w:tcPr>
          <w:p w14:paraId="62FA2FA8" w14:textId="77777777" w:rsidR="00BB67F8" w:rsidRPr="00F267DA" w:rsidRDefault="00BB67F8" w:rsidP="004F4D6F">
            <w:pPr>
              <w:jc w:val="center"/>
              <w:rPr>
                <w:rFonts w:ascii="Tahoma" w:eastAsia="Calibri" w:hAnsi="Tahoma" w:cs="Tahoma"/>
              </w:rPr>
            </w:pPr>
            <w:r>
              <w:rPr>
                <w:rFonts w:ascii="Tahoma" w:eastAsia="Calibri" w:hAnsi="Tahoma" w:cs="Tahoma"/>
              </w:rPr>
              <w:t>7,540</w:t>
            </w:r>
          </w:p>
        </w:tc>
      </w:tr>
      <w:tr w:rsidR="00BB67F8" w:rsidRPr="000561A3" w14:paraId="09EC06BA" w14:textId="77777777" w:rsidTr="002F60E9">
        <w:trPr>
          <w:trHeight w:val="50"/>
        </w:trPr>
        <w:tc>
          <w:tcPr>
            <w:tcW w:w="3402" w:type="dxa"/>
            <w:vAlign w:val="center"/>
          </w:tcPr>
          <w:p w14:paraId="1B2F18BA" w14:textId="77777777" w:rsidR="00BB67F8" w:rsidRPr="000561A3" w:rsidRDefault="00BB67F8" w:rsidP="002F60E9">
            <w:pPr>
              <w:jc w:val="left"/>
              <w:rPr>
                <w:rFonts w:ascii="Tahoma" w:eastAsia="Calibri" w:hAnsi="Tahoma" w:cs="Tahoma"/>
              </w:rPr>
            </w:pPr>
            <w:r w:rsidRPr="000561A3">
              <w:rPr>
                <w:rFonts w:ascii="Tahoma" w:eastAsia="Calibri" w:hAnsi="Tahoma" w:cs="Tahoma"/>
              </w:rPr>
              <w:t>% Not Answered</w:t>
            </w:r>
          </w:p>
        </w:tc>
        <w:tc>
          <w:tcPr>
            <w:tcW w:w="1701" w:type="dxa"/>
            <w:vAlign w:val="center"/>
          </w:tcPr>
          <w:p w14:paraId="78D454DC" w14:textId="77777777" w:rsidR="00BB67F8" w:rsidRPr="000F5458" w:rsidRDefault="00BB67F8" w:rsidP="004F4D6F">
            <w:pPr>
              <w:jc w:val="center"/>
              <w:rPr>
                <w:rFonts w:ascii="Tahoma" w:eastAsia="Calibri" w:hAnsi="Tahoma" w:cs="Tahoma"/>
              </w:rPr>
            </w:pPr>
            <w:r w:rsidRPr="000F5458">
              <w:rPr>
                <w:rFonts w:ascii="Tahoma" w:eastAsia="Calibri" w:hAnsi="Tahoma" w:cs="Tahoma"/>
              </w:rPr>
              <w:t>20.55%</w:t>
            </w:r>
          </w:p>
        </w:tc>
        <w:tc>
          <w:tcPr>
            <w:tcW w:w="1560" w:type="dxa"/>
            <w:vAlign w:val="center"/>
          </w:tcPr>
          <w:p w14:paraId="04C86C18" w14:textId="77777777" w:rsidR="00BB67F8" w:rsidRPr="000F5458" w:rsidRDefault="00BB67F8" w:rsidP="004F4D6F">
            <w:pPr>
              <w:jc w:val="center"/>
              <w:rPr>
                <w:rFonts w:ascii="Tahoma" w:eastAsia="Calibri" w:hAnsi="Tahoma" w:cs="Tahoma"/>
              </w:rPr>
            </w:pPr>
            <w:r w:rsidRPr="000F5458">
              <w:rPr>
                <w:rFonts w:ascii="Tahoma" w:eastAsia="Calibri" w:hAnsi="Tahoma" w:cs="Tahoma"/>
              </w:rPr>
              <w:t>33.39%</w:t>
            </w:r>
          </w:p>
        </w:tc>
        <w:tc>
          <w:tcPr>
            <w:tcW w:w="1559" w:type="dxa"/>
            <w:vAlign w:val="center"/>
          </w:tcPr>
          <w:p w14:paraId="17E7850D" w14:textId="77777777" w:rsidR="00BB67F8" w:rsidRPr="000F5458" w:rsidRDefault="00BB67F8" w:rsidP="004F4D6F">
            <w:pPr>
              <w:jc w:val="center"/>
              <w:rPr>
                <w:rFonts w:ascii="Tahoma" w:eastAsia="Calibri" w:hAnsi="Tahoma" w:cs="Tahoma"/>
              </w:rPr>
            </w:pPr>
            <w:r w:rsidRPr="000F5458">
              <w:rPr>
                <w:rFonts w:ascii="Tahoma" w:eastAsia="Calibri" w:hAnsi="Tahoma" w:cs="Tahoma"/>
              </w:rPr>
              <w:t>8.75%</w:t>
            </w:r>
          </w:p>
        </w:tc>
        <w:tc>
          <w:tcPr>
            <w:tcW w:w="1554" w:type="dxa"/>
            <w:vAlign w:val="center"/>
          </w:tcPr>
          <w:p w14:paraId="27E7FD45" w14:textId="77777777" w:rsidR="00BB67F8" w:rsidRPr="00F267DA" w:rsidRDefault="00BB67F8" w:rsidP="004F4D6F">
            <w:pPr>
              <w:jc w:val="center"/>
              <w:rPr>
                <w:rFonts w:ascii="Tahoma" w:eastAsia="Calibri" w:hAnsi="Tahoma" w:cs="Tahoma"/>
              </w:rPr>
            </w:pPr>
            <w:r>
              <w:rPr>
                <w:rFonts w:ascii="Tahoma" w:eastAsia="Calibri" w:hAnsi="Tahoma" w:cs="Tahoma"/>
              </w:rPr>
              <w:t>2.95%</w:t>
            </w:r>
          </w:p>
        </w:tc>
      </w:tr>
      <w:tr w:rsidR="00BB67F8" w:rsidRPr="000561A3" w14:paraId="39B5E85D" w14:textId="77777777" w:rsidTr="002F60E9">
        <w:trPr>
          <w:trHeight w:val="50"/>
        </w:trPr>
        <w:tc>
          <w:tcPr>
            <w:tcW w:w="3402" w:type="dxa"/>
            <w:vAlign w:val="center"/>
          </w:tcPr>
          <w:p w14:paraId="3ECACC10" w14:textId="77777777" w:rsidR="00BB67F8" w:rsidRPr="000561A3" w:rsidRDefault="00BB67F8" w:rsidP="002F60E9">
            <w:pPr>
              <w:jc w:val="left"/>
              <w:rPr>
                <w:rFonts w:ascii="Tahoma" w:eastAsia="Calibri" w:hAnsi="Tahoma" w:cs="Tahoma"/>
              </w:rPr>
            </w:pPr>
            <w:r w:rsidRPr="000561A3">
              <w:rPr>
                <w:rFonts w:ascii="Tahoma" w:eastAsia="Calibri" w:hAnsi="Tahoma" w:cs="Tahoma"/>
              </w:rPr>
              <w:t>Average Time to Answer</w:t>
            </w:r>
          </w:p>
        </w:tc>
        <w:tc>
          <w:tcPr>
            <w:tcW w:w="1701" w:type="dxa"/>
            <w:vAlign w:val="center"/>
          </w:tcPr>
          <w:p w14:paraId="05034806" w14:textId="77777777" w:rsidR="00BB67F8" w:rsidRPr="00803301" w:rsidRDefault="00BB67F8" w:rsidP="004F4D6F">
            <w:pPr>
              <w:jc w:val="center"/>
              <w:rPr>
                <w:rFonts w:ascii="Tahoma" w:eastAsia="Calibri" w:hAnsi="Tahoma" w:cs="Tahoma"/>
              </w:rPr>
            </w:pPr>
            <w:r w:rsidRPr="00803301">
              <w:rPr>
                <w:rFonts w:ascii="Tahoma" w:eastAsia="Calibri" w:hAnsi="Tahoma" w:cs="Tahoma"/>
              </w:rPr>
              <w:t>4 min</w:t>
            </w:r>
          </w:p>
        </w:tc>
        <w:tc>
          <w:tcPr>
            <w:tcW w:w="1560" w:type="dxa"/>
            <w:vAlign w:val="center"/>
          </w:tcPr>
          <w:p w14:paraId="69EEC939" w14:textId="77777777" w:rsidR="00BB67F8" w:rsidRPr="00803301" w:rsidRDefault="00BB67F8" w:rsidP="004F4D6F">
            <w:pPr>
              <w:jc w:val="center"/>
              <w:rPr>
                <w:rFonts w:ascii="Tahoma" w:eastAsia="Calibri" w:hAnsi="Tahoma" w:cs="Tahoma"/>
              </w:rPr>
            </w:pPr>
            <w:r w:rsidRPr="00803301">
              <w:rPr>
                <w:rFonts w:ascii="Tahoma" w:eastAsia="Calibri" w:hAnsi="Tahoma" w:cs="Tahoma"/>
              </w:rPr>
              <w:t>7 min 18 sec</w:t>
            </w:r>
          </w:p>
        </w:tc>
        <w:tc>
          <w:tcPr>
            <w:tcW w:w="1559" w:type="dxa"/>
            <w:vAlign w:val="center"/>
          </w:tcPr>
          <w:p w14:paraId="08AA6EA5" w14:textId="77777777" w:rsidR="00BB67F8" w:rsidRPr="00803301" w:rsidRDefault="00BB67F8" w:rsidP="004F4D6F">
            <w:pPr>
              <w:jc w:val="center"/>
              <w:rPr>
                <w:rFonts w:ascii="Tahoma" w:eastAsia="Calibri" w:hAnsi="Tahoma" w:cs="Tahoma"/>
              </w:rPr>
            </w:pPr>
            <w:r w:rsidRPr="00803301">
              <w:rPr>
                <w:rFonts w:ascii="Tahoma" w:eastAsia="Calibri" w:hAnsi="Tahoma" w:cs="Tahoma"/>
              </w:rPr>
              <w:t>1 min 6 sec</w:t>
            </w:r>
          </w:p>
        </w:tc>
        <w:tc>
          <w:tcPr>
            <w:tcW w:w="1554" w:type="dxa"/>
            <w:vAlign w:val="center"/>
          </w:tcPr>
          <w:p w14:paraId="0D6368BE" w14:textId="77777777" w:rsidR="00BB67F8" w:rsidRPr="00803301" w:rsidRDefault="00BB67F8" w:rsidP="004F4D6F">
            <w:pPr>
              <w:jc w:val="center"/>
              <w:rPr>
                <w:rFonts w:ascii="Tahoma" w:eastAsia="Calibri" w:hAnsi="Tahoma" w:cs="Tahoma"/>
              </w:rPr>
            </w:pPr>
            <w:r w:rsidRPr="00803301">
              <w:rPr>
                <w:rFonts w:ascii="Tahoma" w:eastAsia="Calibri" w:hAnsi="Tahoma" w:cs="Tahoma"/>
              </w:rPr>
              <w:t>31 sec</w:t>
            </w:r>
          </w:p>
        </w:tc>
      </w:tr>
    </w:tbl>
    <w:p w14:paraId="129FF920" w14:textId="77777777" w:rsidR="00BB67F8" w:rsidRDefault="00BB67F8" w:rsidP="00BB67F8">
      <w:pPr>
        <w:spacing w:after="0" w:line="240" w:lineRule="auto"/>
        <w:contextualSpacing/>
        <w:rPr>
          <w:rFonts w:ascii="Tahoma" w:eastAsia="Times New Roman" w:hAnsi="Tahoma" w:cs="Tahoma"/>
          <w:color w:val="242424"/>
          <w:lang w:eastAsia="en-GB"/>
        </w:rPr>
      </w:pPr>
    </w:p>
    <w:tbl>
      <w:tblPr>
        <w:tblStyle w:val="TableGrid"/>
        <w:tblpPr w:leftFromText="180" w:rightFromText="180" w:vertAnchor="text" w:horzAnchor="margin" w:tblpY="-41"/>
        <w:tblW w:w="9771" w:type="dxa"/>
        <w:tblLook w:val="04A0" w:firstRow="1" w:lastRow="0" w:firstColumn="1" w:lastColumn="0" w:noHBand="0" w:noVBand="1"/>
      </w:tblPr>
      <w:tblGrid>
        <w:gridCol w:w="2940"/>
        <w:gridCol w:w="1668"/>
        <w:gridCol w:w="1714"/>
        <w:gridCol w:w="1824"/>
        <w:gridCol w:w="1625"/>
      </w:tblGrid>
      <w:tr w:rsidR="00BB67F8" w:rsidRPr="000561A3" w14:paraId="7C654E5C" w14:textId="77777777" w:rsidTr="002F60E9">
        <w:trPr>
          <w:trHeight w:val="124"/>
        </w:trPr>
        <w:tc>
          <w:tcPr>
            <w:tcW w:w="2940" w:type="dxa"/>
            <w:tcBorders>
              <w:bottom w:val="double" w:sz="4" w:space="0" w:color="auto"/>
            </w:tcBorders>
            <w:shd w:val="clear" w:color="auto" w:fill="D9D9D9" w:themeFill="background1" w:themeFillShade="D9"/>
            <w:vAlign w:val="center"/>
          </w:tcPr>
          <w:p w14:paraId="1E250317" w14:textId="08C15CF4" w:rsidR="00BB67F8" w:rsidRPr="000561A3" w:rsidRDefault="00BB67F8" w:rsidP="004F4D6F">
            <w:pPr>
              <w:jc w:val="center"/>
              <w:rPr>
                <w:rFonts w:ascii="Tahoma" w:eastAsia="Calibri" w:hAnsi="Tahoma" w:cs="Tahoma"/>
                <w:b/>
                <w:bCs/>
              </w:rPr>
            </w:pPr>
            <w:r w:rsidRPr="000561A3">
              <w:rPr>
                <w:rFonts w:ascii="Tahoma" w:eastAsia="Calibri" w:hAnsi="Tahoma" w:cs="Tahoma"/>
                <w:b/>
                <w:bCs/>
              </w:rPr>
              <w:t>Digital Contact</w:t>
            </w:r>
          </w:p>
        </w:tc>
        <w:tc>
          <w:tcPr>
            <w:tcW w:w="1668" w:type="dxa"/>
            <w:tcBorders>
              <w:bottom w:val="double" w:sz="4" w:space="0" w:color="auto"/>
            </w:tcBorders>
            <w:shd w:val="clear" w:color="auto" w:fill="D9D9D9" w:themeFill="background1" w:themeFillShade="D9"/>
            <w:vAlign w:val="center"/>
          </w:tcPr>
          <w:p w14:paraId="0CF44141" w14:textId="77777777" w:rsidR="00BB67F8" w:rsidRPr="000561A3" w:rsidRDefault="00BB67F8" w:rsidP="004F4D6F">
            <w:pPr>
              <w:jc w:val="center"/>
              <w:rPr>
                <w:rFonts w:ascii="Tahoma" w:eastAsia="Calibri" w:hAnsi="Tahoma" w:cs="Tahoma"/>
              </w:rPr>
            </w:pPr>
            <w:r>
              <w:rPr>
                <w:rFonts w:ascii="Tahoma" w:eastAsia="Calibri" w:hAnsi="Tahoma" w:cs="Tahoma"/>
              </w:rPr>
              <w:t>April 2021 to March 2022</w:t>
            </w:r>
          </w:p>
        </w:tc>
        <w:tc>
          <w:tcPr>
            <w:tcW w:w="1714" w:type="dxa"/>
            <w:tcBorders>
              <w:bottom w:val="double" w:sz="4" w:space="0" w:color="auto"/>
            </w:tcBorders>
            <w:shd w:val="clear" w:color="auto" w:fill="D9D9D9" w:themeFill="background1" w:themeFillShade="D9"/>
            <w:vAlign w:val="center"/>
          </w:tcPr>
          <w:p w14:paraId="1178216C" w14:textId="77777777" w:rsidR="00BB67F8" w:rsidRPr="000561A3" w:rsidRDefault="00BB67F8" w:rsidP="004F4D6F">
            <w:pPr>
              <w:jc w:val="center"/>
              <w:rPr>
                <w:rFonts w:ascii="Tahoma" w:eastAsia="Calibri" w:hAnsi="Tahoma" w:cs="Tahoma"/>
              </w:rPr>
            </w:pPr>
            <w:r>
              <w:rPr>
                <w:rFonts w:ascii="Tahoma" w:eastAsia="Calibri" w:hAnsi="Tahoma" w:cs="Tahoma"/>
              </w:rPr>
              <w:t>April 2022 to March 2023</w:t>
            </w:r>
          </w:p>
        </w:tc>
        <w:tc>
          <w:tcPr>
            <w:tcW w:w="1824" w:type="dxa"/>
            <w:tcBorders>
              <w:bottom w:val="double" w:sz="4" w:space="0" w:color="auto"/>
            </w:tcBorders>
            <w:shd w:val="clear" w:color="auto" w:fill="D9D9D9" w:themeFill="background1" w:themeFillShade="D9"/>
            <w:vAlign w:val="center"/>
          </w:tcPr>
          <w:p w14:paraId="48A6F8A9" w14:textId="77777777" w:rsidR="00BB67F8" w:rsidRPr="000561A3" w:rsidRDefault="00BB67F8" w:rsidP="004F4D6F">
            <w:pPr>
              <w:jc w:val="center"/>
              <w:rPr>
                <w:rFonts w:ascii="Tahoma" w:eastAsia="Calibri" w:hAnsi="Tahoma" w:cs="Tahoma"/>
              </w:rPr>
            </w:pPr>
            <w:r>
              <w:rPr>
                <w:rFonts w:ascii="Tahoma" w:eastAsia="Calibri" w:hAnsi="Tahoma" w:cs="Tahoma"/>
              </w:rPr>
              <w:t>April 2023 to March 2024</w:t>
            </w:r>
          </w:p>
        </w:tc>
        <w:tc>
          <w:tcPr>
            <w:tcW w:w="1625" w:type="dxa"/>
            <w:tcBorders>
              <w:bottom w:val="double" w:sz="4" w:space="0" w:color="auto"/>
            </w:tcBorders>
            <w:shd w:val="clear" w:color="auto" w:fill="D9D9D9" w:themeFill="background1" w:themeFillShade="D9"/>
            <w:vAlign w:val="center"/>
          </w:tcPr>
          <w:p w14:paraId="489E4FB9" w14:textId="77777777" w:rsidR="00BB67F8" w:rsidRDefault="00BB67F8" w:rsidP="004F4D6F">
            <w:pPr>
              <w:jc w:val="center"/>
              <w:rPr>
                <w:rFonts w:ascii="Tahoma" w:eastAsia="Calibri" w:hAnsi="Tahoma" w:cs="Tahoma"/>
              </w:rPr>
            </w:pPr>
            <w:r>
              <w:rPr>
                <w:rFonts w:ascii="Tahoma" w:eastAsia="Calibri" w:hAnsi="Tahoma" w:cs="Tahoma"/>
              </w:rPr>
              <w:t>April 2024 to March 2025</w:t>
            </w:r>
          </w:p>
        </w:tc>
      </w:tr>
      <w:tr w:rsidR="00BB67F8" w:rsidRPr="000561A3" w14:paraId="737CC7EE" w14:textId="77777777" w:rsidTr="004F4D6F">
        <w:tc>
          <w:tcPr>
            <w:tcW w:w="2940" w:type="dxa"/>
            <w:tcBorders>
              <w:top w:val="double" w:sz="4" w:space="0" w:color="auto"/>
            </w:tcBorders>
            <w:vAlign w:val="center"/>
          </w:tcPr>
          <w:p w14:paraId="557C1DAD" w14:textId="77777777" w:rsidR="00BB67F8" w:rsidRPr="000561A3" w:rsidRDefault="00BB67F8" w:rsidP="004F4D6F">
            <w:pPr>
              <w:jc w:val="center"/>
              <w:rPr>
                <w:rFonts w:ascii="Tahoma" w:eastAsia="Calibri" w:hAnsi="Tahoma" w:cs="Tahoma"/>
              </w:rPr>
            </w:pPr>
            <w:r w:rsidRPr="000561A3">
              <w:rPr>
                <w:rFonts w:ascii="Tahoma" w:eastAsia="Calibri" w:hAnsi="Tahoma" w:cs="Tahoma"/>
              </w:rPr>
              <w:t>Online Crime Reports</w:t>
            </w:r>
          </w:p>
        </w:tc>
        <w:tc>
          <w:tcPr>
            <w:tcW w:w="1668" w:type="dxa"/>
            <w:tcBorders>
              <w:top w:val="nil"/>
              <w:left w:val="nil"/>
              <w:bottom w:val="single" w:sz="8" w:space="0" w:color="auto"/>
              <w:right w:val="single" w:sz="8" w:space="0" w:color="auto"/>
            </w:tcBorders>
            <w:vAlign w:val="center"/>
          </w:tcPr>
          <w:p w14:paraId="158B523D" w14:textId="77777777" w:rsidR="00BB67F8" w:rsidRPr="001F2F88" w:rsidRDefault="00BB67F8" w:rsidP="004F4D6F">
            <w:pPr>
              <w:jc w:val="center"/>
              <w:rPr>
                <w:rFonts w:ascii="Tahoma" w:eastAsia="Calibri" w:hAnsi="Tahoma" w:cs="Tahoma"/>
              </w:rPr>
            </w:pPr>
            <w:r w:rsidRPr="001F2F88">
              <w:rPr>
                <w:rFonts w:ascii="Tahoma" w:eastAsia="Calibri" w:hAnsi="Tahoma" w:cs="Tahoma"/>
              </w:rPr>
              <w:t>39,527</w:t>
            </w:r>
          </w:p>
        </w:tc>
        <w:tc>
          <w:tcPr>
            <w:tcW w:w="1714" w:type="dxa"/>
            <w:tcBorders>
              <w:top w:val="nil"/>
              <w:left w:val="nil"/>
              <w:bottom w:val="single" w:sz="8" w:space="0" w:color="auto"/>
              <w:right w:val="single" w:sz="8" w:space="0" w:color="auto"/>
            </w:tcBorders>
            <w:vAlign w:val="center"/>
          </w:tcPr>
          <w:p w14:paraId="1CDEA037" w14:textId="77777777" w:rsidR="00BB67F8" w:rsidRPr="001F2F88" w:rsidRDefault="00BB67F8" w:rsidP="004F4D6F">
            <w:pPr>
              <w:jc w:val="center"/>
              <w:rPr>
                <w:rFonts w:ascii="Tahoma" w:eastAsia="Calibri" w:hAnsi="Tahoma" w:cs="Tahoma"/>
              </w:rPr>
            </w:pPr>
            <w:r w:rsidRPr="001F2F88">
              <w:rPr>
                <w:rFonts w:ascii="Tahoma" w:eastAsia="Calibri" w:hAnsi="Tahoma" w:cs="Tahoma"/>
              </w:rPr>
              <w:t>48,278</w:t>
            </w:r>
          </w:p>
        </w:tc>
        <w:tc>
          <w:tcPr>
            <w:tcW w:w="1824" w:type="dxa"/>
            <w:tcBorders>
              <w:top w:val="nil"/>
              <w:left w:val="nil"/>
              <w:bottom w:val="single" w:sz="8" w:space="0" w:color="auto"/>
              <w:right w:val="single" w:sz="8" w:space="0" w:color="auto"/>
            </w:tcBorders>
            <w:vAlign w:val="center"/>
          </w:tcPr>
          <w:p w14:paraId="23B51E59" w14:textId="77777777" w:rsidR="00BB67F8" w:rsidRPr="001F2F88" w:rsidRDefault="00BB67F8" w:rsidP="004F4D6F">
            <w:pPr>
              <w:jc w:val="center"/>
              <w:rPr>
                <w:rFonts w:ascii="Tahoma" w:eastAsia="Calibri" w:hAnsi="Tahoma" w:cs="Tahoma"/>
              </w:rPr>
            </w:pPr>
            <w:r w:rsidRPr="001F2F88">
              <w:rPr>
                <w:rFonts w:ascii="Tahoma" w:eastAsia="Calibri" w:hAnsi="Tahoma" w:cs="Tahoma"/>
              </w:rPr>
              <w:t>47,377</w:t>
            </w:r>
          </w:p>
        </w:tc>
        <w:tc>
          <w:tcPr>
            <w:tcW w:w="1625" w:type="dxa"/>
            <w:tcBorders>
              <w:top w:val="nil"/>
              <w:left w:val="nil"/>
              <w:bottom w:val="single" w:sz="8" w:space="0" w:color="auto"/>
              <w:right w:val="single" w:sz="8" w:space="0" w:color="auto"/>
            </w:tcBorders>
            <w:vAlign w:val="center"/>
          </w:tcPr>
          <w:p w14:paraId="7659F0EE" w14:textId="77777777" w:rsidR="00BB67F8" w:rsidRPr="00F267DA" w:rsidRDefault="00BB67F8" w:rsidP="004F4D6F">
            <w:pPr>
              <w:jc w:val="center"/>
              <w:rPr>
                <w:rFonts w:ascii="Tahoma" w:eastAsia="Calibri" w:hAnsi="Tahoma" w:cs="Tahoma"/>
              </w:rPr>
            </w:pPr>
            <w:r>
              <w:rPr>
                <w:rFonts w:ascii="Tahoma" w:eastAsia="Calibri" w:hAnsi="Tahoma" w:cs="Tahoma"/>
              </w:rPr>
              <w:t>48,876</w:t>
            </w:r>
          </w:p>
        </w:tc>
      </w:tr>
      <w:tr w:rsidR="00BB67F8" w:rsidRPr="000561A3" w14:paraId="13C3F683" w14:textId="77777777" w:rsidTr="004F4D6F">
        <w:tc>
          <w:tcPr>
            <w:tcW w:w="2940" w:type="dxa"/>
            <w:tcBorders>
              <w:top w:val="single" w:sz="4" w:space="0" w:color="auto"/>
            </w:tcBorders>
            <w:vAlign w:val="center"/>
          </w:tcPr>
          <w:p w14:paraId="150EDDD7" w14:textId="77777777" w:rsidR="00BB67F8" w:rsidRPr="000561A3" w:rsidRDefault="00BB67F8" w:rsidP="004F4D6F">
            <w:pPr>
              <w:jc w:val="center"/>
              <w:rPr>
                <w:rFonts w:ascii="Tahoma" w:eastAsia="Calibri" w:hAnsi="Tahoma" w:cs="Tahoma"/>
              </w:rPr>
            </w:pPr>
            <w:r w:rsidRPr="000561A3">
              <w:rPr>
                <w:rFonts w:ascii="Tahoma" w:eastAsia="Calibri" w:hAnsi="Tahoma" w:cs="Tahoma"/>
              </w:rPr>
              <w:t>Live Chat</w:t>
            </w:r>
          </w:p>
        </w:tc>
        <w:tc>
          <w:tcPr>
            <w:tcW w:w="1668" w:type="dxa"/>
            <w:tcBorders>
              <w:top w:val="nil"/>
              <w:left w:val="nil"/>
              <w:bottom w:val="single" w:sz="4" w:space="0" w:color="auto"/>
              <w:right w:val="single" w:sz="8" w:space="0" w:color="auto"/>
            </w:tcBorders>
            <w:vAlign w:val="center"/>
          </w:tcPr>
          <w:p w14:paraId="766135A1" w14:textId="77777777" w:rsidR="00BB67F8" w:rsidRPr="001F2F88" w:rsidRDefault="00BB67F8" w:rsidP="004F4D6F">
            <w:pPr>
              <w:jc w:val="center"/>
              <w:rPr>
                <w:rFonts w:ascii="Tahoma" w:eastAsia="Calibri" w:hAnsi="Tahoma" w:cs="Tahoma"/>
              </w:rPr>
            </w:pPr>
            <w:r w:rsidRPr="001F2F88">
              <w:rPr>
                <w:rFonts w:ascii="Tahoma" w:eastAsia="Calibri" w:hAnsi="Tahoma" w:cs="Tahoma"/>
              </w:rPr>
              <w:t>43,744</w:t>
            </w:r>
          </w:p>
        </w:tc>
        <w:tc>
          <w:tcPr>
            <w:tcW w:w="1714" w:type="dxa"/>
            <w:tcBorders>
              <w:top w:val="nil"/>
              <w:left w:val="nil"/>
              <w:bottom w:val="single" w:sz="4" w:space="0" w:color="auto"/>
              <w:right w:val="single" w:sz="8" w:space="0" w:color="auto"/>
            </w:tcBorders>
            <w:vAlign w:val="center"/>
          </w:tcPr>
          <w:p w14:paraId="0A5347FE" w14:textId="77777777" w:rsidR="00BB67F8" w:rsidRPr="001F2F88" w:rsidRDefault="00BB67F8" w:rsidP="004F4D6F">
            <w:pPr>
              <w:jc w:val="center"/>
              <w:rPr>
                <w:rFonts w:ascii="Tahoma" w:eastAsia="Calibri" w:hAnsi="Tahoma" w:cs="Tahoma"/>
              </w:rPr>
            </w:pPr>
            <w:r w:rsidRPr="001F2F88">
              <w:rPr>
                <w:rFonts w:ascii="Tahoma" w:eastAsia="Calibri" w:hAnsi="Tahoma" w:cs="Tahoma"/>
              </w:rPr>
              <w:t>70,523</w:t>
            </w:r>
          </w:p>
        </w:tc>
        <w:tc>
          <w:tcPr>
            <w:tcW w:w="1824" w:type="dxa"/>
            <w:tcBorders>
              <w:top w:val="nil"/>
              <w:left w:val="nil"/>
              <w:bottom w:val="single" w:sz="4" w:space="0" w:color="auto"/>
              <w:right w:val="single" w:sz="8" w:space="0" w:color="auto"/>
            </w:tcBorders>
            <w:vAlign w:val="center"/>
          </w:tcPr>
          <w:p w14:paraId="37FDA155" w14:textId="77777777" w:rsidR="00BB67F8" w:rsidRPr="001F2F88" w:rsidRDefault="00BB67F8" w:rsidP="004F4D6F">
            <w:pPr>
              <w:jc w:val="center"/>
              <w:rPr>
                <w:rFonts w:ascii="Tahoma" w:eastAsia="Calibri" w:hAnsi="Tahoma" w:cs="Tahoma"/>
              </w:rPr>
            </w:pPr>
            <w:r w:rsidRPr="001F2F88">
              <w:rPr>
                <w:rFonts w:ascii="Tahoma" w:eastAsia="Calibri" w:hAnsi="Tahoma" w:cs="Tahoma"/>
              </w:rPr>
              <w:t>66,421</w:t>
            </w:r>
          </w:p>
        </w:tc>
        <w:tc>
          <w:tcPr>
            <w:tcW w:w="1625" w:type="dxa"/>
            <w:tcBorders>
              <w:top w:val="nil"/>
              <w:left w:val="nil"/>
              <w:bottom w:val="single" w:sz="4" w:space="0" w:color="auto"/>
              <w:right w:val="single" w:sz="8" w:space="0" w:color="auto"/>
            </w:tcBorders>
            <w:vAlign w:val="center"/>
          </w:tcPr>
          <w:p w14:paraId="18230D5A" w14:textId="77777777" w:rsidR="00BB67F8" w:rsidRPr="00F267DA" w:rsidRDefault="00BB67F8" w:rsidP="004F4D6F">
            <w:pPr>
              <w:jc w:val="center"/>
              <w:rPr>
                <w:rFonts w:ascii="Tahoma" w:eastAsia="Calibri" w:hAnsi="Tahoma" w:cs="Tahoma"/>
              </w:rPr>
            </w:pPr>
            <w:r>
              <w:rPr>
                <w:rFonts w:ascii="Tahoma" w:eastAsia="Calibri" w:hAnsi="Tahoma" w:cs="Tahoma"/>
              </w:rPr>
              <w:t>59,458</w:t>
            </w:r>
          </w:p>
        </w:tc>
      </w:tr>
      <w:tr w:rsidR="00BB67F8" w:rsidRPr="000561A3" w14:paraId="6C3EFCD1" w14:textId="77777777" w:rsidTr="004F4D6F">
        <w:tc>
          <w:tcPr>
            <w:tcW w:w="2940" w:type="dxa"/>
            <w:tcBorders>
              <w:top w:val="single" w:sz="4" w:space="0" w:color="auto"/>
            </w:tcBorders>
            <w:vAlign w:val="center"/>
          </w:tcPr>
          <w:p w14:paraId="5FD4B7A2" w14:textId="77777777" w:rsidR="00BB67F8" w:rsidRPr="000561A3" w:rsidRDefault="00BB67F8" w:rsidP="004F4D6F">
            <w:pPr>
              <w:jc w:val="center"/>
              <w:rPr>
                <w:rFonts w:ascii="Tahoma" w:eastAsia="Calibri" w:hAnsi="Tahoma" w:cs="Tahoma"/>
              </w:rPr>
            </w:pPr>
            <w:r w:rsidRPr="000561A3">
              <w:rPr>
                <w:rFonts w:ascii="Tahoma" w:eastAsia="Calibri" w:hAnsi="Tahoma" w:cs="Tahoma"/>
              </w:rPr>
              <w:t xml:space="preserve">Other Digital Contact </w:t>
            </w:r>
          </w:p>
        </w:tc>
        <w:tc>
          <w:tcPr>
            <w:tcW w:w="1668" w:type="dxa"/>
            <w:tcBorders>
              <w:top w:val="single" w:sz="4" w:space="0" w:color="auto"/>
            </w:tcBorders>
            <w:vAlign w:val="center"/>
          </w:tcPr>
          <w:p w14:paraId="7E95BCF5" w14:textId="77777777" w:rsidR="00BB67F8" w:rsidRPr="001F2F88" w:rsidRDefault="00BB67F8" w:rsidP="004F4D6F">
            <w:pPr>
              <w:jc w:val="center"/>
              <w:rPr>
                <w:rFonts w:ascii="Tahoma" w:eastAsia="Calibri" w:hAnsi="Tahoma" w:cs="Tahoma"/>
              </w:rPr>
            </w:pPr>
            <w:r w:rsidRPr="001F2F88">
              <w:rPr>
                <w:rFonts w:ascii="Tahoma" w:eastAsia="Calibri" w:hAnsi="Tahoma" w:cs="Tahoma"/>
              </w:rPr>
              <w:t>16,591</w:t>
            </w:r>
          </w:p>
        </w:tc>
        <w:tc>
          <w:tcPr>
            <w:tcW w:w="1714" w:type="dxa"/>
            <w:tcBorders>
              <w:top w:val="single" w:sz="4" w:space="0" w:color="auto"/>
            </w:tcBorders>
            <w:vAlign w:val="center"/>
          </w:tcPr>
          <w:p w14:paraId="517EED8D" w14:textId="77777777" w:rsidR="00BB67F8" w:rsidRPr="001F2F88" w:rsidRDefault="00BB67F8" w:rsidP="004F4D6F">
            <w:pPr>
              <w:jc w:val="center"/>
              <w:rPr>
                <w:rFonts w:ascii="Tahoma" w:eastAsia="Calibri" w:hAnsi="Tahoma" w:cs="Tahoma"/>
              </w:rPr>
            </w:pPr>
            <w:r w:rsidRPr="001F2F88">
              <w:rPr>
                <w:rFonts w:ascii="Tahoma" w:eastAsia="Calibri" w:hAnsi="Tahoma" w:cs="Tahoma"/>
              </w:rPr>
              <w:t>133,176</w:t>
            </w:r>
          </w:p>
        </w:tc>
        <w:tc>
          <w:tcPr>
            <w:tcW w:w="1824" w:type="dxa"/>
            <w:tcBorders>
              <w:top w:val="single" w:sz="4" w:space="0" w:color="auto"/>
            </w:tcBorders>
            <w:vAlign w:val="center"/>
          </w:tcPr>
          <w:p w14:paraId="0D6C1F74" w14:textId="77777777" w:rsidR="00BB67F8" w:rsidRPr="001F2F88" w:rsidRDefault="00BB67F8" w:rsidP="004F4D6F">
            <w:pPr>
              <w:jc w:val="center"/>
              <w:rPr>
                <w:rFonts w:ascii="Tahoma" w:eastAsia="Calibri" w:hAnsi="Tahoma" w:cs="Tahoma"/>
              </w:rPr>
            </w:pPr>
            <w:r w:rsidRPr="001F2F88">
              <w:rPr>
                <w:rFonts w:ascii="Tahoma" w:eastAsia="Calibri" w:hAnsi="Tahoma" w:cs="Tahoma"/>
              </w:rPr>
              <w:t>136,977</w:t>
            </w:r>
          </w:p>
        </w:tc>
        <w:tc>
          <w:tcPr>
            <w:tcW w:w="1625" w:type="dxa"/>
            <w:tcBorders>
              <w:top w:val="single" w:sz="4" w:space="0" w:color="auto"/>
            </w:tcBorders>
            <w:vAlign w:val="center"/>
          </w:tcPr>
          <w:p w14:paraId="07FF67D5" w14:textId="77777777" w:rsidR="00BB67F8" w:rsidRDefault="00BB67F8" w:rsidP="004F4D6F">
            <w:pPr>
              <w:jc w:val="center"/>
              <w:rPr>
                <w:rFonts w:ascii="Tahoma" w:eastAsia="Calibri" w:hAnsi="Tahoma" w:cs="Tahoma"/>
              </w:rPr>
            </w:pPr>
            <w:r>
              <w:rPr>
                <w:rFonts w:ascii="Tahoma" w:eastAsia="Calibri" w:hAnsi="Tahoma" w:cs="Tahoma"/>
              </w:rPr>
              <w:t>146,505</w:t>
            </w:r>
          </w:p>
        </w:tc>
      </w:tr>
      <w:tr w:rsidR="00BB67F8" w:rsidRPr="000561A3" w14:paraId="70A953C1" w14:textId="77777777" w:rsidTr="004F4D6F">
        <w:tc>
          <w:tcPr>
            <w:tcW w:w="2940" w:type="dxa"/>
            <w:tcBorders>
              <w:top w:val="double" w:sz="4" w:space="0" w:color="auto"/>
            </w:tcBorders>
            <w:vAlign w:val="center"/>
          </w:tcPr>
          <w:p w14:paraId="4775BEBC" w14:textId="77777777" w:rsidR="00BB67F8" w:rsidRPr="000561A3" w:rsidRDefault="00BB67F8" w:rsidP="004F4D6F">
            <w:pPr>
              <w:jc w:val="center"/>
              <w:rPr>
                <w:rFonts w:ascii="Tahoma" w:eastAsia="Calibri" w:hAnsi="Tahoma" w:cs="Tahoma"/>
              </w:rPr>
            </w:pPr>
            <w:r w:rsidRPr="000561A3">
              <w:rPr>
                <w:rFonts w:ascii="Tahoma" w:eastAsia="Calibri" w:hAnsi="Tahoma" w:cs="Tahoma"/>
              </w:rPr>
              <w:t>Total</w:t>
            </w:r>
          </w:p>
        </w:tc>
        <w:tc>
          <w:tcPr>
            <w:tcW w:w="1668" w:type="dxa"/>
            <w:tcBorders>
              <w:top w:val="double" w:sz="4" w:space="0" w:color="auto"/>
            </w:tcBorders>
            <w:vAlign w:val="center"/>
          </w:tcPr>
          <w:p w14:paraId="0B22FFDA" w14:textId="77777777" w:rsidR="00BB67F8" w:rsidRPr="001F2F88" w:rsidRDefault="00BB67F8" w:rsidP="004F4D6F">
            <w:pPr>
              <w:jc w:val="center"/>
              <w:rPr>
                <w:rFonts w:ascii="Tahoma" w:eastAsia="Calibri" w:hAnsi="Tahoma" w:cs="Tahoma"/>
              </w:rPr>
            </w:pPr>
            <w:r w:rsidRPr="001F2F88">
              <w:rPr>
                <w:rFonts w:ascii="Tahoma" w:eastAsia="Calibri" w:hAnsi="Tahoma" w:cs="Tahoma"/>
              </w:rPr>
              <w:t>99,862</w:t>
            </w:r>
          </w:p>
        </w:tc>
        <w:tc>
          <w:tcPr>
            <w:tcW w:w="1714" w:type="dxa"/>
            <w:tcBorders>
              <w:top w:val="double" w:sz="4" w:space="0" w:color="auto"/>
            </w:tcBorders>
            <w:vAlign w:val="center"/>
          </w:tcPr>
          <w:p w14:paraId="58BE0198" w14:textId="77777777" w:rsidR="00BB67F8" w:rsidRPr="001F2F88" w:rsidRDefault="00BB67F8" w:rsidP="004F4D6F">
            <w:pPr>
              <w:jc w:val="center"/>
              <w:rPr>
                <w:rFonts w:ascii="Tahoma" w:eastAsia="Calibri" w:hAnsi="Tahoma" w:cs="Tahoma"/>
              </w:rPr>
            </w:pPr>
            <w:r w:rsidRPr="001F2F88">
              <w:rPr>
                <w:rFonts w:ascii="Tahoma" w:eastAsia="Calibri" w:hAnsi="Tahoma" w:cs="Tahoma"/>
              </w:rPr>
              <w:t>252,427</w:t>
            </w:r>
          </w:p>
        </w:tc>
        <w:tc>
          <w:tcPr>
            <w:tcW w:w="1824" w:type="dxa"/>
            <w:tcBorders>
              <w:top w:val="double" w:sz="4" w:space="0" w:color="auto"/>
            </w:tcBorders>
            <w:vAlign w:val="center"/>
          </w:tcPr>
          <w:p w14:paraId="0C50154A" w14:textId="77777777" w:rsidR="00BB67F8" w:rsidRPr="001F2F88" w:rsidRDefault="00BB67F8" w:rsidP="004F4D6F">
            <w:pPr>
              <w:jc w:val="center"/>
              <w:rPr>
                <w:rFonts w:ascii="Tahoma" w:eastAsia="Calibri" w:hAnsi="Tahoma" w:cs="Tahoma"/>
              </w:rPr>
            </w:pPr>
            <w:r w:rsidRPr="001F2F88">
              <w:rPr>
                <w:rFonts w:ascii="Tahoma" w:eastAsia="Calibri" w:hAnsi="Tahoma" w:cs="Tahoma"/>
              </w:rPr>
              <w:t>250,775</w:t>
            </w:r>
          </w:p>
        </w:tc>
        <w:tc>
          <w:tcPr>
            <w:tcW w:w="1625" w:type="dxa"/>
            <w:tcBorders>
              <w:top w:val="double" w:sz="4" w:space="0" w:color="auto"/>
            </w:tcBorders>
            <w:vAlign w:val="center"/>
          </w:tcPr>
          <w:p w14:paraId="774D6F07" w14:textId="77777777" w:rsidR="00BB67F8" w:rsidRDefault="00BB67F8" w:rsidP="004F4D6F">
            <w:pPr>
              <w:jc w:val="center"/>
              <w:rPr>
                <w:rFonts w:ascii="Tahoma" w:eastAsia="Calibri" w:hAnsi="Tahoma" w:cs="Tahoma"/>
              </w:rPr>
            </w:pPr>
            <w:r>
              <w:rPr>
                <w:rFonts w:ascii="Tahoma" w:eastAsia="Calibri" w:hAnsi="Tahoma" w:cs="Tahoma"/>
              </w:rPr>
              <w:t>254,839</w:t>
            </w:r>
          </w:p>
        </w:tc>
      </w:tr>
    </w:tbl>
    <w:p w14:paraId="4A523CAE" w14:textId="76315856" w:rsidR="002F60E9" w:rsidRDefault="00BB67F8" w:rsidP="002F60E9">
      <w:pPr>
        <w:spacing w:after="0" w:line="240" w:lineRule="auto"/>
        <w:rPr>
          <w:rFonts w:ascii="Tahoma" w:eastAsia="Times New Roman" w:hAnsi="Tahoma" w:cs="Tahoma"/>
          <w:lang w:eastAsia="en-GB"/>
        </w:rPr>
      </w:pPr>
      <w:r w:rsidRPr="002F60E9">
        <w:rPr>
          <w:rFonts w:ascii="Tahoma" w:eastAsia="Times New Roman" w:hAnsi="Tahoma" w:cs="Tahoma"/>
          <w:lang w:eastAsia="en-GB"/>
        </w:rPr>
        <w:t>Performance for 999</w:t>
      </w:r>
      <w:r w:rsidR="00F51D36">
        <w:rPr>
          <w:rFonts w:ascii="Tahoma" w:eastAsia="Times New Roman" w:hAnsi="Tahoma" w:cs="Tahoma"/>
          <w:lang w:eastAsia="en-GB"/>
        </w:rPr>
        <w:t xml:space="preserve"> calls</w:t>
      </w:r>
      <w:r w:rsidRPr="002F60E9">
        <w:rPr>
          <w:rFonts w:ascii="Tahoma" w:eastAsia="Times New Roman" w:hAnsi="Tahoma" w:cs="Tahoma"/>
          <w:lang w:eastAsia="en-GB"/>
        </w:rPr>
        <w:t xml:space="preserve"> has seen improvements across the </w:t>
      </w:r>
      <w:r w:rsidR="002F60E9">
        <w:rPr>
          <w:rFonts w:ascii="Tahoma" w:eastAsia="Times New Roman" w:hAnsi="Tahoma" w:cs="Tahoma"/>
          <w:lang w:eastAsia="en-GB"/>
        </w:rPr>
        <w:t>reporting</w:t>
      </w:r>
      <w:r w:rsidRPr="002F60E9">
        <w:rPr>
          <w:rFonts w:ascii="Tahoma" w:eastAsia="Times New Roman" w:hAnsi="Tahoma" w:cs="Tahoma"/>
          <w:lang w:eastAsia="en-GB"/>
        </w:rPr>
        <w:t xml:space="preserve"> period</w:t>
      </w:r>
      <w:r w:rsidR="002F60E9">
        <w:rPr>
          <w:rFonts w:ascii="Tahoma" w:eastAsia="Times New Roman" w:hAnsi="Tahoma" w:cs="Tahoma"/>
          <w:lang w:eastAsia="en-GB"/>
        </w:rPr>
        <w:t>,</w:t>
      </w:r>
      <w:r w:rsidRPr="002F60E9">
        <w:rPr>
          <w:rFonts w:ascii="Tahoma" w:eastAsia="Times New Roman" w:hAnsi="Tahoma" w:cs="Tahoma"/>
          <w:lang w:eastAsia="en-GB"/>
        </w:rPr>
        <w:t xml:space="preserve"> despite higher call volumes.  The average answer time has decreased over the period from 16 seconds to 3 seconds with the proportion answered within 10 seconds increasing from 66.74% to 96.59%. </w:t>
      </w:r>
    </w:p>
    <w:p w14:paraId="12E2290C" w14:textId="77777777" w:rsidR="002F60E9" w:rsidRDefault="002F60E9" w:rsidP="002F60E9">
      <w:pPr>
        <w:spacing w:after="0" w:line="240" w:lineRule="auto"/>
        <w:rPr>
          <w:rFonts w:ascii="Tahoma" w:eastAsia="Times New Roman" w:hAnsi="Tahoma" w:cs="Tahoma"/>
          <w:lang w:eastAsia="en-GB"/>
        </w:rPr>
      </w:pPr>
    </w:p>
    <w:p w14:paraId="194D7BA7" w14:textId="2BD79C2F" w:rsidR="00BB67F8" w:rsidRPr="002F60E9" w:rsidRDefault="00BB67F8" w:rsidP="002F60E9">
      <w:pPr>
        <w:spacing w:after="0" w:line="240" w:lineRule="auto"/>
        <w:rPr>
          <w:rFonts w:ascii="Tahoma" w:eastAsia="Times New Roman" w:hAnsi="Tahoma" w:cs="Tahoma"/>
          <w:lang w:eastAsia="en-GB"/>
        </w:rPr>
      </w:pPr>
      <w:r w:rsidRPr="002F60E9">
        <w:rPr>
          <w:rFonts w:ascii="Tahoma" w:eastAsia="Times New Roman" w:hAnsi="Tahoma" w:cs="Tahoma"/>
          <w:lang w:eastAsia="en-GB"/>
        </w:rPr>
        <w:t xml:space="preserve">National comparisons </w:t>
      </w:r>
      <w:r w:rsidR="002F60E9">
        <w:rPr>
          <w:rFonts w:ascii="Tahoma" w:eastAsia="Times New Roman" w:hAnsi="Tahoma" w:cs="Tahoma"/>
          <w:lang w:eastAsia="en-GB"/>
        </w:rPr>
        <w:t>are derived</w:t>
      </w:r>
      <w:r w:rsidRPr="002F60E9">
        <w:rPr>
          <w:rFonts w:ascii="Tahoma" w:eastAsia="Times New Roman" w:hAnsi="Tahoma" w:cs="Tahoma"/>
          <w:lang w:eastAsia="en-GB"/>
        </w:rPr>
        <w:t xml:space="preserve"> from the </w:t>
      </w:r>
      <w:r w:rsidR="002F60E9">
        <w:rPr>
          <w:rFonts w:ascii="Tahoma" w:eastAsia="Times New Roman" w:hAnsi="Tahoma" w:cs="Tahoma"/>
          <w:lang w:eastAsia="en-GB"/>
        </w:rPr>
        <w:t>‘</w:t>
      </w:r>
      <w:r w:rsidRPr="002F60E9">
        <w:rPr>
          <w:rFonts w:ascii="Tahoma" w:eastAsia="Times New Roman" w:hAnsi="Tahoma" w:cs="Tahoma"/>
          <w:lang w:eastAsia="en-GB"/>
        </w:rPr>
        <w:t>Beating Crime Plan</w:t>
      </w:r>
      <w:r w:rsidR="002F60E9">
        <w:rPr>
          <w:rFonts w:ascii="Tahoma" w:eastAsia="Times New Roman" w:hAnsi="Tahoma" w:cs="Tahoma"/>
          <w:lang w:eastAsia="en-GB"/>
        </w:rPr>
        <w:t>’</w:t>
      </w:r>
      <w:r w:rsidRPr="002F60E9">
        <w:rPr>
          <w:rFonts w:ascii="Tahoma" w:eastAsia="Times New Roman" w:hAnsi="Tahoma" w:cs="Tahoma"/>
          <w:lang w:eastAsia="en-GB"/>
        </w:rPr>
        <w:t xml:space="preserve"> data.  For </w:t>
      </w:r>
      <w:r w:rsidR="002F60E9">
        <w:rPr>
          <w:rFonts w:ascii="Tahoma" w:eastAsia="Times New Roman" w:hAnsi="Tahoma" w:cs="Tahoma"/>
          <w:lang w:eastAsia="en-GB"/>
        </w:rPr>
        <w:t>2024/25</w:t>
      </w:r>
      <w:r w:rsidRPr="002F60E9">
        <w:rPr>
          <w:rFonts w:ascii="Tahoma" w:eastAsia="Times New Roman" w:hAnsi="Tahoma" w:cs="Tahoma"/>
          <w:lang w:eastAsia="en-GB"/>
        </w:rPr>
        <w:t>, Kent recorded an average answer</w:t>
      </w:r>
      <w:r w:rsidR="002F60E9">
        <w:rPr>
          <w:rFonts w:ascii="Tahoma" w:eastAsia="Times New Roman" w:hAnsi="Tahoma" w:cs="Tahoma"/>
          <w:lang w:eastAsia="en-GB"/>
        </w:rPr>
        <w:t xml:space="preserve"> time</w:t>
      </w:r>
      <w:r w:rsidRPr="002F60E9">
        <w:rPr>
          <w:rFonts w:ascii="Tahoma" w:eastAsia="Times New Roman" w:hAnsi="Tahoma" w:cs="Tahoma"/>
          <w:lang w:eastAsia="en-GB"/>
        </w:rPr>
        <w:t xml:space="preserve"> of 5.28 seconds with 94.3% in under 10 seconds, improv</w:t>
      </w:r>
      <w:r w:rsidR="002F60E9">
        <w:rPr>
          <w:rFonts w:ascii="Tahoma" w:eastAsia="Times New Roman" w:hAnsi="Tahoma" w:cs="Tahoma"/>
          <w:lang w:eastAsia="en-GB"/>
        </w:rPr>
        <w:t>ing</w:t>
      </w:r>
      <w:r w:rsidRPr="002F60E9">
        <w:rPr>
          <w:rFonts w:ascii="Tahoma" w:eastAsia="Times New Roman" w:hAnsi="Tahoma" w:cs="Tahoma"/>
          <w:lang w:eastAsia="en-GB"/>
        </w:rPr>
        <w:t xml:space="preserve"> on both last year and over the 4 year</w:t>
      </w:r>
      <w:r w:rsidR="002F60E9">
        <w:rPr>
          <w:rFonts w:ascii="Tahoma" w:eastAsia="Times New Roman" w:hAnsi="Tahoma" w:cs="Tahoma"/>
          <w:lang w:eastAsia="en-GB"/>
        </w:rPr>
        <w:t>s’</w:t>
      </w:r>
      <w:r w:rsidRPr="002F60E9">
        <w:rPr>
          <w:rFonts w:ascii="Tahoma" w:eastAsia="Times New Roman" w:hAnsi="Tahoma" w:cs="Tahoma"/>
          <w:lang w:eastAsia="en-GB"/>
        </w:rPr>
        <w:t xml:space="preserve"> period.</w:t>
      </w:r>
      <w:r w:rsidR="00F51D36">
        <w:rPr>
          <w:rFonts w:ascii="Tahoma" w:eastAsia="Times New Roman" w:hAnsi="Tahoma" w:cs="Tahoma"/>
          <w:lang w:eastAsia="en-GB"/>
        </w:rPr>
        <w:t xml:space="preserve">  </w:t>
      </w:r>
      <w:r w:rsidRPr="002F60E9">
        <w:rPr>
          <w:rFonts w:ascii="Tahoma" w:eastAsia="Times New Roman" w:hAnsi="Tahoma" w:cs="Tahoma"/>
          <w:lang w:eastAsia="en-GB"/>
        </w:rPr>
        <w:t xml:space="preserve">Performance for 101 has also improved over the </w:t>
      </w:r>
      <w:r w:rsidR="002F60E9">
        <w:rPr>
          <w:rFonts w:ascii="Tahoma" w:eastAsia="Times New Roman" w:hAnsi="Tahoma" w:cs="Tahoma"/>
          <w:lang w:eastAsia="en-GB"/>
        </w:rPr>
        <w:t>reporting</w:t>
      </w:r>
      <w:r w:rsidRPr="002F60E9">
        <w:rPr>
          <w:rFonts w:ascii="Tahoma" w:eastAsia="Times New Roman" w:hAnsi="Tahoma" w:cs="Tahoma"/>
          <w:lang w:eastAsia="en-GB"/>
        </w:rPr>
        <w:t xml:space="preserve"> period with </w:t>
      </w:r>
      <w:r w:rsidR="002F60E9">
        <w:rPr>
          <w:rFonts w:ascii="Tahoma" w:eastAsia="Times New Roman" w:hAnsi="Tahoma" w:cs="Tahoma"/>
          <w:lang w:eastAsia="en-GB"/>
        </w:rPr>
        <w:t>2024/25</w:t>
      </w:r>
      <w:r w:rsidRPr="002F60E9">
        <w:rPr>
          <w:rFonts w:ascii="Tahoma" w:eastAsia="Times New Roman" w:hAnsi="Tahoma" w:cs="Tahoma"/>
          <w:lang w:eastAsia="en-GB"/>
        </w:rPr>
        <w:t xml:space="preserve"> seeing an average </w:t>
      </w:r>
      <w:r w:rsidR="002F60E9">
        <w:rPr>
          <w:rFonts w:ascii="Tahoma" w:eastAsia="Times New Roman" w:hAnsi="Tahoma" w:cs="Tahoma"/>
          <w:lang w:eastAsia="en-GB"/>
        </w:rPr>
        <w:t xml:space="preserve">of </w:t>
      </w:r>
      <w:r w:rsidRPr="002F60E9">
        <w:rPr>
          <w:rFonts w:ascii="Tahoma" w:eastAsia="Times New Roman" w:hAnsi="Tahoma" w:cs="Tahoma"/>
          <w:lang w:eastAsia="en-GB"/>
        </w:rPr>
        <w:t>2.95% of calls not answered and an average answer time of 31 seconds</w:t>
      </w:r>
      <w:r w:rsidR="002F60E9">
        <w:rPr>
          <w:rFonts w:ascii="Tahoma" w:eastAsia="Times New Roman" w:hAnsi="Tahoma" w:cs="Tahoma"/>
          <w:lang w:eastAsia="en-GB"/>
        </w:rPr>
        <w:t>,</w:t>
      </w:r>
      <w:r w:rsidRPr="002F60E9">
        <w:rPr>
          <w:rFonts w:ascii="Tahoma" w:eastAsia="Times New Roman" w:hAnsi="Tahoma" w:cs="Tahoma"/>
          <w:lang w:eastAsia="en-GB"/>
        </w:rPr>
        <w:t xml:space="preserve"> compared to 8.75% not answered and a 1 minute 6 second average time to answer for the previous year.</w:t>
      </w:r>
      <w:r w:rsidR="002F60E9">
        <w:rPr>
          <w:rFonts w:ascii="Tahoma" w:eastAsia="Times New Roman" w:hAnsi="Tahoma" w:cs="Tahoma"/>
          <w:lang w:eastAsia="en-GB"/>
        </w:rPr>
        <w:t xml:space="preserve">  </w:t>
      </w:r>
      <w:r w:rsidRPr="002F60E9">
        <w:rPr>
          <w:rFonts w:ascii="Tahoma" w:eastAsia="Times New Roman" w:hAnsi="Tahoma" w:cs="Tahoma"/>
          <w:lang w:eastAsia="en-GB"/>
        </w:rPr>
        <w:t xml:space="preserve">National publication of 101 data is still under development.  </w:t>
      </w:r>
    </w:p>
    <w:p w14:paraId="4C8D71AF" w14:textId="77777777" w:rsidR="00BB67F8" w:rsidRPr="002F60E9" w:rsidRDefault="00BB67F8" w:rsidP="002F60E9">
      <w:pPr>
        <w:spacing w:after="0" w:line="240" w:lineRule="auto"/>
        <w:rPr>
          <w:rFonts w:ascii="Tahoma" w:eastAsia="Times New Roman" w:hAnsi="Tahoma" w:cs="Tahoma"/>
          <w:lang w:eastAsia="en-GB"/>
        </w:rPr>
      </w:pPr>
    </w:p>
    <w:p w14:paraId="2C8FE871" w14:textId="5FB4C624" w:rsidR="00BB67F8" w:rsidRPr="002F60E9" w:rsidRDefault="7B077058" w:rsidP="002F60E9">
      <w:pPr>
        <w:spacing w:after="0" w:line="240" w:lineRule="auto"/>
        <w:rPr>
          <w:rFonts w:ascii="Tahoma" w:eastAsia="Times New Roman" w:hAnsi="Tahoma" w:cs="Tahoma"/>
          <w:lang w:eastAsia="en-GB"/>
        </w:rPr>
      </w:pPr>
      <w:r w:rsidRPr="1D7D8BE7">
        <w:rPr>
          <w:rFonts w:ascii="Tahoma" w:eastAsia="Times New Roman" w:hAnsi="Tahoma" w:cs="Tahoma"/>
          <w:lang w:eastAsia="en-GB"/>
        </w:rPr>
        <w:t xml:space="preserve">Since January 2024, the performance delivery for both </w:t>
      </w:r>
      <w:r w:rsidR="3E5863F0" w:rsidRPr="1D7D8BE7">
        <w:rPr>
          <w:rFonts w:ascii="Tahoma" w:eastAsia="Times New Roman" w:hAnsi="Tahoma" w:cs="Tahoma"/>
          <w:lang w:eastAsia="en-GB"/>
        </w:rPr>
        <w:t xml:space="preserve">999 and 101 </w:t>
      </w:r>
      <w:r w:rsidRPr="1D7D8BE7">
        <w:rPr>
          <w:rFonts w:ascii="Tahoma" w:eastAsia="Times New Roman" w:hAnsi="Tahoma" w:cs="Tahoma"/>
          <w:lang w:eastAsia="en-GB"/>
        </w:rPr>
        <w:t>services have co</w:t>
      </w:r>
      <w:r w:rsidR="3E5863F0" w:rsidRPr="1D7D8BE7">
        <w:rPr>
          <w:rFonts w:ascii="Tahoma" w:eastAsia="Times New Roman" w:hAnsi="Tahoma" w:cs="Tahoma"/>
          <w:lang w:eastAsia="en-GB"/>
        </w:rPr>
        <w:t>nsistently improve</w:t>
      </w:r>
      <w:r w:rsidRPr="1D7D8BE7">
        <w:rPr>
          <w:rFonts w:ascii="Tahoma" w:eastAsia="Times New Roman" w:hAnsi="Tahoma" w:cs="Tahoma"/>
          <w:lang w:eastAsia="en-GB"/>
        </w:rPr>
        <w:t>d</w:t>
      </w:r>
      <w:r w:rsidR="3E5863F0" w:rsidRPr="1D7D8BE7">
        <w:rPr>
          <w:rFonts w:ascii="Tahoma" w:eastAsia="Times New Roman" w:hAnsi="Tahoma" w:cs="Tahoma"/>
          <w:lang w:eastAsia="en-GB"/>
        </w:rPr>
        <w:t>.</w:t>
      </w:r>
      <w:r w:rsidRPr="1D7D8BE7">
        <w:rPr>
          <w:rFonts w:ascii="Tahoma" w:eastAsia="Times New Roman" w:hAnsi="Tahoma" w:cs="Tahoma"/>
          <w:lang w:eastAsia="en-GB"/>
        </w:rPr>
        <w:t xml:space="preserve">  The following tables show the national y</w:t>
      </w:r>
      <w:r w:rsidR="3E5863F0" w:rsidRPr="1D7D8BE7">
        <w:rPr>
          <w:rFonts w:ascii="Tahoma" w:eastAsia="Times New Roman" w:hAnsi="Tahoma" w:cs="Tahoma"/>
          <w:lang w:eastAsia="en-GB"/>
        </w:rPr>
        <w:t>ear</w:t>
      </w:r>
      <w:r w:rsidR="6E653DCF" w:rsidRPr="1D7D8BE7">
        <w:rPr>
          <w:rFonts w:ascii="Tahoma" w:eastAsia="Times New Roman" w:hAnsi="Tahoma" w:cs="Tahoma"/>
          <w:lang w:eastAsia="en-GB"/>
        </w:rPr>
        <w:t>-</w:t>
      </w:r>
      <w:r w:rsidR="3E5863F0" w:rsidRPr="1D7D8BE7">
        <w:rPr>
          <w:rFonts w:ascii="Tahoma" w:eastAsia="Times New Roman" w:hAnsi="Tahoma" w:cs="Tahoma"/>
          <w:lang w:eastAsia="en-GB"/>
        </w:rPr>
        <w:t>on</w:t>
      </w:r>
      <w:r w:rsidR="6E653DCF" w:rsidRPr="1D7D8BE7">
        <w:rPr>
          <w:rFonts w:ascii="Tahoma" w:eastAsia="Times New Roman" w:hAnsi="Tahoma" w:cs="Tahoma"/>
          <w:lang w:eastAsia="en-GB"/>
        </w:rPr>
        <w:t>-</w:t>
      </w:r>
      <w:r w:rsidR="3E5863F0" w:rsidRPr="1D7D8BE7">
        <w:rPr>
          <w:rFonts w:ascii="Tahoma" w:eastAsia="Times New Roman" w:hAnsi="Tahoma" w:cs="Tahoma"/>
          <w:lang w:eastAsia="en-GB"/>
        </w:rPr>
        <w:t xml:space="preserve">year comparison for 999 </w:t>
      </w:r>
      <w:r w:rsidRPr="1D7D8BE7">
        <w:rPr>
          <w:rFonts w:ascii="Tahoma" w:eastAsia="Times New Roman" w:hAnsi="Tahoma" w:cs="Tahoma"/>
          <w:lang w:eastAsia="en-GB"/>
        </w:rPr>
        <w:t>p</w:t>
      </w:r>
      <w:r w:rsidR="3E5863F0" w:rsidRPr="1D7D8BE7">
        <w:rPr>
          <w:rFonts w:ascii="Tahoma" w:eastAsia="Times New Roman" w:hAnsi="Tahoma" w:cs="Tahoma"/>
          <w:lang w:eastAsia="en-GB"/>
        </w:rPr>
        <w:t xml:space="preserve">erformance: </w:t>
      </w:r>
    </w:p>
    <w:p w14:paraId="27D4F0F9" w14:textId="77777777" w:rsidR="00BB67F8" w:rsidRPr="008E4970" w:rsidRDefault="00BB67F8" w:rsidP="00BB67F8">
      <w:pPr>
        <w:spacing w:after="0" w:line="240" w:lineRule="auto"/>
        <w:rPr>
          <w:rFonts w:ascii="Tahoma" w:eastAsia="Times New Roman" w:hAnsi="Tahoma" w:cs="Tahoma"/>
          <w:color w:val="FF0000"/>
          <w:lang w:eastAsia="en-GB"/>
        </w:rPr>
      </w:pPr>
    </w:p>
    <w:tbl>
      <w:tblPr>
        <w:tblW w:w="9634" w:type="dxa"/>
        <w:jc w:val="center"/>
        <w:tblLayout w:type="fixed"/>
        <w:tblLook w:val="04A0" w:firstRow="1" w:lastRow="0" w:firstColumn="1" w:lastColumn="0" w:noHBand="0" w:noVBand="1"/>
      </w:tblPr>
      <w:tblGrid>
        <w:gridCol w:w="1129"/>
        <w:gridCol w:w="1170"/>
        <w:gridCol w:w="106"/>
        <w:gridCol w:w="1134"/>
        <w:gridCol w:w="575"/>
        <w:gridCol w:w="701"/>
        <w:gridCol w:w="581"/>
        <w:gridCol w:w="553"/>
        <w:gridCol w:w="401"/>
        <w:gridCol w:w="875"/>
        <w:gridCol w:w="79"/>
        <w:gridCol w:w="954"/>
        <w:gridCol w:w="101"/>
        <w:gridCol w:w="1275"/>
      </w:tblGrid>
      <w:tr w:rsidR="00BB67F8" w:rsidRPr="008E4970" w14:paraId="7686EE77" w14:textId="77777777" w:rsidTr="002A55FF">
        <w:trPr>
          <w:trHeight w:val="300"/>
          <w:jc w:val="center"/>
        </w:trPr>
        <w:tc>
          <w:tcPr>
            <w:tcW w:w="9634"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2D4398" w14:textId="77777777" w:rsidR="00BB67F8" w:rsidRPr="008E4970" w:rsidRDefault="00BB67F8" w:rsidP="004F4D6F">
            <w:pPr>
              <w:spacing w:after="0" w:line="240" w:lineRule="auto"/>
              <w:jc w:val="center"/>
              <w:rPr>
                <w:rFonts w:ascii="Tahoma" w:eastAsia="Times New Roman" w:hAnsi="Tahoma" w:cs="Tahoma"/>
                <w:b/>
                <w:bCs/>
                <w:color w:val="FF0000"/>
                <w:lang w:eastAsia="en-GB"/>
              </w:rPr>
            </w:pPr>
            <w:r w:rsidRPr="00021DB1">
              <w:rPr>
                <w:rFonts w:ascii="Tahoma" w:eastAsia="Times New Roman" w:hAnsi="Tahoma" w:cs="Tahoma"/>
                <w:b/>
                <w:bCs/>
                <w:lang w:eastAsia="en-GB"/>
              </w:rPr>
              <w:t>Average answer time from BT data*</w:t>
            </w:r>
          </w:p>
        </w:tc>
      </w:tr>
      <w:tr w:rsidR="00BB67F8" w:rsidRPr="008E4970" w14:paraId="7323CB45" w14:textId="77777777" w:rsidTr="002A55FF">
        <w:trPr>
          <w:trHeight w:val="300"/>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E5EC2" w14:textId="77777777" w:rsidR="002F60E9" w:rsidRDefault="00BB67F8" w:rsidP="004F4D6F">
            <w:pPr>
              <w:spacing w:after="0" w:line="240" w:lineRule="auto"/>
              <w:jc w:val="center"/>
              <w:rPr>
                <w:rFonts w:ascii="Tahoma" w:eastAsia="Calibri" w:hAnsi="Tahoma" w:cs="Tahoma"/>
              </w:rPr>
            </w:pPr>
            <w:r>
              <w:rPr>
                <w:rFonts w:ascii="Tahoma" w:eastAsia="Calibri" w:hAnsi="Tahoma" w:cs="Tahoma"/>
              </w:rPr>
              <w:t xml:space="preserve">April 2021 to </w:t>
            </w:r>
          </w:p>
          <w:p w14:paraId="317739AD" w14:textId="34413015" w:rsidR="00BB67F8" w:rsidRPr="008E4970" w:rsidRDefault="00BB67F8" w:rsidP="004F4D6F">
            <w:pPr>
              <w:spacing w:after="0" w:line="240" w:lineRule="auto"/>
              <w:jc w:val="center"/>
              <w:rPr>
                <w:rFonts w:ascii="Tahoma" w:eastAsia="Times New Roman" w:hAnsi="Tahoma" w:cs="Tahoma"/>
                <w:color w:val="FF0000"/>
                <w:lang w:eastAsia="en-GB"/>
              </w:rPr>
            </w:pPr>
            <w:r>
              <w:rPr>
                <w:rFonts w:ascii="Tahoma" w:eastAsia="Calibri" w:hAnsi="Tahoma" w:cs="Tahoma"/>
              </w:rPr>
              <w:t>March 2022</w:t>
            </w:r>
          </w:p>
        </w:tc>
        <w:tc>
          <w:tcPr>
            <w:tcW w:w="24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F76C79" w14:textId="77777777" w:rsidR="002F60E9" w:rsidRDefault="00BB67F8" w:rsidP="004F4D6F">
            <w:pPr>
              <w:spacing w:after="0" w:line="240" w:lineRule="auto"/>
              <w:jc w:val="center"/>
              <w:rPr>
                <w:rFonts w:ascii="Tahoma" w:eastAsia="Calibri" w:hAnsi="Tahoma" w:cs="Tahoma"/>
              </w:rPr>
            </w:pPr>
            <w:r>
              <w:rPr>
                <w:rFonts w:ascii="Tahoma" w:eastAsia="Calibri" w:hAnsi="Tahoma" w:cs="Tahoma"/>
              </w:rPr>
              <w:t xml:space="preserve">April 2022 to </w:t>
            </w:r>
          </w:p>
          <w:p w14:paraId="45EC71CC" w14:textId="44E61D1B" w:rsidR="00BB67F8" w:rsidRPr="008E4970" w:rsidRDefault="00BB67F8" w:rsidP="004F4D6F">
            <w:pPr>
              <w:spacing w:after="0" w:line="240" w:lineRule="auto"/>
              <w:jc w:val="center"/>
              <w:rPr>
                <w:rFonts w:ascii="Tahoma" w:eastAsia="Times New Roman" w:hAnsi="Tahoma" w:cs="Tahoma"/>
                <w:color w:val="FF0000"/>
                <w:lang w:eastAsia="en-GB"/>
              </w:rPr>
            </w:pPr>
            <w:r>
              <w:rPr>
                <w:rFonts w:ascii="Tahoma" w:eastAsia="Calibri" w:hAnsi="Tahoma" w:cs="Tahoma"/>
              </w:rPr>
              <w:t>March 2023</w:t>
            </w:r>
          </w:p>
        </w:tc>
        <w:tc>
          <w:tcPr>
            <w:tcW w:w="2410" w:type="dxa"/>
            <w:gridSpan w:val="4"/>
            <w:tcBorders>
              <w:top w:val="single" w:sz="4" w:space="0" w:color="auto"/>
              <w:left w:val="nil"/>
              <w:bottom w:val="single" w:sz="4" w:space="0" w:color="auto"/>
              <w:right w:val="single" w:sz="4" w:space="0" w:color="auto"/>
            </w:tcBorders>
            <w:vAlign w:val="center"/>
          </w:tcPr>
          <w:p w14:paraId="2CAAFC62" w14:textId="77777777" w:rsidR="002F60E9" w:rsidRDefault="00BB67F8" w:rsidP="004F4D6F">
            <w:pPr>
              <w:spacing w:after="0" w:line="240" w:lineRule="auto"/>
              <w:jc w:val="center"/>
              <w:rPr>
                <w:rFonts w:ascii="Tahoma" w:eastAsia="Calibri" w:hAnsi="Tahoma" w:cs="Tahoma"/>
              </w:rPr>
            </w:pPr>
            <w:r>
              <w:rPr>
                <w:rFonts w:ascii="Tahoma" w:eastAsia="Calibri" w:hAnsi="Tahoma" w:cs="Tahoma"/>
              </w:rPr>
              <w:t xml:space="preserve">April 2023 to </w:t>
            </w:r>
          </w:p>
          <w:p w14:paraId="1AD671AF" w14:textId="11094BBB" w:rsidR="00BB67F8" w:rsidRPr="008E4970" w:rsidRDefault="00BB67F8" w:rsidP="004F4D6F">
            <w:pPr>
              <w:spacing w:after="0" w:line="240" w:lineRule="auto"/>
              <w:jc w:val="center"/>
              <w:rPr>
                <w:rFonts w:ascii="Tahoma" w:eastAsia="Times New Roman" w:hAnsi="Tahoma" w:cs="Tahoma"/>
                <w:color w:val="FF0000"/>
                <w:lang w:eastAsia="en-GB"/>
              </w:rPr>
            </w:pPr>
            <w:r>
              <w:rPr>
                <w:rFonts w:ascii="Tahoma" w:eastAsia="Calibri" w:hAnsi="Tahoma" w:cs="Tahoma"/>
              </w:rPr>
              <w:t>March 2024</w:t>
            </w:r>
          </w:p>
        </w:tc>
        <w:tc>
          <w:tcPr>
            <w:tcW w:w="2409" w:type="dxa"/>
            <w:gridSpan w:val="4"/>
            <w:tcBorders>
              <w:top w:val="single" w:sz="4" w:space="0" w:color="auto"/>
              <w:left w:val="nil"/>
              <w:bottom w:val="single" w:sz="4" w:space="0" w:color="auto"/>
              <w:right w:val="single" w:sz="4" w:space="0" w:color="auto"/>
            </w:tcBorders>
            <w:vAlign w:val="center"/>
          </w:tcPr>
          <w:p w14:paraId="59620885" w14:textId="77777777" w:rsidR="002F60E9" w:rsidRDefault="00BB67F8" w:rsidP="004F4D6F">
            <w:pPr>
              <w:spacing w:after="0" w:line="240" w:lineRule="auto"/>
              <w:jc w:val="center"/>
              <w:rPr>
                <w:rFonts w:ascii="Tahoma" w:eastAsia="Calibri" w:hAnsi="Tahoma" w:cs="Tahoma"/>
              </w:rPr>
            </w:pPr>
            <w:r>
              <w:rPr>
                <w:rFonts w:ascii="Tahoma" w:eastAsia="Calibri" w:hAnsi="Tahoma" w:cs="Tahoma"/>
              </w:rPr>
              <w:t>April 2024 to</w:t>
            </w:r>
          </w:p>
          <w:p w14:paraId="2FD4007F" w14:textId="36A0FEF7" w:rsidR="00BB67F8" w:rsidRPr="008E4970" w:rsidRDefault="00BB67F8" w:rsidP="004F4D6F">
            <w:pPr>
              <w:spacing w:after="0" w:line="240" w:lineRule="auto"/>
              <w:jc w:val="center"/>
              <w:rPr>
                <w:rFonts w:ascii="Tahoma" w:eastAsia="Times New Roman" w:hAnsi="Tahoma" w:cs="Tahoma"/>
                <w:color w:val="FF0000"/>
                <w:lang w:eastAsia="en-GB"/>
              </w:rPr>
            </w:pPr>
            <w:r>
              <w:rPr>
                <w:rFonts w:ascii="Tahoma" w:eastAsia="Calibri" w:hAnsi="Tahoma" w:cs="Tahoma"/>
              </w:rPr>
              <w:t xml:space="preserve"> March 2025</w:t>
            </w:r>
          </w:p>
        </w:tc>
      </w:tr>
      <w:tr w:rsidR="002A55FF" w:rsidRPr="008E4970" w14:paraId="69F6C49E" w14:textId="77777777" w:rsidTr="002A55FF">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F3A0CAE"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Seconds</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105375E"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Nationally</w:t>
            </w:r>
          </w:p>
        </w:tc>
        <w:tc>
          <w:tcPr>
            <w:tcW w:w="1134" w:type="dxa"/>
            <w:tcBorders>
              <w:top w:val="nil"/>
              <w:left w:val="nil"/>
              <w:bottom w:val="single" w:sz="4" w:space="0" w:color="auto"/>
              <w:right w:val="single" w:sz="4" w:space="0" w:color="auto"/>
            </w:tcBorders>
            <w:shd w:val="clear" w:color="auto" w:fill="auto"/>
            <w:noWrap/>
            <w:vAlign w:val="center"/>
            <w:hideMark/>
          </w:tcPr>
          <w:p w14:paraId="3029E7EB"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Seconds</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2B2E2E2"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Nationally</w:t>
            </w:r>
          </w:p>
        </w:tc>
        <w:tc>
          <w:tcPr>
            <w:tcW w:w="1134" w:type="dxa"/>
            <w:gridSpan w:val="2"/>
            <w:tcBorders>
              <w:top w:val="nil"/>
              <w:left w:val="nil"/>
              <w:bottom w:val="single" w:sz="4" w:space="0" w:color="auto"/>
              <w:right w:val="single" w:sz="4" w:space="0" w:color="auto"/>
            </w:tcBorders>
            <w:vAlign w:val="center"/>
          </w:tcPr>
          <w:p w14:paraId="33B6E101"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Seconds</w:t>
            </w:r>
          </w:p>
        </w:tc>
        <w:tc>
          <w:tcPr>
            <w:tcW w:w="1276" w:type="dxa"/>
            <w:gridSpan w:val="2"/>
            <w:tcBorders>
              <w:top w:val="nil"/>
              <w:left w:val="nil"/>
              <w:bottom w:val="single" w:sz="4" w:space="0" w:color="auto"/>
              <w:right w:val="single" w:sz="4" w:space="0" w:color="auto"/>
            </w:tcBorders>
            <w:vAlign w:val="center"/>
          </w:tcPr>
          <w:p w14:paraId="09E2A23B"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Nationally</w:t>
            </w:r>
          </w:p>
        </w:tc>
        <w:tc>
          <w:tcPr>
            <w:tcW w:w="1134" w:type="dxa"/>
            <w:gridSpan w:val="3"/>
            <w:tcBorders>
              <w:top w:val="nil"/>
              <w:left w:val="nil"/>
              <w:bottom w:val="single" w:sz="4" w:space="0" w:color="auto"/>
              <w:right w:val="single" w:sz="4" w:space="0" w:color="auto"/>
            </w:tcBorders>
            <w:vAlign w:val="center"/>
          </w:tcPr>
          <w:p w14:paraId="5676741E"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Seconds</w:t>
            </w:r>
          </w:p>
        </w:tc>
        <w:tc>
          <w:tcPr>
            <w:tcW w:w="1275" w:type="dxa"/>
            <w:tcBorders>
              <w:top w:val="nil"/>
              <w:left w:val="nil"/>
              <w:bottom w:val="single" w:sz="4" w:space="0" w:color="auto"/>
              <w:right w:val="single" w:sz="4" w:space="0" w:color="auto"/>
            </w:tcBorders>
            <w:vAlign w:val="center"/>
          </w:tcPr>
          <w:p w14:paraId="19519611"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Nationally</w:t>
            </w:r>
          </w:p>
        </w:tc>
      </w:tr>
      <w:tr w:rsidR="002A55FF" w:rsidRPr="008E4970" w14:paraId="43EB5BDE" w14:textId="77777777" w:rsidTr="002A55FF">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3AE1D550" w14:textId="77777777" w:rsidR="00BB67F8" w:rsidRPr="00704612" w:rsidRDefault="00BB67F8" w:rsidP="004F4D6F">
            <w:pPr>
              <w:spacing w:after="0" w:line="240" w:lineRule="auto"/>
              <w:jc w:val="center"/>
              <w:rPr>
                <w:rFonts w:ascii="Tahoma" w:eastAsia="Times New Roman" w:hAnsi="Tahoma" w:cs="Tahoma"/>
                <w:lang w:eastAsia="en-GB"/>
              </w:rPr>
            </w:pPr>
            <w:r w:rsidRPr="00704612">
              <w:rPr>
                <w:rFonts w:ascii="Tahoma" w:eastAsia="Times New Roman" w:hAnsi="Tahoma" w:cs="Tahoma"/>
                <w:lang w:eastAsia="en-GB"/>
              </w:rPr>
              <w:t>17.10</w:t>
            </w:r>
          </w:p>
        </w:tc>
        <w:tc>
          <w:tcPr>
            <w:tcW w:w="1276" w:type="dxa"/>
            <w:gridSpan w:val="2"/>
            <w:tcBorders>
              <w:top w:val="nil"/>
              <w:left w:val="nil"/>
              <w:bottom w:val="single" w:sz="4" w:space="0" w:color="auto"/>
              <w:right w:val="single" w:sz="4" w:space="0" w:color="auto"/>
            </w:tcBorders>
            <w:shd w:val="clear" w:color="auto" w:fill="auto"/>
            <w:noWrap/>
            <w:vAlign w:val="center"/>
          </w:tcPr>
          <w:p w14:paraId="04C137D5" w14:textId="77777777" w:rsidR="00BB67F8" w:rsidRPr="00704612" w:rsidRDefault="00BB67F8" w:rsidP="004F4D6F">
            <w:pPr>
              <w:spacing w:after="0" w:line="240" w:lineRule="auto"/>
              <w:jc w:val="center"/>
              <w:rPr>
                <w:rFonts w:ascii="Tahoma" w:eastAsia="Times New Roman" w:hAnsi="Tahoma" w:cs="Tahoma"/>
                <w:lang w:eastAsia="en-GB"/>
              </w:rPr>
            </w:pPr>
            <w:r w:rsidRPr="00704612">
              <w:rPr>
                <w:rFonts w:ascii="Tahoma" w:eastAsia="Times New Roman" w:hAnsi="Tahoma" w:cs="Tahoma"/>
                <w:lang w:eastAsia="en-GB"/>
              </w:rPr>
              <w:t>27</w:t>
            </w:r>
            <w:r w:rsidRPr="00704612">
              <w:rPr>
                <w:rFonts w:ascii="Tahoma" w:eastAsia="Times New Roman" w:hAnsi="Tahoma" w:cs="Tahoma"/>
                <w:vertAlign w:val="superscript"/>
                <w:lang w:eastAsia="en-GB"/>
              </w:rPr>
              <w:t>th</w:t>
            </w:r>
            <w:r w:rsidRPr="00704612">
              <w:rPr>
                <w:rFonts w:ascii="Tahoma" w:eastAsia="Times New Roman" w:hAnsi="Tahoma" w:cs="Tahoma"/>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03878AB9" w14:textId="77777777" w:rsidR="00BB67F8" w:rsidRPr="002807B2" w:rsidRDefault="00BB67F8" w:rsidP="004F4D6F">
            <w:pPr>
              <w:spacing w:after="0" w:line="240" w:lineRule="auto"/>
              <w:jc w:val="center"/>
              <w:rPr>
                <w:rFonts w:ascii="Tahoma" w:eastAsia="Times New Roman" w:hAnsi="Tahoma" w:cs="Tahoma"/>
                <w:lang w:eastAsia="en-GB"/>
              </w:rPr>
            </w:pPr>
            <w:r w:rsidRPr="002807B2">
              <w:rPr>
                <w:rFonts w:ascii="Tahoma" w:eastAsia="Times New Roman" w:hAnsi="Tahoma" w:cs="Tahoma"/>
                <w:lang w:eastAsia="en-GB"/>
              </w:rPr>
              <w:t>16.40</w:t>
            </w:r>
          </w:p>
        </w:tc>
        <w:tc>
          <w:tcPr>
            <w:tcW w:w="1276" w:type="dxa"/>
            <w:gridSpan w:val="2"/>
            <w:tcBorders>
              <w:top w:val="nil"/>
              <w:left w:val="nil"/>
              <w:bottom w:val="single" w:sz="4" w:space="0" w:color="auto"/>
              <w:right w:val="single" w:sz="4" w:space="0" w:color="auto"/>
            </w:tcBorders>
            <w:shd w:val="clear" w:color="auto" w:fill="auto"/>
            <w:noWrap/>
            <w:vAlign w:val="center"/>
          </w:tcPr>
          <w:p w14:paraId="01E1925C" w14:textId="77777777" w:rsidR="00BB67F8" w:rsidRPr="002807B2" w:rsidRDefault="00BB67F8" w:rsidP="004F4D6F">
            <w:pPr>
              <w:spacing w:after="0" w:line="240" w:lineRule="auto"/>
              <w:jc w:val="center"/>
              <w:rPr>
                <w:rFonts w:ascii="Tahoma" w:eastAsia="Times New Roman" w:hAnsi="Tahoma" w:cs="Tahoma"/>
                <w:lang w:eastAsia="en-GB"/>
              </w:rPr>
            </w:pPr>
            <w:r w:rsidRPr="002807B2">
              <w:rPr>
                <w:rFonts w:ascii="Tahoma" w:eastAsia="Times New Roman" w:hAnsi="Tahoma" w:cs="Tahoma"/>
                <w:lang w:eastAsia="en-GB"/>
              </w:rPr>
              <w:t>30</w:t>
            </w:r>
            <w:r w:rsidRPr="002807B2">
              <w:rPr>
                <w:rFonts w:ascii="Tahoma" w:eastAsia="Times New Roman" w:hAnsi="Tahoma" w:cs="Tahoma"/>
                <w:vertAlign w:val="superscript"/>
                <w:lang w:eastAsia="en-GB"/>
              </w:rPr>
              <w:t>th</w:t>
            </w:r>
            <w:r w:rsidRPr="002807B2">
              <w:rPr>
                <w:rFonts w:ascii="Tahoma" w:eastAsia="Times New Roman" w:hAnsi="Tahoma" w:cs="Tahoma"/>
                <w:lang w:eastAsia="en-GB"/>
              </w:rPr>
              <w:t xml:space="preserve"> </w:t>
            </w:r>
          </w:p>
        </w:tc>
        <w:tc>
          <w:tcPr>
            <w:tcW w:w="1134" w:type="dxa"/>
            <w:gridSpan w:val="2"/>
            <w:tcBorders>
              <w:top w:val="nil"/>
              <w:left w:val="nil"/>
              <w:bottom w:val="single" w:sz="4" w:space="0" w:color="auto"/>
              <w:right w:val="single" w:sz="4" w:space="0" w:color="auto"/>
            </w:tcBorders>
          </w:tcPr>
          <w:p w14:paraId="45B87AE9" w14:textId="77777777" w:rsidR="00BB67F8" w:rsidRPr="008B4FF1" w:rsidRDefault="00BB67F8" w:rsidP="004F4D6F">
            <w:pPr>
              <w:spacing w:after="0" w:line="240" w:lineRule="auto"/>
              <w:jc w:val="center"/>
              <w:rPr>
                <w:rFonts w:ascii="Tahoma" w:eastAsia="Times New Roman" w:hAnsi="Tahoma" w:cs="Tahoma"/>
                <w:lang w:eastAsia="en-GB"/>
              </w:rPr>
            </w:pPr>
            <w:r w:rsidRPr="008B4FF1">
              <w:rPr>
                <w:rFonts w:ascii="Tahoma" w:eastAsia="Times New Roman" w:hAnsi="Tahoma" w:cs="Tahoma"/>
                <w:lang w:eastAsia="en-GB"/>
              </w:rPr>
              <w:t>12.87</w:t>
            </w:r>
          </w:p>
        </w:tc>
        <w:tc>
          <w:tcPr>
            <w:tcW w:w="1276" w:type="dxa"/>
            <w:gridSpan w:val="2"/>
            <w:tcBorders>
              <w:top w:val="nil"/>
              <w:left w:val="nil"/>
              <w:bottom w:val="single" w:sz="4" w:space="0" w:color="auto"/>
              <w:right w:val="single" w:sz="4" w:space="0" w:color="auto"/>
            </w:tcBorders>
          </w:tcPr>
          <w:p w14:paraId="51500BEC" w14:textId="77777777" w:rsidR="00BB67F8" w:rsidRPr="008B4FF1" w:rsidRDefault="00BB67F8" w:rsidP="004F4D6F">
            <w:pPr>
              <w:spacing w:after="0" w:line="240" w:lineRule="auto"/>
              <w:jc w:val="center"/>
              <w:rPr>
                <w:rFonts w:ascii="Tahoma" w:eastAsia="Times New Roman" w:hAnsi="Tahoma" w:cs="Tahoma"/>
                <w:lang w:eastAsia="en-GB"/>
              </w:rPr>
            </w:pPr>
            <w:r w:rsidRPr="008B4FF1">
              <w:rPr>
                <w:rFonts w:ascii="Tahoma" w:eastAsia="Times New Roman" w:hAnsi="Tahoma" w:cs="Tahoma"/>
                <w:lang w:eastAsia="en-GB"/>
              </w:rPr>
              <w:t>31</w:t>
            </w:r>
            <w:r w:rsidRPr="008B4FF1">
              <w:rPr>
                <w:rFonts w:ascii="Tahoma" w:eastAsia="Times New Roman" w:hAnsi="Tahoma" w:cs="Tahoma"/>
                <w:vertAlign w:val="superscript"/>
                <w:lang w:eastAsia="en-GB"/>
              </w:rPr>
              <w:t>st</w:t>
            </w:r>
          </w:p>
        </w:tc>
        <w:tc>
          <w:tcPr>
            <w:tcW w:w="1134" w:type="dxa"/>
            <w:gridSpan w:val="3"/>
            <w:tcBorders>
              <w:top w:val="nil"/>
              <w:left w:val="nil"/>
              <w:bottom w:val="single" w:sz="4" w:space="0" w:color="auto"/>
              <w:right w:val="single" w:sz="4" w:space="0" w:color="auto"/>
            </w:tcBorders>
          </w:tcPr>
          <w:p w14:paraId="06E62DF6" w14:textId="77777777" w:rsidR="00BB67F8" w:rsidRPr="00115493" w:rsidRDefault="00BB67F8" w:rsidP="004F4D6F">
            <w:pPr>
              <w:spacing w:after="0" w:line="240" w:lineRule="auto"/>
              <w:jc w:val="center"/>
              <w:rPr>
                <w:rFonts w:ascii="Tahoma" w:eastAsia="Times New Roman" w:hAnsi="Tahoma" w:cs="Tahoma"/>
                <w:lang w:eastAsia="en-GB"/>
              </w:rPr>
            </w:pPr>
            <w:r w:rsidRPr="00115493">
              <w:rPr>
                <w:rFonts w:ascii="Tahoma" w:eastAsia="Times New Roman" w:hAnsi="Tahoma" w:cs="Tahoma"/>
                <w:lang w:eastAsia="en-GB"/>
              </w:rPr>
              <w:t>5.28</w:t>
            </w:r>
          </w:p>
        </w:tc>
        <w:tc>
          <w:tcPr>
            <w:tcW w:w="1275" w:type="dxa"/>
            <w:tcBorders>
              <w:top w:val="nil"/>
              <w:left w:val="nil"/>
              <w:bottom w:val="single" w:sz="4" w:space="0" w:color="auto"/>
              <w:right w:val="single" w:sz="4" w:space="0" w:color="auto"/>
            </w:tcBorders>
          </w:tcPr>
          <w:p w14:paraId="477DE5F2" w14:textId="77777777" w:rsidR="00BB67F8" w:rsidRPr="00115493" w:rsidRDefault="00BB67F8" w:rsidP="004F4D6F">
            <w:pPr>
              <w:spacing w:after="0" w:line="240" w:lineRule="auto"/>
              <w:jc w:val="center"/>
              <w:rPr>
                <w:rFonts w:ascii="Tahoma" w:eastAsia="Times New Roman" w:hAnsi="Tahoma" w:cs="Tahoma"/>
                <w:lang w:eastAsia="en-GB"/>
              </w:rPr>
            </w:pPr>
            <w:r w:rsidRPr="00115493">
              <w:rPr>
                <w:rFonts w:ascii="Tahoma" w:eastAsia="Times New Roman" w:hAnsi="Tahoma" w:cs="Tahoma"/>
                <w:lang w:eastAsia="en-GB"/>
              </w:rPr>
              <w:t>2</w:t>
            </w:r>
            <w:r w:rsidRPr="00115493">
              <w:rPr>
                <w:rFonts w:ascii="Tahoma" w:eastAsia="Times New Roman" w:hAnsi="Tahoma" w:cs="Tahoma"/>
                <w:vertAlign w:val="superscript"/>
                <w:lang w:eastAsia="en-GB"/>
              </w:rPr>
              <w:t>nd</w:t>
            </w:r>
          </w:p>
        </w:tc>
      </w:tr>
      <w:tr w:rsidR="00BB67F8" w:rsidRPr="008E4970" w14:paraId="7E12281C" w14:textId="77777777" w:rsidTr="002A55FF">
        <w:trPr>
          <w:trHeight w:val="135"/>
          <w:jc w:val="center"/>
        </w:trPr>
        <w:tc>
          <w:tcPr>
            <w:tcW w:w="1129" w:type="dxa"/>
            <w:tcBorders>
              <w:top w:val="nil"/>
              <w:left w:val="nil"/>
              <w:bottom w:val="nil"/>
              <w:right w:val="nil"/>
            </w:tcBorders>
            <w:shd w:val="clear" w:color="auto" w:fill="auto"/>
            <w:noWrap/>
            <w:vAlign w:val="center"/>
            <w:hideMark/>
          </w:tcPr>
          <w:p w14:paraId="37301D27"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1170" w:type="dxa"/>
            <w:tcBorders>
              <w:top w:val="nil"/>
              <w:left w:val="nil"/>
              <w:bottom w:val="nil"/>
              <w:right w:val="nil"/>
            </w:tcBorders>
            <w:shd w:val="clear" w:color="auto" w:fill="auto"/>
            <w:noWrap/>
            <w:vAlign w:val="center"/>
            <w:hideMark/>
          </w:tcPr>
          <w:p w14:paraId="4BDB4246"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1815" w:type="dxa"/>
            <w:gridSpan w:val="3"/>
            <w:tcBorders>
              <w:top w:val="nil"/>
              <w:left w:val="nil"/>
              <w:bottom w:val="nil"/>
              <w:right w:val="nil"/>
            </w:tcBorders>
            <w:shd w:val="clear" w:color="auto" w:fill="auto"/>
            <w:noWrap/>
            <w:vAlign w:val="center"/>
            <w:hideMark/>
          </w:tcPr>
          <w:p w14:paraId="358A60DB"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1282" w:type="dxa"/>
            <w:gridSpan w:val="2"/>
            <w:tcBorders>
              <w:top w:val="nil"/>
              <w:left w:val="nil"/>
              <w:bottom w:val="nil"/>
              <w:right w:val="nil"/>
            </w:tcBorders>
            <w:shd w:val="clear" w:color="auto" w:fill="auto"/>
            <w:noWrap/>
            <w:vAlign w:val="center"/>
            <w:hideMark/>
          </w:tcPr>
          <w:p w14:paraId="18B27AD7"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954" w:type="dxa"/>
            <w:gridSpan w:val="2"/>
            <w:tcBorders>
              <w:top w:val="nil"/>
              <w:left w:val="nil"/>
              <w:bottom w:val="nil"/>
              <w:right w:val="nil"/>
            </w:tcBorders>
          </w:tcPr>
          <w:p w14:paraId="121F5650"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954" w:type="dxa"/>
            <w:gridSpan w:val="2"/>
            <w:tcBorders>
              <w:top w:val="nil"/>
              <w:left w:val="nil"/>
              <w:bottom w:val="nil"/>
              <w:right w:val="nil"/>
            </w:tcBorders>
          </w:tcPr>
          <w:p w14:paraId="573EE41F"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954" w:type="dxa"/>
            <w:tcBorders>
              <w:top w:val="nil"/>
              <w:left w:val="nil"/>
              <w:bottom w:val="nil"/>
              <w:right w:val="nil"/>
            </w:tcBorders>
          </w:tcPr>
          <w:p w14:paraId="22C267C8"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1376" w:type="dxa"/>
            <w:gridSpan w:val="2"/>
            <w:tcBorders>
              <w:top w:val="nil"/>
              <w:left w:val="nil"/>
              <w:bottom w:val="nil"/>
              <w:right w:val="nil"/>
            </w:tcBorders>
          </w:tcPr>
          <w:p w14:paraId="17143A6D"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r>
      <w:tr w:rsidR="00BB67F8" w:rsidRPr="008E4970" w14:paraId="3611CEC5" w14:textId="77777777" w:rsidTr="002A55FF">
        <w:trPr>
          <w:trHeight w:val="300"/>
          <w:jc w:val="center"/>
        </w:trPr>
        <w:tc>
          <w:tcPr>
            <w:tcW w:w="9634"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99A313" w14:textId="77777777" w:rsidR="00BB67F8" w:rsidRPr="008E4970" w:rsidRDefault="00BB67F8" w:rsidP="004F4D6F">
            <w:pPr>
              <w:spacing w:after="0" w:line="240" w:lineRule="auto"/>
              <w:jc w:val="center"/>
              <w:rPr>
                <w:rFonts w:ascii="Tahoma" w:eastAsia="Times New Roman" w:hAnsi="Tahoma" w:cs="Tahoma"/>
                <w:b/>
                <w:bCs/>
                <w:color w:val="FF0000"/>
                <w:lang w:eastAsia="en-GB"/>
              </w:rPr>
            </w:pPr>
            <w:r w:rsidRPr="00021DB1">
              <w:rPr>
                <w:rFonts w:ascii="Tahoma" w:eastAsia="Times New Roman" w:hAnsi="Tahoma" w:cs="Tahoma"/>
                <w:b/>
                <w:bCs/>
                <w:lang w:eastAsia="en-GB"/>
              </w:rPr>
              <w:t>Calls answered in under 10 seconds</w:t>
            </w:r>
          </w:p>
        </w:tc>
      </w:tr>
      <w:tr w:rsidR="00BB67F8" w:rsidRPr="008E4970" w14:paraId="60EECB95" w14:textId="77777777" w:rsidTr="002A55FF">
        <w:trPr>
          <w:trHeight w:val="300"/>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364BC" w14:textId="77777777" w:rsidR="002A55FF" w:rsidRDefault="00BB67F8" w:rsidP="004F4D6F">
            <w:pPr>
              <w:spacing w:after="0" w:line="240" w:lineRule="auto"/>
              <w:jc w:val="center"/>
              <w:rPr>
                <w:rFonts w:ascii="Tahoma" w:eastAsia="Calibri" w:hAnsi="Tahoma" w:cs="Tahoma"/>
              </w:rPr>
            </w:pPr>
            <w:r>
              <w:rPr>
                <w:rFonts w:ascii="Tahoma" w:eastAsia="Calibri" w:hAnsi="Tahoma" w:cs="Tahoma"/>
              </w:rPr>
              <w:t xml:space="preserve">April 2021 to </w:t>
            </w:r>
          </w:p>
          <w:p w14:paraId="64361E40" w14:textId="6FBC1B62" w:rsidR="00BB67F8" w:rsidRPr="008E4970" w:rsidRDefault="00BB67F8" w:rsidP="004F4D6F">
            <w:pPr>
              <w:spacing w:after="0" w:line="240" w:lineRule="auto"/>
              <w:jc w:val="center"/>
              <w:rPr>
                <w:rFonts w:ascii="Tahoma" w:eastAsia="Times New Roman" w:hAnsi="Tahoma" w:cs="Tahoma"/>
                <w:color w:val="FF0000"/>
                <w:lang w:eastAsia="en-GB"/>
              </w:rPr>
            </w:pPr>
            <w:r>
              <w:rPr>
                <w:rFonts w:ascii="Tahoma" w:eastAsia="Calibri" w:hAnsi="Tahoma" w:cs="Tahoma"/>
              </w:rPr>
              <w:t>March 2022</w:t>
            </w:r>
          </w:p>
        </w:tc>
        <w:tc>
          <w:tcPr>
            <w:tcW w:w="24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8DB8F6" w14:textId="77777777" w:rsidR="002A55FF" w:rsidRDefault="00BB67F8" w:rsidP="004F4D6F">
            <w:pPr>
              <w:spacing w:after="0" w:line="240" w:lineRule="auto"/>
              <w:jc w:val="center"/>
              <w:rPr>
                <w:rFonts w:ascii="Tahoma" w:eastAsia="Calibri" w:hAnsi="Tahoma" w:cs="Tahoma"/>
              </w:rPr>
            </w:pPr>
            <w:r>
              <w:rPr>
                <w:rFonts w:ascii="Tahoma" w:eastAsia="Calibri" w:hAnsi="Tahoma" w:cs="Tahoma"/>
              </w:rPr>
              <w:t xml:space="preserve">April 2022 to </w:t>
            </w:r>
          </w:p>
          <w:p w14:paraId="0B33706B" w14:textId="4BEC3A84" w:rsidR="00BB67F8" w:rsidRPr="008E4970" w:rsidRDefault="00BB67F8" w:rsidP="004F4D6F">
            <w:pPr>
              <w:spacing w:after="0" w:line="240" w:lineRule="auto"/>
              <w:jc w:val="center"/>
              <w:rPr>
                <w:rFonts w:ascii="Tahoma" w:eastAsia="Times New Roman" w:hAnsi="Tahoma" w:cs="Tahoma"/>
                <w:color w:val="FF0000"/>
                <w:lang w:eastAsia="en-GB"/>
              </w:rPr>
            </w:pPr>
            <w:r>
              <w:rPr>
                <w:rFonts w:ascii="Tahoma" w:eastAsia="Calibri" w:hAnsi="Tahoma" w:cs="Tahoma"/>
              </w:rPr>
              <w:t>March 2023</w:t>
            </w:r>
          </w:p>
        </w:tc>
        <w:tc>
          <w:tcPr>
            <w:tcW w:w="2410" w:type="dxa"/>
            <w:gridSpan w:val="4"/>
            <w:tcBorders>
              <w:top w:val="single" w:sz="4" w:space="0" w:color="auto"/>
              <w:left w:val="nil"/>
              <w:bottom w:val="single" w:sz="4" w:space="0" w:color="auto"/>
              <w:right w:val="single" w:sz="4" w:space="0" w:color="auto"/>
            </w:tcBorders>
            <w:vAlign w:val="center"/>
          </w:tcPr>
          <w:p w14:paraId="774320B7" w14:textId="77777777" w:rsidR="002A55FF" w:rsidRDefault="00BB67F8" w:rsidP="004F4D6F">
            <w:pPr>
              <w:spacing w:after="0" w:line="240" w:lineRule="auto"/>
              <w:jc w:val="center"/>
              <w:rPr>
                <w:rFonts w:ascii="Tahoma" w:eastAsia="Calibri" w:hAnsi="Tahoma" w:cs="Tahoma"/>
              </w:rPr>
            </w:pPr>
            <w:r>
              <w:rPr>
                <w:rFonts w:ascii="Tahoma" w:eastAsia="Calibri" w:hAnsi="Tahoma" w:cs="Tahoma"/>
              </w:rPr>
              <w:t xml:space="preserve">April 2023 to </w:t>
            </w:r>
          </w:p>
          <w:p w14:paraId="4F6C7351" w14:textId="17FD9B7F" w:rsidR="00BB67F8" w:rsidRPr="008E4970" w:rsidRDefault="00BB67F8" w:rsidP="004F4D6F">
            <w:pPr>
              <w:spacing w:after="0" w:line="240" w:lineRule="auto"/>
              <w:jc w:val="center"/>
              <w:rPr>
                <w:rFonts w:ascii="Tahoma" w:eastAsia="Times New Roman" w:hAnsi="Tahoma" w:cs="Tahoma"/>
                <w:color w:val="FF0000"/>
                <w:lang w:eastAsia="en-GB"/>
              </w:rPr>
            </w:pPr>
            <w:r>
              <w:rPr>
                <w:rFonts w:ascii="Tahoma" w:eastAsia="Calibri" w:hAnsi="Tahoma" w:cs="Tahoma"/>
              </w:rPr>
              <w:t>March 2024</w:t>
            </w:r>
          </w:p>
        </w:tc>
        <w:tc>
          <w:tcPr>
            <w:tcW w:w="2409" w:type="dxa"/>
            <w:gridSpan w:val="4"/>
            <w:tcBorders>
              <w:top w:val="single" w:sz="4" w:space="0" w:color="auto"/>
              <w:left w:val="nil"/>
              <w:bottom w:val="single" w:sz="4" w:space="0" w:color="auto"/>
              <w:right w:val="single" w:sz="4" w:space="0" w:color="auto"/>
            </w:tcBorders>
            <w:vAlign w:val="center"/>
          </w:tcPr>
          <w:p w14:paraId="0794D0F8" w14:textId="77777777" w:rsidR="002A55FF" w:rsidRDefault="00BB67F8" w:rsidP="004F4D6F">
            <w:pPr>
              <w:spacing w:after="0" w:line="240" w:lineRule="auto"/>
              <w:jc w:val="center"/>
              <w:rPr>
                <w:rFonts w:ascii="Tahoma" w:eastAsia="Calibri" w:hAnsi="Tahoma" w:cs="Tahoma"/>
              </w:rPr>
            </w:pPr>
            <w:r>
              <w:rPr>
                <w:rFonts w:ascii="Tahoma" w:eastAsia="Calibri" w:hAnsi="Tahoma" w:cs="Tahoma"/>
              </w:rPr>
              <w:t xml:space="preserve">April 2024 to </w:t>
            </w:r>
          </w:p>
          <w:p w14:paraId="0E90B7FB" w14:textId="654AF48E" w:rsidR="00BB67F8" w:rsidRPr="008E4970" w:rsidRDefault="00BB67F8" w:rsidP="004F4D6F">
            <w:pPr>
              <w:spacing w:after="0" w:line="240" w:lineRule="auto"/>
              <w:jc w:val="center"/>
              <w:rPr>
                <w:rFonts w:ascii="Tahoma" w:eastAsia="Times New Roman" w:hAnsi="Tahoma" w:cs="Tahoma"/>
                <w:color w:val="FF0000"/>
                <w:lang w:eastAsia="en-GB"/>
              </w:rPr>
            </w:pPr>
            <w:r>
              <w:rPr>
                <w:rFonts w:ascii="Tahoma" w:eastAsia="Calibri" w:hAnsi="Tahoma" w:cs="Tahoma"/>
              </w:rPr>
              <w:t>March 2025</w:t>
            </w:r>
          </w:p>
        </w:tc>
      </w:tr>
      <w:tr w:rsidR="002A55FF" w:rsidRPr="008E4970" w14:paraId="4B17A1EC" w14:textId="77777777" w:rsidTr="002A55FF">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4050432"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F7ECFAE"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Nationally</w:t>
            </w:r>
          </w:p>
        </w:tc>
        <w:tc>
          <w:tcPr>
            <w:tcW w:w="1134" w:type="dxa"/>
            <w:tcBorders>
              <w:top w:val="nil"/>
              <w:left w:val="nil"/>
              <w:bottom w:val="single" w:sz="4" w:space="0" w:color="auto"/>
              <w:right w:val="single" w:sz="4" w:space="0" w:color="auto"/>
            </w:tcBorders>
            <w:shd w:val="clear" w:color="auto" w:fill="auto"/>
            <w:noWrap/>
            <w:vAlign w:val="center"/>
            <w:hideMark/>
          </w:tcPr>
          <w:p w14:paraId="0EF1EDB4"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238BB4C"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Nationally</w:t>
            </w:r>
          </w:p>
        </w:tc>
        <w:tc>
          <w:tcPr>
            <w:tcW w:w="1134" w:type="dxa"/>
            <w:gridSpan w:val="2"/>
            <w:tcBorders>
              <w:top w:val="nil"/>
              <w:left w:val="nil"/>
              <w:bottom w:val="single" w:sz="4" w:space="0" w:color="auto"/>
              <w:right w:val="single" w:sz="4" w:space="0" w:color="auto"/>
            </w:tcBorders>
            <w:vAlign w:val="center"/>
          </w:tcPr>
          <w:p w14:paraId="0576598F"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w:t>
            </w:r>
          </w:p>
        </w:tc>
        <w:tc>
          <w:tcPr>
            <w:tcW w:w="1276" w:type="dxa"/>
            <w:gridSpan w:val="2"/>
            <w:tcBorders>
              <w:top w:val="nil"/>
              <w:left w:val="nil"/>
              <w:bottom w:val="single" w:sz="4" w:space="0" w:color="auto"/>
              <w:right w:val="single" w:sz="4" w:space="0" w:color="auto"/>
            </w:tcBorders>
            <w:vAlign w:val="center"/>
          </w:tcPr>
          <w:p w14:paraId="28567BAC"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Nationally</w:t>
            </w:r>
          </w:p>
        </w:tc>
        <w:tc>
          <w:tcPr>
            <w:tcW w:w="1134" w:type="dxa"/>
            <w:gridSpan w:val="3"/>
            <w:tcBorders>
              <w:top w:val="nil"/>
              <w:left w:val="nil"/>
              <w:bottom w:val="single" w:sz="4" w:space="0" w:color="auto"/>
              <w:right w:val="single" w:sz="4" w:space="0" w:color="auto"/>
            </w:tcBorders>
            <w:vAlign w:val="center"/>
          </w:tcPr>
          <w:p w14:paraId="18D33C38"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w:t>
            </w:r>
          </w:p>
        </w:tc>
        <w:tc>
          <w:tcPr>
            <w:tcW w:w="1275" w:type="dxa"/>
            <w:tcBorders>
              <w:top w:val="nil"/>
              <w:left w:val="nil"/>
              <w:bottom w:val="single" w:sz="4" w:space="0" w:color="auto"/>
              <w:right w:val="single" w:sz="4" w:space="0" w:color="auto"/>
            </w:tcBorders>
            <w:vAlign w:val="center"/>
          </w:tcPr>
          <w:p w14:paraId="7AB9F5CD"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Nationally</w:t>
            </w:r>
          </w:p>
        </w:tc>
      </w:tr>
      <w:tr w:rsidR="002A55FF" w:rsidRPr="008E4970" w14:paraId="79AF4F09" w14:textId="77777777" w:rsidTr="002A55FF">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64ABBCAA" w14:textId="77777777" w:rsidR="00BB67F8" w:rsidRPr="00704612" w:rsidRDefault="00BB67F8" w:rsidP="004F4D6F">
            <w:pPr>
              <w:spacing w:after="0" w:line="240" w:lineRule="auto"/>
              <w:jc w:val="center"/>
              <w:rPr>
                <w:rFonts w:ascii="Tahoma" w:eastAsia="Times New Roman" w:hAnsi="Tahoma" w:cs="Tahoma"/>
                <w:lang w:eastAsia="en-GB"/>
              </w:rPr>
            </w:pPr>
            <w:r w:rsidRPr="00704612">
              <w:rPr>
                <w:rFonts w:ascii="Tahoma" w:eastAsia="Times New Roman" w:hAnsi="Tahoma" w:cs="Tahoma"/>
                <w:lang w:eastAsia="en-GB"/>
              </w:rPr>
              <w:t>67.3%</w:t>
            </w:r>
          </w:p>
        </w:tc>
        <w:tc>
          <w:tcPr>
            <w:tcW w:w="1276" w:type="dxa"/>
            <w:gridSpan w:val="2"/>
            <w:tcBorders>
              <w:top w:val="nil"/>
              <w:left w:val="nil"/>
              <w:bottom w:val="single" w:sz="4" w:space="0" w:color="auto"/>
              <w:right w:val="single" w:sz="4" w:space="0" w:color="auto"/>
            </w:tcBorders>
            <w:shd w:val="clear" w:color="auto" w:fill="auto"/>
            <w:noWrap/>
            <w:vAlign w:val="center"/>
          </w:tcPr>
          <w:p w14:paraId="2B71AF1C" w14:textId="77777777" w:rsidR="00BB67F8" w:rsidRPr="00704612" w:rsidRDefault="00BB67F8" w:rsidP="004F4D6F">
            <w:pPr>
              <w:spacing w:after="0" w:line="240" w:lineRule="auto"/>
              <w:jc w:val="center"/>
              <w:rPr>
                <w:rFonts w:ascii="Tahoma" w:eastAsia="Times New Roman" w:hAnsi="Tahoma" w:cs="Tahoma"/>
                <w:lang w:eastAsia="en-GB"/>
              </w:rPr>
            </w:pPr>
            <w:r w:rsidRPr="00704612">
              <w:rPr>
                <w:rFonts w:ascii="Tahoma" w:eastAsia="Times New Roman" w:hAnsi="Tahoma" w:cs="Tahoma"/>
                <w:lang w:eastAsia="en-GB"/>
              </w:rPr>
              <w:t>33</w:t>
            </w:r>
            <w:r w:rsidRPr="00704612">
              <w:rPr>
                <w:rFonts w:ascii="Tahoma" w:eastAsia="Times New Roman" w:hAnsi="Tahoma" w:cs="Tahoma"/>
                <w:vertAlign w:val="superscript"/>
                <w:lang w:eastAsia="en-GB"/>
              </w:rPr>
              <w:t>rd</w:t>
            </w:r>
          </w:p>
        </w:tc>
        <w:tc>
          <w:tcPr>
            <w:tcW w:w="1134" w:type="dxa"/>
            <w:tcBorders>
              <w:top w:val="nil"/>
              <w:left w:val="nil"/>
              <w:bottom w:val="single" w:sz="4" w:space="0" w:color="auto"/>
              <w:right w:val="single" w:sz="4" w:space="0" w:color="auto"/>
            </w:tcBorders>
            <w:shd w:val="clear" w:color="auto" w:fill="auto"/>
            <w:noWrap/>
            <w:vAlign w:val="center"/>
          </w:tcPr>
          <w:p w14:paraId="4357877C" w14:textId="77777777" w:rsidR="00BB67F8" w:rsidRPr="002807B2" w:rsidRDefault="00BB67F8" w:rsidP="004F4D6F">
            <w:pPr>
              <w:spacing w:after="0" w:line="240" w:lineRule="auto"/>
              <w:jc w:val="center"/>
              <w:rPr>
                <w:rFonts w:ascii="Tahoma" w:eastAsia="Times New Roman" w:hAnsi="Tahoma" w:cs="Tahoma"/>
                <w:lang w:eastAsia="en-GB"/>
              </w:rPr>
            </w:pPr>
            <w:r w:rsidRPr="002807B2">
              <w:rPr>
                <w:rFonts w:ascii="Tahoma" w:eastAsia="Times New Roman" w:hAnsi="Tahoma" w:cs="Tahoma"/>
                <w:lang w:eastAsia="en-GB"/>
              </w:rPr>
              <w:t>69.5%</w:t>
            </w:r>
          </w:p>
        </w:tc>
        <w:tc>
          <w:tcPr>
            <w:tcW w:w="1276" w:type="dxa"/>
            <w:gridSpan w:val="2"/>
            <w:tcBorders>
              <w:top w:val="nil"/>
              <w:left w:val="nil"/>
              <w:bottom w:val="single" w:sz="4" w:space="0" w:color="auto"/>
              <w:right w:val="single" w:sz="4" w:space="0" w:color="auto"/>
            </w:tcBorders>
            <w:shd w:val="clear" w:color="auto" w:fill="auto"/>
            <w:noWrap/>
            <w:vAlign w:val="center"/>
          </w:tcPr>
          <w:p w14:paraId="0FF57060" w14:textId="77777777" w:rsidR="00BB67F8" w:rsidRPr="002807B2" w:rsidRDefault="00BB67F8" w:rsidP="004F4D6F">
            <w:pPr>
              <w:spacing w:after="0" w:line="240" w:lineRule="auto"/>
              <w:jc w:val="center"/>
              <w:rPr>
                <w:rFonts w:ascii="Tahoma" w:eastAsia="Times New Roman" w:hAnsi="Tahoma" w:cs="Tahoma"/>
                <w:lang w:eastAsia="en-GB"/>
              </w:rPr>
            </w:pPr>
            <w:r w:rsidRPr="002807B2">
              <w:rPr>
                <w:rFonts w:ascii="Tahoma" w:eastAsia="Times New Roman" w:hAnsi="Tahoma" w:cs="Tahoma"/>
                <w:lang w:eastAsia="en-GB"/>
              </w:rPr>
              <w:t>30</w:t>
            </w:r>
            <w:r w:rsidRPr="002807B2">
              <w:rPr>
                <w:rFonts w:ascii="Tahoma" w:eastAsia="Times New Roman" w:hAnsi="Tahoma" w:cs="Tahoma"/>
                <w:vertAlign w:val="superscript"/>
                <w:lang w:eastAsia="en-GB"/>
              </w:rPr>
              <w:t>th</w:t>
            </w:r>
            <w:r w:rsidRPr="002807B2">
              <w:rPr>
                <w:rFonts w:ascii="Tahoma" w:eastAsia="Times New Roman" w:hAnsi="Tahoma" w:cs="Tahoma"/>
                <w:lang w:eastAsia="en-GB"/>
              </w:rPr>
              <w:t xml:space="preserve"> </w:t>
            </w:r>
          </w:p>
        </w:tc>
        <w:tc>
          <w:tcPr>
            <w:tcW w:w="1134" w:type="dxa"/>
            <w:gridSpan w:val="2"/>
            <w:tcBorders>
              <w:top w:val="nil"/>
              <w:left w:val="nil"/>
              <w:bottom w:val="single" w:sz="4" w:space="0" w:color="auto"/>
              <w:right w:val="single" w:sz="4" w:space="0" w:color="auto"/>
            </w:tcBorders>
          </w:tcPr>
          <w:p w14:paraId="55E4BB8F" w14:textId="77777777" w:rsidR="00BB67F8" w:rsidRPr="00C35E2A" w:rsidRDefault="00BB67F8" w:rsidP="004F4D6F">
            <w:pPr>
              <w:spacing w:after="0" w:line="240" w:lineRule="auto"/>
              <w:jc w:val="center"/>
              <w:rPr>
                <w:rFonts w:ascii="Tahoma" w:eastAsia="Times New Roman" w:hAnsi="Tahoma" w:cs="Tahoma"/>
                <w:lang w:eastAsia="en-GB"/>
              </w:rPr>
            </w:pPr>
            <w:r w:rsidRPr="00C35E2A">
              <w:rPr>
                <w:rFonts w:ascii="Tahoma" w:eastAsia="Times New Roman" w:hAnsi="Tahoma" w:cs="Tahoma"/>
                <w:lang w:eastAsia="en-GB"/>
              </w:rPr>
              <w:t>79.7%</w:t>
            </w:r>
          </w:p>
        </w:tc>
        <w:tc>
          <w:tcPr>
            <w:tcW w:w="1276" w:type="dxa"/>
            <w:gridSpan w:val="2"/>
            <w:tcBorders>
              <w:top w:val="nil"/>
              <w:left w:val="nil"/>
              <w:bottom w:val="single" w:sz="4" w:space="0" w:color="auto"/>
              <w:right w:val="single" w:sz="4" w:space="0" w:color="auto"/>
            </w:tcBorders>
          </w:tcPr>
          <w:p w14:paraId="42FC4EFD" w14:textId="77777777" w:rsidR="00BB67F8" w:rsidRPr="00C35E2A" w:rsidRDefault="00BB67F8" w:rsidP="004F4D6F">
            <w:pPr>
              <w:spacing w:after="0" w:line="240" w:lineRule="auto"/>
              <w:jc w:val="center"/>
              <w:rPr>
                <w:rFonts w:ascii="Tahoma" w:eastAsia="Times New Roman" w:hAnsi="Tahoma" w:cs="Tahoma"/>
                <w:lang w:eastAsia="en-GB"/>
              </w:rPr>
            </w:pPr>
            <w:r w:rsidRPr="00C35E2A">
              <w:rPr>
                <w:rFonts w:ascii="Tahoma" w:eastAsia="Times New Roman" w:hAnsi="Tahoma" w:cs="Tahoma"/>
                <w:lang w:eastAsia="en-GB"/>
              </w:rPr>
              <w:t>31</w:t>
            </w:r>
            <w:r w:rsidRPr="00C35E2A">
              <w:rPr>
                <w:rFonts w:ascii="Tahoma" w:eastAsia="Times New Roman" w:hAnsi="Tahoma" w:cs="Tahoma"/>
                <w:vertAlign w:val="superscript"/>
                <w:lang w:eastAsia="en-GB"/>
              </w:rPr>
              <w:t>st</w:t>
            </w:r>
          </w:p>
        </w:tc>
        <w:tc>
          <w:tcPr>
            <w:tcW w:w="1134" w:type="dxa"/>
            <w:gridSpan w:val="3"/>
            <w:tcBorders>
              <w:top w:val="nil"/>
              <w:left w:val="nil"/>
              <w:bottom w:val="single" w:sz="4" w:space="0" w:color="auto"/>
              <w:right w:val="single" w:sz="4" w:space="0" w:color="auto"/>
            </w:tcBorders>
          </w:tcPr>
          <w:p w14:paraId="646F2B48" w14:textId="77777777" w:rsidR="00BB67F8" w:rsidRPr="00115493" w:rsidRDefault="00BB67F8" w:rsidP="004F4D6F">
            <w:pPr>
              <w:spacing w:after="0" w:line="240" w:lineRule="auto"/>
              <w:jc w:val="center"/>
              <w:rPr>
                <w:rFonts w:ascii="Tahoma" w:eastAsia="Times New Roman" w:hAnsi="Tahoma" w:cs="Tahoma"/>
                <w:lang w:eastAsia="en-GB"/>
              </w:rPr>
            </w:pPr>
            <w:r w:rsidRPr="00115493">
              <w:rPr>
                <w:rFonts w:ascii="Tahoma" w:eastAsia="Times New Roman" w:hAnsi="Tahoma" w:cs="Tahoma"/>
                <w:lang w:eastAsia="en-GB"/>
              </w:rPr>
              <w:t>94.3%</w:t>
            </w:r>
          </w:p>
        </w:tc>
        <w:tc>
          <w:tcPr>
            <w:tcW w:w="1275" w:type="dxa"/>
            <w:tcBorders>
              <w:top w:val="nil"/>
              <w:left w:val="nil"/>
              <w:bottom w:val="single" w:sz="4" w:space="0" w:color="auto"/>
              <w:right w:val="single" w:sz="4" w:space="0" w:color="auto"/>
            </w:tcBorders>
          </w:tcPr>
          <w:p w14:paraId="17DC4E2A" w14:textId="77777777" w:rsidR="00BB67F8" w:rsidRPr="00115493" w:rsidRDefault="00BB67F8" w:rsidP="004F4D6F">
            <w:pPr>
              <w:spacing w:after="0" w:line="240" w:lineRule="auto"/>
              <w:jc w:val="center"/>
              <w:rPr>
                <w:rFonts w:ascii="Tahoma" w:eastAsia="Times New Roman" w:hAnsi="Tahoma" w:cs="Tahoma"/>
                <w:lang w:eastAsia="en-GB"/>
              </w:rPr>
            </w:pPr>
            <w:r w:rsidRPr="00115493">
              <w:rPr>
                <w:rFonts w:ascii="Tahoma" w:eastAsia="Times New Roman" w:hAnsi="Tahoma" w:cs="Tahoma"/>
                <w:lang w:eastAsia="en-GB"/>
              </w:rPr>
              <w:t>2</w:t>
            </w:r>
            <w:r w:rsidRPr="00115493">
              <w:rPr>
                <w:rFonts w:ascii="Tahoma" w:eastAsia="Times New Roman" w:hAnsi="Tahoma" w:cs="Tahoma"/>
                <w:vertAlign w:val="superscript"/>
                <w:lang w:eastAsia="en-GB"/>
              </w:rPr>
              <w:t>nd</w:t>
            </w:r>
          </w:p>
        </w:tc>
      </w:tr>
      <w:tr w:rsidR="00BB67F8" w:rsidRPr="008E4970" w14:paraId="48622068" w14:textId="77777777" w:rsidTr="002A55FF">
        <w:trPr>
          <w:trHeight w:val="159"/>
          <w:jc w:val="center"/>
        </w:trPr>
        <w:tc>
          <w:tcPr>
            <w:tcW w:w="1129" w:type="dxa"/>
            <w:tcBorders>
              <w:top w:val="nil"/>
              <w:left w:val="nil"/>
              <w:bottom w:val="nil"/>
              <w:right w:val="nil"/>
            </w:tcBorders>
            <w:shd w:val="clear" w:color="auto" w:fill="auto"/>
            <w:noWrap/>
            <w:vAlign w:val="center"/>
            <w:hideMark/>
          </w:tcPr>
          <w:p w14:paraId="55780BCC"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1170" w:type="dxa"/>
            <w:tcBorders>
              <w:top w:val="nil"/>
              <w:left w:val="nil"/>
              <w:bottom w:val="nil"/>
              <w:right w:val="nil"/>
            </w:tcBorders>
            <w:shd w:val="clear" w:color="auto" w:fill="auto"/>
            <w:noWrap/>
            <w:vAlign w:val="center"/>
            <w:hideMark/>
          </w:tcPr>
          <w:p w14:paraId="796970F1"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1815" w:type="dxa"/>
            <w:gridSpan w:val="3"/>
            <w:tcBorders>
              <w:top w:val="nil"/>
              <w:left w:val="nil"/>
              <w:bottom w:val="nil"/>
              <w:right w:val="nil"/>
            </w:tcBorders>
            <w:shd w:val="clear" w:color="auto" w:fill="auto"/>
            <w:noWrap/>
            <w:vAlign w:val="center"/>
            <w:hideMark/>
          </w:tcPr>
          <w:p w14:paraId="5D1EB39A"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1282" w:type="dxa"/>
            <w:gridSpan w:val="2"/>
            <w:tcBorders>
              <w:top w:val="nil"/>
              <w:left w:val="nil"/>
              <w:bottom w:val="nil"/>
              <w:right w:val="nil"/>
            </w:tcBorders>
            <w:shd w:val="clear" w:color="auto" w:fill="auto"/>
            <w:noWrap/>
            <w:vAlign w:val="center"/>
            <w:hideMark/>
          </w:tcPr>
          <w:p w14:paraId="7DDD0411"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954" w:type="dxa"/>
            <w:gridSpan w:val="2"/>
            <w:tcBorders>
              <w:top w:val="nil"/>
              <w:left w:val="nil"/>
              <w:bottom w:val="nil"/>
              <w:right w:val="nil"/>
            </w:tcBorders>
          </w:tcPr>
          <w:p w14:paraId="22F1FA50"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954" w:type="dxa"/>
            <w:gridSpan w:val="2"/>
            <w:tcBorders>
              <w:top w:val="nil"/>
              <w:left w:val="nil"/>
              <w:bottom w:val="nil"/>
              <w:right w:val="nil"/>
            </w:tcBorders>
          </w:tcPr>
          <w:p w14:paraId="381C8589"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954" w:type="dxa"/>
            <w:tcBorders>
              <w:top w:val="nil"/>
              <w:left w:val="nil"/>
              <w:bottom w:val="nil"/>
              <w:right w:val="nil"/>
            </w:tcBorders>
          </w:tcPr>
          <w:p w14:paraId="393BB4A2"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c>
          <w:tcPr>
            <w:tcW w:w="1376" w:type="dxa"/>
            <w:gridSpan w:val="2"/>
            <w:tcBorders>
              <w:top w:val="nil"/>
              <w:left w:val="nil"/>
              <w:bottom w:val="nil"/>
              <w:right w:val="nil"/>
            </w:tcBorders>
          </w:tcPr>
          <w:p w14:paraId="428D78DA" w14:textId="77777777" w:rsidR="00BB67F8" w:rsidRPr="00490209" w:rsidRDefault="00BB67F8" w:rsidP="004F4D6F">
            <w:pPr>
              <w:spacing w:after="0" w:line="240" w:lineRule="auto"/>
              <w:jc w:val="center"/>
              <w:rPr>
                <w:rFonts w:ascii="Tahoma" w:eastAsia="Times New Roman" w:hAnsi="Tahoma" w:cs="Tahoma"/>
                <w:color w:val="FF0000"/>
                <w:sz w:val="20"/>
                <w:szCs w:val="20"/>
                <w:lang w:eastAsia="en-GB"/>
              </w:rPr>
            </w:pPr>
          </w:p>
        </w:tc>
      </w:tr>
      <w:tr w:rsidR="00BB67F8" w:rsidRPr="008E4970" w14:paraId="65EE7786" w14:textId="77777777" w:rsidTr="002A55FF">
        <w:trPr>
          <w:trHeight w:val="300"/>
          <w:jc w:val="center"/>
        </w:trPr>
        <w:tc>
          <w:tcPr>
            <w:tcW w:w="9634"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EEBDA6" w14:textId="77777777" w:rsidR="00BB67F8" w:rsidRPr="008E4970" w:rsidRDefault="00BB67F8" w:rsidP="004F4D6F">
            <w:pPr>
              <w:spacing w:after="0" w:line="240" w:lineRule="auto"/>
              <w:jc w:val="center"/>
              <w:rPr>
                <w:rFonts w:ascii="Tahoma" w:eastAsia="Times New Roman" w:hAnsi="Tahoma" w:cs="Tahoma"/>
                <w:b/>
                <w:bCs/>
                <w:color w:val="FF0000"/>
                <w:lang w:eastAsia="en-GB"/>
              </w:rPr>
            </w:pPr>
            <w:r w:rsidRPr="00021DB1">
              <w:rPr>
                <w:rFonts w:ascii="Tahoma" w:eastAsia="Times New Roman" w:hAnsi="Tahoma" w:cs="Tahoma"/>
                <w:b/>
                <w:bCs/>
                <w:lang w:eastAsia="en-GB"/>
              </w:rPr>
              <w:t>Calls answered in over 60 seconds</w:t>
            </w:r>
          </w:p>
        </w:tc>
      </w:tr>
      <w:tr w:rsidR="00BB67F8" w:rsidRPr="008E4970" w14:paraId="00AA00D1" w14:textId="77777777" w:rsidTr="002A55FF">
        <w:trPr>
          <w:trHeight w:val="300"/>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3BB9E" w14:textId="77777777" w:rsidR="002A55FF" w:rsidRDefault="00BB67F8" w:rsidP="004F4D6F">
            <w:pPr>
              <w:spacing w:after="0" w:line="240" w:lineRule="auto"/>
              <w:jc w:val="center"/>
              <w:rPr>
                <w:rFonts w:ascii="Tahoma" w:eastAsia="Calibri" w:hAnsi="Tahoma" w:cs="Tahoma"/>
              </w:rPr>
            </w:pPr>
            <w:r>
              <w:rPr>
                <w:rFonts w:ascii="Tahoma" w:eastAsia="Calibri" w:hAnsi="Tahoma" w:cs="Tahoma"/>
              </w:rPr>
              <w:t xml:space="preserve">April 2021 to </w:t>
            </w:r>
          </w:p>
          <w:p w14:paraId="086C30F1" w14:textId="7321645A" w:rsidR="00BB67F8" w:rsidRPr="008E4970" w:rsidRDefault="00BB67F8" w:rsidP="004F4D6F">
            <w:pPr>
              <w:spacing w:after="0" w:line="240" w:lineRule="auto"/>
              <w:jc w:val="center"/>
              <w:rPr>
                <w:rFonts w:ascii="Tahoma" w:eastAsia="Times New Roman" w:hAnsi="Tahoma" w:cs="Tahoma"/>
                <w:color w:val="FF0000"/>
                <w:lang w:eastAsia="en-GB"/>
              </w:rPr>
            </w:pPr>
            <w:r>
              <w:rPr>
                <w:rFonts w:ascii="Tahoma" w:eastAsia="Calibri" w:hAnsi="Tahoma" w:cs="Tahoma"/>
              </w:rPr>
              <w:t>March 2022</w:t>
            </w:r>
          </w:p>
        </w:tc>
        <w:tc>
          <w:tcPr>
            <w:tcW w:w="24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1CC662" w14:textId="77777777" w:rsidR="002A55FF" w:rsidRDefault="00BB67F8" w:rsidP="004F4D6F">
            <w:pPr>
              <w:spacing w:after="0" w:line="240" w:lineRule="auto"/>
              <w:jc w:val="center"/>
              <w:rPr>
                <w:rFonts w:ascii="Tahoma" w:eastAsia="Calibri" w:hAnsi="Tahoma" w:cs="Tahoma"/>
              </w:rPr>
            </w:pPr>
            <w:r>
              <w:rPr>
                <w:rFonts w:ascii="Tahoma" w:eastAsia="Calibri" w:hAnsi="Tahoma" w:cs="Tahoma"/>
              </w:rPr>
              <w:t xml:space="preserve">April 2022 to </w:t>
            </w:r>
          </w:p>
          <w:p w14:paraId="399E3830" w14:textId="07117E09" w:rsidR="00BB67F8" w:rsidRPr="008E4970" w:rsidRDefault="00BB67F8" w:rsidP="004F4D6F">
            <w:pPr>
              <w:spacing w:after="0" w:line="240" w:lineRule="auto"/>
              <w:jc w:val="center"/>
              <w:rPr>
                <w:rFonts w:ascii="Tahoma" w:eastAsia="Times New Roman" w:hAnsi="Tahoma" w:cs="Tahoma"/>
                <w:color w:val="FF0000"/>
                <w:lang w:eastAsia="en-GB"/>
              </w:rPr>
            </w:pPr>
            <w:r>
              <w:rPr>
                <w:rFonts w:ascii="Tahoma" w:eastAsia="Calibri" w:hAnsi="Tahoma" w:cs="Tahoma"/>
              </w:rPr>
              <w:t>March 2023</w:t>
            </w:r>
          </w:p>
        </w:tc>
        <w:tc>
          <w:tcPr>
            <w:tcW w:w="2410" w:type="dxa"/>
            <w:gridSpan w:val="4"/>
            <w:tcBorders>
              <w:top w:val="single" w:sz="4" w:space="0" w:color="auto"/>
              <w:left w:val="nil"/>
              <w:bottom w:val="single" w:sz="4" w:space="0" w:color="auto"/>
              <w:right w:val="single" w:sz="4" w:space="0" w:color="auto"/>
            </w:tcBorders>
            <w:vAlign w:val="center"/>
          </w:tcPr>
          <w:p w14:paraId="452BC7E1" w14:textId="77777777" w:rsidR="002A55FF" w:rsidRDefault="00BB67F8" w:rsidP="004F4D6F">
            <w:pPr>
              <w:spacing w:after="0" w:line="240" w:lineRule="auto"/>
              <w:jc w:val="center"/>
              <w:rPr>
                <w:rFonts w:ascii="Tahoma" w:eastAsia="Calibri" w:hAnsi="Tahoma" w:cs="Tahoma"/>
              </w:rPr>
            </w:pPr>
            <w:r>
              <w:rPr>
                <w:rFonts w:ascii="Tahoma" w:eastAsia="Calibri" w:hAnsi="Tahoma" w:cs="Tahoma"/>
              </w:rPr>
              <w:t xml:space="preserve">April 2023 to </w:t>
            </w:r>
          </w:p>
          <w:p w14:paraId="05DE4A7B" w14:textId="7BF37065" w:rsidR="00BB67F8" w:rsidRPr="008E4970" w:rsidRDefault="00BB67F8" w:rsidP="004F4D6F">
            <w:pPr>
              <w:spacing w:after="0" w:line="240" w:lineRule="auto"/>
              <w:jc w:val="center"/>
              <w:rPr>
                <w:rFonts w:ascii="Tahoma" w:eastAsia="Times New Roman" w:hAnsi="Tahoma" w:cs="Tahoma"/>
                <w:color w:val="FF0000"/>
                <w:lang w:eastAsia="en-GB"/>
              </w:rPr>
            </w:pPr>
            <w:r>
              <w:rPr>
                <w:rFonts w:ascii="Tahoma" w:eastAsia="Calibri" w:hAnsi="Tahoma" w:cs="Tahoma"/>
              </w:rPr>
              <w:t>March 2024</w:t>
            </w:r>
          </w:p>
        </w:tc>
        <w:tc>
          <w:tcPr>
            <w:tcW w:w="2409" w:type="dxa"/>
            <w:gridSpan w:val="4"/>
            <w:tcBorders>
              <w:top w:val="single" w:sz="4" w:space="0" w:color="auto"/>
              <w:left w:val="nil"/>
              <w:bottom w:val="single" w:sz="4" w:space="0" w:color="auto"/>
              <w:right w:val="single" w:sz="4" w:space="0" w:color="auto"/>
            </w:tcBorders>
            <w:vAlign w:val="center"/>
          </w:tcPr>
          <w:p w14:paraId="7F5C65BE" w14:textId="77777777" w:rsidR="002A55FF" w:rsidRDefault="00BB67F8" w:rsidP="004F4D6F">
            <w:pPr>
              <w:spacing w:after="0" w:line="240" w:lineRule="auto"/>
              <w:jc w:val="center"/>
              <w:rPr>
                <w:rFonts w:ascii="Tahoma" w:eastAsia="Calibri" w:hAnsi="Tahoma" w:cs="Tahoma"/>
              </w:rPr>
            </w:pPr>
            <w:r>
              <w:rPr>
                <w:rFonts w:ascii="Tahoma" w:eastAsia="Calibri" w:hAnsi="Tahoma" w:cs="Tahoma"/>
              </w:rPr>
              <w:t xml:space="preserve">April 2024 to </w:t>
            </w:r>
          </w:p>
          <w:p w14:paraId="3BDBF746" w14:textId="3B9FDFE0" w:rsidR="00BB67F8" w:rsidRPr="008E4970" w:rsidRDefault="00BB67F8" w:rsidP="004F4D6F">
            <w:pPr>
              <w:spacing w:after="0" w:line="240" w:lineRule="auto"/>
              <w:jc w:val="center"/>
              <w:rPr>
                <w:rFonts w:ascii="Tahoma" w:eastAsia="Times New Roman" w:hAnsi="Tahoma" w:cs="Tahoma"/>
                <w:color w:val="FF0000"/>
                <w:lang w:eastAsia="en-GB"/>
              </w:rPr>
            </w:pPr>
            <w:r>
              <w:rPr>
                <w:rFonts w:ascii="Tahoma" w:eastAsia="Calibri" w:hAnsi="Tahoma" w:cs="Tahoma"/>
              </w:rPr>
              <w:t>March 2025</w:t>
            </w:r>
          </w:p>
        </w:tc>
      </w:tr>
      <w:tr w:rsidR="002A55FF" w:rsidRPr="008E4970" w14:paraId="35C7ABA8" w14:textId="77777777" w:rsidTr="002A55FF">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4EDF0E0"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73E7588"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Nationally</w:t>
            </w:r>
          </w:p>
        </w:tc>
        <w:tc>
          <w:tcPr>
            <w:tcW w:w="1134" w:type="dxa"/>
            <w:tcBorders>
              <w:top w:val="nil"/>
              <w:left w:val="nil"/>
              <w:bottom w:val="single" w:sz="4" w:space="0" w:color="auto"/>
              <w:right w:val="single" w:sz="4" w:space="0" w:color="auto"/>
            </w:tcBorders>
            <w:shd w:val="clear" w:color="auto" w:fill="auto"/>
            <w:noWrap/>
            <w:vAlign w:val="center"/>
            <w:hideMark/>
          </w:tcPr>
          <w:p w14:paraId="022F8B35"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4FC3333"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Nationally</w:t>
            </w:r>
          </w:p>
        </w:tc>
        <w:tc>
          <w:tcPr>
            <w:tcW w:w="1134" w:type="dxa"/>
            <w:gridSpan w:val="2"/>
            <w:tcBorders>
              <w:top w:val="nil"/>
              <w:left w:val="nil"/>
              <w:bottom w:val="single" w:sz="4" w:space="0" w:color="auto"/>
              <w:right w:val="single" w:sz="4" w:space="0" w:color="auto"/>
            </w:tcBorders>
            <w:vAlign w:val="center"/>
          </w:tcPr>
          <w:p w14:paraId="0A4523E8"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w:t>
            </w:r>
          </w:p>
        </w:tc>
        <w:tc>
          <w:tcPr>
            <w:tcW w:w="1276" w:type="dxa"/>
            <w:gridSpan w:val="2"/>
            <w:tcBorders>
              <w:top w:val="nil"/>
              <w:left w:val="nil"/>
              <w:bottom w:val="single" w:sz="4" w:space="0" w:color="auto"/>
              <w:right w:val="single" w:sz="4" w:space="0" w:color="auto"/>
            </w:tcBorders>
            <w:vAlign w:val="center"/>
          </w:tcPr>
          <w:p w14:paraId="197F2B2A"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Nationally</w:t>
            </w:r>
          </w:p>
        </w:tc>
        <w:tc>
          <w:tcPr>
            <w:tcW w:w="1134" w:type="dxa"/>
            <w:gridSpan w:val="3"/>
            <w:tcBorders>
              <w:top w:val="nil"/>
              <w:left w:val="nil"/>
              <w:bottom w:val="single" w:sz="4" w:space="0" w:color="auto"/>
              <w:right w:val="single" w:sz="4" w:space="0" w:color="auto"/>
            </w:tcBorders>
            <w:vAlign w:val="center"/>
          </w:tcPr>
          <w:p w14:paraId="3EA7A05B"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w:t>
            </w:r>
          </w:p>
        </w:tc>
        <w:tc>
          <w:tcPr>
            <w:tcW w:w="1275" w:type="dxa"/>
            <w:tcBorders>
              <w:top w:val="nil"/>
              <w:left w:val="nil"/>
              <w:bottom w:val="single" w:sz="4" w:space="0" w:color="auto"/>
              <w:right w:val="single" w:sz="4" w:space="0" w:color="auto"/>
            </w:tcBorders>
            <w:vAlign w:val="center"/>
          </w:tcPr>
          <w:p w14:paraId="3FBFA271" w14:textId="77777777" w:rsidR="00BB67F8" w:rsidRPr="00360A9D" w:rsidRDefault="00BB67F8" w:rsidP="004F4D6F">
            <w:pPr>
              <w:spacing w:after="0" w:line="240" w:lineRule="auto"/>
              <w:jc w:val="center"/>
              <w:rPr>
                <w:rFonts w:ascii="Tahoma" w:eastAsia="Times New Roman" w:hAnsi="Tahoma" w:cs="Tahoma"/>
                <w:lang w:eastAsia="en-GB"/>
              </w:rPr>
            </w:pPr>
            <w:r w:rsidRPr="00360A9D">
              <w:rPr>
                <w:rFonts w:ascii="Tahoma" w:eastAsia="Times New Roman" w:hAnsi="Tahoma" w:cs="Tahoma"/>
                <w:lang w:eastAsia="en-GB"/>
              </w:rPr>
              <w:t>Nationally</w:t>
            </w:r>
          </w:p>
        </w:tc>
      </w:tr>
      <w:tr w:rsidR="002A55FF" w:rsidRPr="008E4970" w14:paraId="281D8569" w14:textId="77777777" w:rsidTr="002A55FF">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4811275E" w14:textId="77777777" w:rsidR="00BB67F8" w:rsidRPr="00704612" w:rsidRDefault="00BB67F8" w:rsidP="004F4D6F">
            <w:pPr>
              <w:spacing w:after="0" w:line="240" w:lineRule="auto"/>
              <w:jc w:val="center"/>
              <w:rPr>
                <w:rFonts w:ascii="Tahoma" w:eastAsia="Times New Roman" w:hAnsi="Tahoma" w:cs="Tahoma"/>
                <w:lang w:eastAsia="en-GB"/>
              </w:rPr>
            </w:pPr>
            <w:r w:rsidRPr="00704612">
              <w:rPr>
                <w:rFonts w:ascii="Tahoma" w:eastAsia="Times New Roman" w:hAnsi="Tahoma" w:cs="Tahoma"/>
                <w:lang w:eastAsia="en-GB"/>
              </w:rPr>
              <w:t>7.0%</w:t>
            </w:r>
          </w:p>
        </w:tc>
        <w:tc>
          <w:tcPr>
            <w:tcW w:w="1276" w:type="dxa"/>
            <w:gridSpan w:val="2"/>
            <w:tcBorders>
              <w:top w:val="nil"/>
              <w:left w:val="nil"/>
              <w:bottom w:val="single" w:sz="4" w:space="0" w:color="auto"/>
              <w:right w:val="single" w:sz="4" w:space="0" w:color="auto"/>
            </w:tcBorders>
            <w:shd w:val="clear" w:color="auto" w:fill="auto"/>
            <w:noWrap/>
            <w:vAlign w:val="center"/>
          </w:tcPr>
          <w:p w14:paraId="55202B19" w14:textId="77777777" w:rsidR="00BB67F8" w:rsidRPr="00704612" w:rsidRDefault="00BB67F8" w:rsidP="004F4D6F">
            <w:pPr>
              <w:spacing w:after="0" w:line="240" w:lineRule="auto"/>
              <w:jc w:val="center"/>
              <w:rPr>
                <w:rFonts w:ascii="Tahoma" w:eastAsia="Times New Roman" w:hAnsi="Tahoma" w:cs="Tahoma"/>
                <w:lang w:eastAsia="en-GB"/>
              </w:rPr>
            </w:pPr>
            <w:r w:rsidRPr="00704612">
              <w:rPr>
                <w:rFonts w:ascii="Tahoma" w:eastAsia="Times New Roman" w:hAnsi="Tahoma" w:cs="Tahoma"/>
                <w:lang w:eastAsia="en-GB"/>
              </w:rPr>
              <w:t>31</w:t>
            </w:r>
            <w:r w:rsidRPr="00704612">
              <w:rPr>
                <w:rFonts w:ascii="Tahoma" w:eastAsia="Times New Roman" w:hAnsi="Tahoma" w:cs="Tahoma"/>
                <w:vertAlign w:val="superscript"/>
                <w:lang w:eastAsia="en-GB"/>
              </w:rPr>
              <w:t>st</w:t>
            </w:r>
          </w:p>
        </w:tc>
        <w:tc>
          <w:tcPr>
            <w:tcW w:w="1134" w:type="dxa"/>
            <w:tcBorders>
              <w:top w:val="nil"/>
              <w:left w:val="nil"/>
              <w:bottom w:val="single" w:sz="4" w:space="0" w:color="auto"/>
              <w:right w:val="single" w:sz="4" w:space="0" w:color="auto"/>
            </w:tcBorders>
            <w:shd w:val="clear" w:color="auto" w:fill="auto"/>
            <w:noWrap/>
            <w:vAlign w:val="center"/>
          </w:tcPr>
          <w:p w14:paraId="4E2231C7" w14:textId="77777777" w:rsidR="00BB67F8" w:rsidRPr="002807B2" w:rsidRDefault="00BB67F8" w:rsidP="004F4D6F">
            <w:pPr>
              <w:spacing w:after="0" w:line="240" w:lineRule="auto"/>
              <w:jc w:val="center"/>
              <w:rPr>
                <w:rFonts w:ascii="Tahoma" w:eastAsia="Times New Roman" w:hAnsi="Tahoma" w:cs="Tahoma"/>
                <w:lang w:eastAsia="en-GB"/>
              </w:rPr>
            </w:pPr>
            <w:r w:rsidRPr="002807B2">
              <w:rPr>
                <w:rFonts w:ascii="Tahoma" w:eastAsia="Times New Roman" w:hAnsi="Tahoma" w:cs="Tahoma"/>
                <w:lang w:eastAsia="en-GB"/>
              </w:rPr>
              <w:t>7.4%</w:t>
            </w:r>
          </w:p>
        </w:tc>
        <w:tc>
          <w:tcPr>
            <w:tcW w:w="1276" w:type="dxa"/>
            <w:gridSpan w:val="2"/>
            <w:tcBorders>
              <w:top w:val="nil"/>
              <w:left w:val="nil"/>
              <w:bottom w:val="single" w:sz="4" w:space="0" w:color="auto"/>
              <w:right w:val="single" w:sz="4" w:space="0" w:color="auto"/>
            </w:tcBorders>
            <w:shd w:val="clear" w:color="auto" w:fill="auto"/>
            <w:noWrap/>
            <w:vAlign w:val="center"/>
          </w:tcPr>
          <w:p w14:paraId="10DC7504" w14:textId="77777777" w:rsidR="00BB67F8" w:rsidRPr="002807B2" w:rsidRDefault="00BB67F8" w:rsidP="004F4D6F">
            <w:pPr>
              <w:spacing w:after="0" w:line="240" w:lineRule="auto"/>
              <w:jc w:val="center"/>
              <w:rPr>
                <w:rFonts w:ascii="Tahoma" w:eastAsia="Times New Roman" w:hAnsi="Tahoma" w:cs="Tahoma"/>
                <w:lang w:eastAsia="en-GB"/>
              </w:rPr>
            </w:pPr>
            <w:r w:rsidRPr="002807B2">
              <w:rPr>
                <w:rFonts w:ascii="Tahoma" w:eastAsia="Times New Roman" w:hAnsi="Tahoma" w:cs="Tahoma"/>
                <w:lang w:eastAsia="en-GB"/>
              </w:rPr>
              <w:t>33</w:t>
            </w:r>
            <w:r w:rsidRPr="002807B2">
              <w:rPr>
                <w:rFonts w:ascii="Tahoma" w:eastAsia="Times New Roman" w:hAnsi="Tahoma" w:cs="Tahoma"/>
                <w:vertAlign w:val="superscript"/>
                <w:lang w:eastAsia="en-GB"/>
              </w:rPr>
              <w:t>rd</w:t>
            </w:r>
            <w:r w:rsidRPr="002807B2">
              <w:rPr>
                <w:rFonts w:ascii="Tahoma" w:eastAsia="Times New Roman" w:hAnsi="Tahoma" w:cs="Tahoma"/>
                <w:lang w:eastAsia="en-GB"/>
              </w:rPr>
              <w:t xml:space="preserve"> </w:t>
            </w:r>
          </w:p>
        </w:tc>
        <w:tc>
          <w:tcPr>
            <w:tcW w:w="1134" w:type="dxa"/>
            <w:gridSpan w:val="2"/>
            <w:tcBorders>
              <w:top w:val="nil"/>
              <w:left w:val="nil"/>
              <w:bottom w:val="single" w:sz="4" w:space="0" w:color="auto"/>
              <w:right w:val="single" w:sz="4" w:space="0" w:color="auto"/>
            </w:tcBorders>
          </w:tcPr>
          <w:p w14:paraId="7481C622" w14:textId="77777777" w:rsidR="00BB67F8" w:rsidRPr="002F01D8" w:rsidRDefault="00BB67F8" w:rsidP="004F4D6F">
            <w:pPr>
              <w:spacing w:after="0" w:line="240" w:lineRule="auto"/>
              <w:jc w:val="center"/>
              <w:rPr>
                <w:rFonts w:ascii="Tahoma" w:eastAsia="Times New Roman" w:hAnsi="Tahoma" w:cs="Tahoma"/>
                <w:lang w:eastAsia="en-GB"/>
              </w:rPr>
            </w:pPr>
            <w:r w:rsidRPr="002F01D8">
              <w:rPr>
                <w:rFonts w:ascii="Tahoma" w:eastAsia="Times New Roman" w:hAnsi="Tahoma" w:cs="Tahoma"/>
                <w:lang w:eastAsia="en-GB"/>
              </w:rPr>
              <w:t>4.3%</w:t>
            </w:r>
          </w:p>
        </w:tc>
        <w:tc>
          <w:tcPr>
            <w:tcW w:w="1276" w:type="dxa"/>
            <w:gridSpan w:val="2"/>
            <w:tcBorders>
              <w:top w:val="nil"/>
              <w:left w:val="nil"/>
              <w:bottom w:val="single" w:sz="4" w:space="0" w:color="auto"/>
              <w:right w:val="single" w:sz="4" w:space="0" w:color="auto"/>
            </w:tcBorders>
          </w:tcPr>
          <w:p w14:paraId="319B0295" w14:textId="77777777" w:rsidR="00BB67F8" w:rsidRPr="002F01D8" w:rsidRDefault="00BB67F8" w:rsidP="004F4D6F">
            <w:pPr>
              <w:spacing w:after="0" w:line="240" w:lineRule="auto"/>
              <w:jc w:val="center"/>
              <w:rPr>
                <w:rFonts w:ascii="Tahoma" w:eastAsia="Times New Roman" w:hAnsi="Tahoma" w:cs="Tahoma"/>
                <w:lang w:eastAsia="en-GB"/>
              </w:rPr>
            </w:pPr>
            <w:r w:rsidRPr="002F01D8">
              <w:rPr>
                <w:rFonts w:ascii="Tahoma" w:eastAsia="Times New Roman" w:hAnsi="Tahoma" w:cs="Tahoma"/>
                <w:lang w:eastAsia="en-GB"/>
              </w:rPr>
              <w:t>32</w:t>
            </w:r>
            <w:r w:rsidRPr="002F01D8">
              <w:rPr>
                <w:rFonts w:ascii="Tahoma" w:eastAsia="Times New Roman" w:hAnsi="Tahoma" w:cs="Tahoma"/>
                <w:vertAlign w:val="superscript"/>
                <w:lang w:eastAsia="en-GB"/>
              </w:rPr>
              <w:t>nd</w:t>
            </w:r>
          </w:p>
        </w:tc>
        <w:tc>
          <w:tcPr>
            <w:tcW w:w="1134" w:type="dxa"/>
            <w:gridSpan w:val="3"/>
            <w:tcBorders>
              <w:top w:val="nil"/>
              <w:left w:val="nil"/>
              <w:bottom w:val="single" w:sz="4" w:space="0" w:color="auto"/>
              <w:right w:val="single" w:sz="4" w:space="0" w:color="auto"/>
            </w:tcBorders>
          </w:tcPr>
          <w:p w14:paraId="22BEEE44" w14:textId="77777777" w:rsidR="00BB67F8" w:rsidRPr="00115493" w:rsidRDefault="00BB67F8" w:rsidP="004F4D6F">
            <w:pPr>
              <w:spacing w:after="0" w:line="240" w:lineRule="auto"/>
              <w:jc w:val="center"/>
              <w:rPr>
                <w:rFonts w:ascii="Tahoma" w:eastAsia="Times New Roman" w:hAnsi="Tahoma" w:cs="Tahoma"/>
                <w:lang w:eastAsia="en-GB"/>
              </w:rPr>
            </w:pPr>
            <w:r w:rsidRPr="00115493">
              <w:rPr>
                <w:rFonts w:ascii="Tahoma" w:eastAsia="Times New Roman" w:hAnsi="Tahoma" w:cs="Tahoma"/>
                <w:lang w:eastAsia="en-GB"/>
              </w:rPr>
              <w:t>0.4%</w:t>
            </w:r>
          </w:p>
        </w:tc>
        <w:tc>
          <w:tcPr>
            <w:tcW w:w="1275" w:type="dxa"/>
            <w:tcBorders>
              <w:top w:val="nil"/>
              <w:left w:val="nil"/>
              <w:bottom w:val="single" w:sz="4" w:space="0" w:color="auto"/>
              <w:right w:val="single" w:sz="4" w:space="0" w:color="auto"/>
            </w:tcBorders>
          </w:tcPr>
          <w:p w14:paraId="11C75BE8" w14:textId="77777777" w:rsidR="00BB67F8" w:rsidRPr="00115493" w:rsidRDefault="00BB67F8" w:rsidP="004F4D6F">
            <w:pPr>
              <w:spacing w:after="0" w:line="240" w:lineRule="auto"/>
              <w:jc w:val="center"/>
              <w:rPr>
                <w:rFonts w:ascii="Tahoma" w:eastAsia="Times New Roman" w:hAnsi="Tahoma" w:cs="Tahoma"/>
                <w:lang w:eastAsia="en-GB"/>
              </w:rPr>
            </w:pPr>
            <w:r w:rsidRPr="00115493">
              <w:rPr>
                <w:rFonts w:ascii="Tahoma" w:eastAsia="Times New Roman" w:hAnsi="Tahoma" w:cs="Tahoma"/>
                <w:lang w:eastAsia="en-GB"/>
              </w:rPr>
              <w:t>7</w:t>
            </w:r>
            <w:r w:rsidRPr="00115493">
              <w:rPr>
                <w:rFonts w:ascii="Tahoma" w:eastAsia="Times New Roman" w:hAnsi="Tahoma" w:cs="Tahoma"/>
                <w:vertAlign w:val="superscript"/>
                <w:lang w:eastAsia="en-GB"/>
              </w:rPr>
              <w:t>th</w:t>
            </w:r>
          </w:p>
        </w:tc>
      </w:tr>
    </w:tbl>
    <w:p w14:paraId="354B232A" w14:textId="77777777" w:rsidR="00BB67F8" w:rsidRPr="002F60E9" w:rsidRDefault="00BB67F8" w:rsidP="00BB67F8">
      <w:pPr>
        <w:tabs>
          <w:tab w:val="left" w:pos="690"/>
        </w:tabs>
        <w:spacing w:after="0" w:line="240" w:lineRule="auto"/>
        <w:jc w:val="center"/>
        <w:rPr>
          <w:rFonts w:ascii="Arial" w:eastAsia="Calibri" w:hAnsi="Arial" w:cs="Arial"/>
          <w:i/>
          <w:iCs/>
        </w:rPr>
      </w:pPr>
      <w:r w:rsidRPr="002F60E9">
        <w:rPr>
          <w:rFonts w:ascii="Tahoma" w:eastAsia="Times New Roman" w:hAnsi="Tahoma" w:cs="Tahoma"/>
          <w:i/>
          <w:iCs/>
          <w:lang w:eastAsia="en-GB"/>
        </w:rPr>
        <w:t>*BT figures do differ from Kent Police internal figures as this includes the BT time to handle.</w:t>
      </w:r>
    </w:p>
    <w:p w14:paraId="033394E3" w14:textId="77777777" w:rsidR="00B04509" w:rsidRDefault="00B04509" w:rsidP="00725EDF">
      <w:pPr>
        <w:pStyle w:val="ListParagraph"/>
        <w:spacing w:after="0" w:line="240" w:lineRule="auto"/>
        <w:ind w:left="0"/>
        <w:rPr>
          <w:rFonts w:ascii="Tahoma" w:hAnsi="Tahoma" w:cs="Tahoma"/>
          <w:b/>
          <w:bCs/>
          <w:color w:val="000000" w:themeColor="text1"/>
          <w:u w:val="single"/>
        </w:rPr>
      </w:pPr>
    </w:p>
    <w:p w14:paraId="524A1E75" w14:textId="77777777" w:rsidR="001C3DB0" w:rsidRPr="001C3DB0" w:rsidRDefault="001C3DB0" w:rsidP="001C3DB0">
      <w:pPr>
        <w:jc w:val="both"/>
        <w:rPr>
          <w:rFonts w:ascii="Tahoma" w:hAnsi="Tahoma" w:cs="Tahoma"/>
          <w:b/>
          <w:bCs/>
          <w:u w:val="single"/>
        </w:rPr>
      </w:pPr>
      <w:r w:rsidRPr="001C3DB0">
        <w:rPr>
          <w:rFonts w:ascii="Tahoma" w:hAnsi="Tahoma" w:cs="Tahoma"/>
          <w:b/>
          <w:bCs/>
          <w:u w:val="single"/>
        </w:rPr>
        <w:t>Rural Crime</w:t>
      </w:r>
    </w:p>
    <w:p w14:paraId="4A252BD9" w14:textId="1D9AF885" w:rsidR="00A51995" w:rsidRDefault="007D2122" w:rsidP="001C3DB0">
      <w:pPr>
        <w:jc w:val="both"/>
        <w:rPr>
          <w:rFonts w:ascii="Tahoma" w:hAnsi="Tahoma" w:cs="Tahoma"/>
        </w:rPr>
      </w:pPr>
      <w:r>
        <w:rPr>
          <w:rFonts w:ascii="Tahoma" w:hAnsi="Tahoma" w:cs="Tahoma"/>
        </w:rPr>
        <w:t xml:space="preserve">Known as the ‘Garden of England’, 85% of land in Kent is rural, with a large proportion of that consisting of farmland, woodland and forestry.  </w:t>
      </w:r>
      <w:r w:rsidR="00A51995">
        <w:rPr>
          <w:rFonts w:ascii="Tahoma" w:hAnsi="Tahoma" w:cs="Tahoma"/>
        </w:rPr>
        <w:t>Kent Police has retained investment into the policing of our rural communities, with a dedicated Rural Task Force being a core component of the new Neighbourhood Policing Model launched in June 2023.</w:t>
      </w:r>
      <w:r>
        <w:rPr>
          <w:rFonts w:ascii="Tahoma" w:hAnsi="Tahoma" w:cs="Tahoma"/>
        </w:rPr>
        <w:t xml:space="preserve">  Kent is fortunate to have strong working relationships from within our rural communities, however we continue to enhance our visibility and accessibility in these areas to ensure that the</w:t>
      </w:r>
      <w:r w:rsidR="007F54FD">
        <w:rPr>
          <w:rFonts w:ascii="Tahoma" w:hAnsi="Tahoma" w:cs="Tahoma"/>
        </w:rPr>
        <w:t xml:space="preserve"> residents</w:t>
      </w:r>
      <w:r>
        <w:rPr>
          <w:rFonts w:ascii="Tahoma" w:hAnsi="Tahoma" w:cs="Tahoma"/>
        </w:rPr>
        <w:t xml:space="preserve"> and their businesses are protected from harm and ASB.  </w:t>
      </w:r>
      <w:r w:rsidR="00A51995">
        <w:rPr>
          <w:rFonts w:ascii="Tahoma" w:hAnsi="Tahoma" w:cs="Tahoma"/>
        </w:rPr>
        <w:t xml:space="preserve">  </w:t>
      </w:r>
    </w:p>
    <w:p w14:paraId="007F516A" w14:textId="55835CDC" w:rsidR="001C3DB0" w:rsidRPr="001E0703" w:rsidRDefault="0260F807" w:rsidP="001C3DB0">
      <w:pPr>
        <w:jc w:val="both"/>
        <w:rPr>
          <w:rFonts w:ascii="Tahoma" w:hAnsi="Tahoma" w:cs="Tahoma"/>
        </w:rPr>
      </w:pPr>
      <w:r w:rsidRPr="1D7D8BE7">
        <w:rPr>
          <w:rFonts w:ascii="Tahoma" w:hAnsi="Tahoma" w:cs="Tahoma"/>
        </w:rPr>
        <w:t>Whilst there</w:t>
      </w:r>
      <w:r w:rsidR="54E325CC" w:rsidRPr="1D7D8BE7">
        <w:rPr>
          <w:rFonts w:ascii="Tahoma" w:hAnsi="Tahoma" w:cs="Tahoma"/>
        </w:rPr>
        <w:t xml:space="preserve"> is no set national definition of </w:t>
      </w:r>
      <w:r w:rsidRPr="1D7D8BE7">
        <w:rPr>
          <w:rFonts w:ascii="Tahoma" w:hAnsi="Tahoma" w:cs="Tahoma"/>
        </w:rPr>
        <w:t xml:space="preserve">Rural Crime, </w:t>
      </w:r>
      <w:r w:rsidR="54E325CC" w:rsidRPr="1D7D8BE7">
        <w:rPr>
          <w:rFonts w:ascii="Tahoma" w:hAnsi="Tahoma" w:cs="Tahoma"/>
        </w:rPr>
        <w:t>it</w:t>
      </w:r>
      <w:r w:rsidRPr="1D7D8BE7">
        <w:rPr>
          <w:rFonts w:ascii="Tahoma" w:hAnsi="Tahoma" w:cs="Tahoma"/>
        </w:rPr>
        <w:t xml:space="preserve"> generally</w:t>
      </w:r>
      <w:r w:rsidR="54E325CC" w:rsidRPr="1D7D8BE7">
        <w:rPr>
          <w:rFonts w:ascii="Tahoma" w:hAnsi="Tahoma" w:cs="Tahoma"/>
        </w:rPr>
        <w:t xml:space="preserve"> encompass</w:t>
      </w:r>
      <w:r w:rsidRPr="1D7D8BE7">
        <w:rPr>
          <w:rFonts w:ascii="Tahoma" w:hAnsi="Tahoma" w:cs="Tahoma"/>
        </w:rPr>
        <w:t>es</w:t>
      </w:r>
      <w:r w:rsidR="54E325CC" w:rsidRPr="1D7D8BE7">
        <w:rPr>
          <w:rFonts w:ascii="Tahoma" w:hAnsi="Tahoma" w:cs="Tahoma"/>
        </w:rPr>
        <w:t xml:space="preserve"> a broad range of offences including agricultural theft, livestock rustling, fly-tipping, and wildlife crimes. Due to the changing landscape of wards in Kent, </w:t>
      </w:r>
      <w:r w:rsidR="5551CB7E" w:rsidRPr="1D7D8BE7">
        <w:rPr>
          <w:rFonts w:ascii="Tahoma" w:hAnsi="Tahoma" w:cs="Tahoma"/>
        </w:rPr>
        <w:t>we are</w:t>
      </w:r>
      <w:r w:rsidR="54E325CC" w:rsidRPr="1D7D8BE7">
        <w:rPr>
          <w:rFonts w:ascii="Tahoma" w:hAnsi="Tahoma" w:cs="Tahoma"/>
        </w:rPr>
        <w:t xml:space="preserve"> not able to </w:t>
      </w:r>
      <w:r w:rsidR="5551CB7E" w:rsidRPr="1D7D8BE7">
        <w:rPr>
          <w:rFonts w:ascii="Tahoma" w:hAnsi="Tahoma" w:cs="Tahoma"/>
        </w:rPr>
        <w:t xml:space="preserve">currently </w:t>
      </w:r>
      <w:r w:rsidR="54E325CC" w:rsidRPr="1D7D8BE7">
        <w:rPr>
          <w:rFonts w:ascii="Tahoma" w:hAnsi="Tahoma" w:cs="Tahoma"/>
        </w:rPr>
        <w:t>define rural or urban ward</w:t>
      </w:r>
      <w:r w:rsidR="5551CB7E" w:rsidRPr="1D7D8BE7">
        <w:rPr>
          <w:rFonts w:ascii="Tahoma" w:hAnsi="Tahoma" w:cs="Tahoma"/>
        </w:rPr>
        <w:t>s</w:t>
      </w:r>
      <w:r w:rsidR="54E325CC" w:rsidRPr="1D7D8BE7">
        <w:rPr>
          <w:rFonts w:ascii="Tahoma" w:hAnsi="Tahoma" w:cs="Tahoma"/>
        </w:rPr>
        <w:t xml:space="preserve">. </w:t>
      </w:r>
      <w:r w:rsidR="5551CB7E" w:rsidRPr="1D7D8BE7">
        <w:rPr>
          <w:rFonts w:ascii="Tahoma" w:hAnsi="Tahoma" w:cs="Tahoma"/>
        </w:rPr>
        <w:t xml:space="preserve">However, to provide an example of performance the following table demonstrates performance within the offences </w:t>
      </w:r>
      <w:r w:rsidR="54E325CC" w:rsidRPr="1D7D8BE7">
        <w:rPr>
          <w:rFonts w:ascii="Tahoma" w:hAnsi="Tahoma" w:cs="Tahoma"/>
        </w:rPr>
        <w:t xml:space="preserve">of </w:t>
      </w:r>
      <w:r w:rsidR="5551CB7E" w:rsidRPr="1D7D8BE7">
        <w:rPr>
          <w:rFonts w:ascii="Tahoma" w:hAnsi="Tahoma" w:cs="Tahoma"/>
        </w:rPr>
        <w:t>T</w:t>
      </w:r>
      <w:r w:rsidR="54E325CC" w:rsidRPr="1D7D8BE7">
        <w:rPr>
          <w:rFonts w:ascii="Tahoma" w:hAnsi="Tahoma" w:cs="Tahoma"/>
        </w:rPr>
        <w:t xml:space="preserve">heft of </w:t>
      </w:r>
      <w:r w:rsidR="5551CB7E" w:rsidRPr="1D7D8BE7">
        <w:rPr>
          <w:rFonts w:ascii="Tahoma" w:hAnsi="Tahoma" w:cs="Tahoma"/>
        </w:rPr>
        <w:t>A</w:t>
      </w:r>
      <w:r w:rsidR="54E325CC" w:rsidRPr="1D7D8BE7">
        <w:rPr>
          <w:rFonts w:ascii="Tahoma" w:hAnsi="Tahoma" w:cs="Tahoma"/>
        </w:rPr>
        <w:t xml:space="preserve">gricultural / </w:t>
      </w:r>
      <w:r w:rsidR="5551CB7E" w:rsidRPr="1D7D8BE7">
        <w:rPr>
          <w:rFonts w:ascii="Tahoma" w:hAnsi="Tahoma" w:cs="Tahoma"/>
        </w:rPr>
        <w:t xml:space="preserve">Farming Equipment </w:t>
      </w:r>
      <w:r w:rsidR="54E325CC" w:rsidRPr="1D7D8BE7">
        <w:rPr>
          <w:rFonts w:ascii="Tahoma" w:hAnsi="Tahoma" w:cs="Tahoma"/>
        </w:rPr>
        <w:t xml:space="preserve">and </w:t>
      </w:r>
      <w:r w:rsidR="5551CB7E" w:rsidRPr="1D7D8BE7">
        <w:rPr>
          <w:rFonts w:ascii="Tahoma" w:hAnsi="Tahoma" w:cs="Tahoma"/>
        </w:rPr>
        <w:t>W</w:t>
      </w:r>
      <w:r w:rsidR="54E325CC" w:rsidRPr="1D7D8BE7">
        <w:rPr>
          <w:rFonts w:ascii="Tahoma" w:hAnsi="Tahoma" w:cs="Tahoma"/>
        </w:rPr>
        <w:t>ildlife offences</w:t>
      </w:r>
      <w:r w:rsidR="5551CB7E" w:rsidRPr="1D7D8BE7">
        <w:rPr>
          <w:rFonts w:ascii="Tahoma" w:hAnsi="Tahoma" w:cs="Tahoma"/>
        </w:rPr>
        <w:t xml:space="preserve">, as </w:t>
      </w:r>
      <w:r w:rsidR="54E325CC" w:rsidRPr="1D7D8BE7">
        <w:rPr>
          <w:rFonts w:ascii="Tahoma" w:hAnsi="Tahoma" w:cs="Tahoma"/>
        </w:rPr>
        <w:t xml:space="preserve">recorded under the Home Office Counting Rules. </w:t>
      </w:r>
    </w:p>
    <w:tbl>
      <w:tblPr>
        <w:tblW w:w="9140" w:type="dxa"/>
        <w:jc w:val="center"/>
        <w:tblLayout w:type="fixed"/>
        <w:tblLook w:val="04A0" w:firstRow="1" w:lastRow="0" w:firstColumn="1" w:lastColumn="0" w:noHBand="0" w:noVBand="1"/>
      </w:tblPr>
      <w:tblGrid>
        <w:gridCol w:w="2693"/>
        <w:gridCol w:w="2149"/>
        <w:gridCol w:w="2149"/>
        <w:gridCol w:w="2149"/>
      </w:tblGrid>
      <w:tr w:rsidR="001C3DB0" w:rsidRPr="001E0703" w14:paraId="27B0C360" w14:textId="77777777" w:rsidTr="004F4D6F">
        <w:trPr>
          <w:trHeight w:val="556"/>
          <w:jc w:val="center"/>
        </w:trPr>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62F9FE"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31D5EBE"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8C8595C"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918CE57"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Number change</w:t>
            </w:r>
          </w:p>
        </w:tc>
      </w:tr>
      <w:tr w:rsidR="001C3DB0" w:rsidRPr="001E0703" w14:paraId="574090F6" w14:textId="77777777" w:rsidTr="004F4D6F">
        <w:trPr>
          <w:trHeight w:val="210"/>
          <w:jc w:val="center"/>
        </w:trPr>
        <w:tc>
          <w:tcPr>
            <w:tcW w:w="2693" w:type="dxa"/>
            <w:tcBorders>
              <w:top w:val="nil"/>
              <w:left w:val="single" w:sz="4" w:space="0" w:color="auto"/>
              <w:bottom w:val="single" w:sz="4" w:space="0" w:color="auto"/>
              <w:right w:val="single" w:sz="4" w:space="0" w:color="auto"/>
            </w:tcBorders>
            <w:shd w:val="clear" w:color="auto" w:fill="auto"/>
            <w:hideMark/>
          </w:tcPr>
          <w:p w14:paraId="4343FAEA"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rPr>
              <w:t>April 2021 - March 2022</w:t>
            </w:r>
          </w:p>
        </w:tc>
        <w:tc>
          <w:tcPr>
            <w:tcW w:w="2149" w:type="dxa"/>
            <w:tcBorders>
              <w:top w:val="nil"/>
              <w:left w:val="nil"/>
              <w:bottom w:val="single" w:sz="4" w:space="0" w:color="auto"/>
              <w:right w:val="single" w:sz="4" w:space="0" w:color="auto"/>
            </w:tcBorders>
            <w:shd w:val="clear" w:color="auto" w:fill="auto"/>
            <w:vAlign w:val="center"/>
          </w:tcPr>
          <w:p w14:paraId="21FDAFF6"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821</w:t>
            </w:r>
          </w:p>
        </w:tc>
        <w:tc>
          <w:tcPr>
            <w:tcW w:w="2149" w:type="dxa"/>
            <w:tcBorders>
              <w:top w:val="nil"/>
              <w:left w:val="nil"/>
              <w:bottom w:val="single" w:sz="4" w:space="0" w:color="auto"/>
              <w:right w:val="single" w:sz="4" w:space="0" w:color="auto"/>
            </w:tcBorders>
            <w:shd w:val="clear" w:color="auto" w:fill="auto"/>
            <w:noWrap/>
            <w:vAlign w:val="center"/>
          </w:tcPr>
          <w:p w14:paraId="1C5438C0"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4.1%</w:t>
            </w:r>
          </w:p>
        </w:tc>
        <w:tc>
          <w:tcPr>
            <w:tcW w:w="2149" w:type="dxa"/>
            <w:tcBorders>
              <w:top w:val="nil"/>
              <w:left w:val="nil"/>
              <w:bottom w:val="single" w:sz="4" w:space="0" w:color="auto"/>
              <w:right w:val="single" w:sz="4" w:space="0" w:color="auto"/>
            </w:tcBorders>
            <w:shd w:val="clear" w:color="auto" w:fill="auto"/>
            <w:noWrap/>
            <w:vAlign w:val="center"/>
          </w:tcPr>
          <w:p w14:paraId="6611E30F"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32</w:t>
            </w:r>
          </w:p>
        </w:tc>
      </w:tr>
      <w:tr w:rsidR="001C3DB0" w:rsidRPr="001E0703" w14:paraId="75FF1B9D" w14:textId="77777777" w:rsidTr="004F4D6F">
        <w:trPr>
          <w:trHeight w:val="210"/>
          <w:jc w:val="center"/>
        </w:trPr>
        <w:tc>
          <w:tcPr>
            <w:tcW w:w="2693" w:type="dxa"/>
            <w:tcBorders>
              <w:top w:val="nil"/>
              <w:left w:val="single" w:sz="4" w:space="0" w:color="auto"/>
              <w:bottom w:val="single" w:sz="4" w:space="0" w:color="auto"/>
              <w:right w:val="single" w:sz="4" w:space="0" w:color="auto"/>
            </w:tcBorders>
            <w:shd w:val="clear" w:color="auto" w:fill="auto"/>
            <w:noWrap/>
            <w:hideMark/>
          </w:tcPr>
          <w:p w14:paraId="63061764"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rPr>
              <w:t>April 2022 - March 2023</w:t>
            </w:r>
          </w:p>
        </w:tc>
        <w:tc>
          <w:tcPr>
            <w:tcW w:w="2149" w:type="dxa"/>
            <w:tcBorders>
              <w:top w:val="nil"/>
              <w:left w:val="nil"/>
              <w:bottom w:val="single" w:sz="4" w:space="0" w:color="auto"/>
              <w:right w:val="single" w:sz="4" w:space="0" w:color="auto"/>
            </w:tcBorders>
            <w:shd w:val="clear" w:color="auto" w:fill="auto"/>
            <w:noWrap/>
            <w:vAlign w:val="center"/>
          </w:tcPr>
          <w:p w14:paraId="7BBC31FD"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800</w:t>
            </w:r>
          </w:p>
        </w:tc>
        <w:tc>
          <w:tcPr>
            <w:tcW w:w="2149" w:type="dxa"/>
            <w:tcBorders>
              <w:top w:val="nil"/>
              <w:left w:val="nil"/>
              <w:bottom w:val="single" w:sz="4" w:space="0" w:color="auto"/>
              <w:right w:val="single" w:sz="4" w:space="0" w:color="auto"/>
            </w:tcBorders>
            <w:shd w:val="clear" w:color="auto" w:fill="auto"/>
            <w:noWrap/>
            <w:vAlign w:val="center"/>
          </w:tcPr>
          <w:p w14:paraId="7DD6AEDE"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-2.6%</w:t>
            </w:r>
          </w:p>
        </w:tc>
        <w:tc>
          <w:tcPr>
            <w:tcW w:w="2149" w:type="dxa"/>
            <w:tcBorders>
              <w:top w:val="nil"/>
              <w:left w:val="nil"/>
              <w:bottom w:val="single" w:sz="4" w:space="0" w:color="auto"/>
              <w:right w:val="single" w:sz="4" w:space="0" w:color="auto"/>
            </w:tcBorders>
            <w:shd w:val="clear" w:color="auto" w:fill="auto"/>
            <w:noWrap/>
            <w:vAlign w:val="center"/>
          </w:tcPr>
          <w:p w14:paraId="2FFF7382"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-21</w:t>
            </w:r>
          </w:p>
        </w:tc>
      </w:tr>
      <w:tr w:rsidR="001C3DB0" w:rsidRPr="001E0703" w14:paraId="254DF24F" w14:textId="77777777" w:rsidTr="004F4D6F">
        <w:trPr>
          <w:trHeight w:val="210"/>
          <w:jc w:val="center"/>
        </w:trPr>
        <w:tc>
          <w:tcPr>
            <w:tcW w:w="2693" w:type="dxa"/>
            <w:tcBorders>
              <w:top w:val="nil"/>
              <w:left w:val="single" w:sz="4" w:space="0" w:color="auto"/>
              <w:bottom w:val="single" w:sz="4" w:space="0" w:color="auto"/>
              <w:right w:val="single" w:sz="4" w:space="0" w:color="auto"/>
            </w:tcBorders>
            <w:shd w:val="clear" w:color="auto" w:fill="auto"/>
            <w:noWrap/>
            <w:hideMark/>
          </w:tcPr>
          <w:p w14:paraId="56D34A9F"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rPr>
              <w:t>April 2023 - March 2024</w:t>
            </w:r>
          </w:p>
        </w:tc>
        <w:tc>
          <w:tcPr>
            <w:tcW w:w="2149" w:type="dxa"/>
            <w:tcBorders>
              <w:top w:val="nil"/>
              <w:left w:val="nil"/>
              <w:bottom w:val="single" w:sz="4" w:space="0" w:color="auto"/>
              <w:right w:val="single" w:sz="4" w:space="0" w:color="auto"/>
            </w:tcBorders>
            <w:shd w:val="clear" w:color="auto" w:fill="auto"/>
            <w:noWrap/>
            <w:vAlign w:val="center"/>
          </w:tcPr>
          <w:p w14:paraId="02E2A7E2"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680</w:t>
            </w:r>
          </w:p>
        </w:tc>
        <w:tc>
          <w:tcPr>
            <w:tcW w:w="2149" w:type="dxa"/>
            <w:tcBorders>
              <w:top w:val="nil"/>
              <w:left w:val="nil"/>
              <w:bottom w:val="single" w:sz="4" w:space="0" w:color="auto"/>
              <w:right w:val="single" w:sz="4" w:space="0" w:color="auto"/>
            </w:tcBorders>
            <w:shd w:val="clear" w:color="auto" w:fill="auto"/>
            <w:noWrap/>
            <w:vAlign w:val="center"/>
          </w:tcPr>
          <w:p w14:paraId="4C4F2EB7"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-15.0%</w:t>
            </w:r>
          </w:p>
        </w:tc>
        <w:tc>
          <w:tcPr>
            <w:tcW w:w="2149" w:type="dxa"/>
            <w:tcBorders>
              <w:top w:val="nil"/>
              <w:left w:val="nil"/>
              <w:bottom w:val="single" w:sz="4" w:space="0" w:color="auto"/>
              <w:right w:val="single" w:sz="4" w:space="0" w:color="auto"/>
            </w:tcBorders>
            <w:shd w:val="clear" w:color="auto" w:fill="auto"/>
            <w:noWrap/>
            <w:vAlign w:val="center"/>
          </w:tcPr>
          <w:p w14:paraId="14C0035E"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-120</w:t>
            </w:r>
          </w:p>
        </w:tc>
      </w:tr>
      <w:tr w:rsidR="001C3DB0" w:rsidRPr="001E0703" w14:paraId="2270170D" w14:textId="77777777" w:rsidTr="004F4D6F">
        <w:trPr>
          <w:trHeight w:val="21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A558D47"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rPr>
              <w:t>April 2024 - March 2025</w:t>
            </w:r>
          </w:p>
        </w:tc>
        <w:tc>
          <w:tcPr>
            <w:tcW w:w="2149" w:type="dxa"/>
            <w:tcBorders>
              <w:top w:val="single" w:sz="4" w:space="0" w:color="auto"/>
              <w:left w:val="nil"/>
              <w:bottom w:val="single" w:sz="4" w:space="0" w:color="auto"/>
              <w:right w:val="single" w:sz="4" w:space="0" w:color="auto"/>
            </w:tcBorders>
            <w:shd w:val="clear" w:color="auto" w:fill="auto"/>
            <w:noWrap/>
            <w:vAlign w:val="center"/>
          </w:tcPr>
          <w:p w14:paraId="7F19A8B1"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607</w:t>
            </w:r>
          </w:p>
        </w:tc>
        <w:tc>
          <w:tcPr>
            <w:tcW w:w="2149" w:type="dxa"/>
            <w:tcBorders>
              <w:top w:val="single" w:sz="4" w:space="0" w:color="auto"/>
              <w:left w:val="nil"/>
              <w:bottom w:val="single" w:sz="4" w:space="0" w:color="auto"/>
              <w:right w:val="single" w:sz="4" w:space="0" w:color="auto"/>
            </w:tcBorders>
            <w:shd w:val="clear" w:color="auto" w:fill="auto"/>
            <w:noWrap/>
            <w:vAlign w:val="center"/>
          </w:tcPr>
          <w:p w14:paraId="16698E95"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-10.7%</w:t>
            </w:r>
          </w:p>
        </w:tc>
        <w:tc>
          <w:tcPr>
            <w:tcW w:w="2149" w:type="dxa"/>
            <w:tcBorders>
              <w:top w:val="single" w:sz="4" w:space="0" w:color="auto"/>
              <w:left w:val="nil"/>
              <w:bottom w:val="single" w:sz="4" w:space="0" w:color="auto"/>
              <w:right w:val="single" w:sz="4" w:space="0" w:color="auto"/>
            </w:tcBorders>
            <w:shd w:val="clear" w:color="auto" w:fill="auto"/>
            <w:noWrap/>
            <w:vAlign w:val="center"/>
          </w:tcPr>
          <w:p w14:paraId="6A8F9C67" w14:textId="77777777" w:rsidR="001C3DB0" w:rsidRPr="001E0703" w:rsidRDefault="001C3DB0" w:rsidP="004F4D6F">
            <w:pPr>
              <w:spacing w:after="0" w:line="276" w:lineRule="auto"/>
              <w:jc w:val="center"/>
              <w:rPr>
                <w:rFonts w:ascii="Tahoma" w:hAnsi="Tahoma" w:cs="Tahoma"/>
                <w:color w:val="000000"/>
              </w:rPr>
            </w:pPr>
            <w:r w:rsidRPr="001E0703">
              <w:rPr>
                <w:rFonts w:ascii="Tahoma" w:hAnsi="Tahoma" w:cs="Tahoma"/>
                <w:color w:val="000000"/>
              </w:rPr>
              <w:t>-73</w:t>
            </w:r>
          </w:p>
        </w:tc>
      </w:tr>
      <w:tr w:rsidR="001C3DB0" w:rsidRPr="001E0703" w14:paraId="782259E8" w14:textId="77777777" w:rsidTr="004F4D6F">
        <w:trPr>
          <w:trHeight w:val="70"/>
          <w:jc w:val="center"/>
        </w:trPr>
        <w:tc>
          <w:tcPr>
            <w:tcW w:w="269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41311C53" w14:textId="77777777" w:rsidR="001C3DB0" w:rsidRPr="001E0703" w:rsidRDefault="001C3DB0" w:rsidP="004F4D6F">
            <w:pPr>
              <w:spacing w:after="0" w:line="276" w:lineRule="auto"/>
              <w:jc w:val="center"/>
              <w:rPr>
                <w:rFonts w:ascii="Tahoma" w:hAnsi="Tahoma" w:cs="Tahoma"/>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vAlign w:val="center"/>
          </w:tcPr>
          <w:p w14:paraId="14186463" w14:textId="77777777" w:rsidR="001C3DB0" w:rsidRPr="001E0703" w:rsidRDefault="001C3DB0" w:rsidP="004F4D6F">
            <w:pPr>
              <w:spacing w:after="0" w:line="276" w:lineRule="auto"/>
              <w:jc w:val="center"/>
              <w:rPr>
                <w:rFonts w:ascii="Tahoma" w:hAnsi="Tahoma" w:cs="Tahoma"/>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vAlign w:val="center"/>
          </w:tcPr>
          <w:p w14:paraId="06CFE157" w14:textId="77777777" w:rsidR="001C3DB0" w:rsidRPr="001E0703" w:rsidRDefault="001C3DB0" w:rsidP="004F4D6F">
            <w:pPr>
              <w:spacing w:after="0" w:line="276" w:lineRule="auto"/>
              <w:jc w:val="center"/>
              <w:rPr>
                <w:rFonts w:ascii="Tahoma" w:hAnsi="Tahoma" w:cs="Tahoma"/>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vAlign w:val="center"/>
          </w:tcPr>
          <w:p w14:paraId="700482FF" w14:textId="77777777" w:rsidR="001C3DB0" w:rsidRPr="001E0703" w:rsidRDefault="001C3DB0" w:rsidP="004F4D6F">
            <w:pPr>
              <w:spacing w:after="0" w:line="276" w:lineRule="auto"/>
              <w:jc w:val="center"/>
              <w:rPr>
                <w:rFonts w:ascii="Tahoma" w:hAnsi="Tahoma" w:cs="Tahoma"/>
              </w:rPr>
            </w:pPr>
          </w:p>
        </w:tc>
      </w:tr>
      <w:tr w:rsidR="001C3DB0" w:rsidRPr="001E0703" w14:paraId="438A3A68" w14:textId="77777777" w:rsidTr="004F4D6F">
        <w:trPr>
          <w:trHeight w:val="210"/>
          <w:jc w:val="center"/>
        </w:trPr>
        <w:tc>
          <w:tcPr>
            <w:tcW w:w="4842"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vAlign w:val="center"/>
          </w:tcPr>
          <w:p w14:paraId="58E0216D" w14:textId="1522C337" w:rsidR="001C3DB0" w:rsidRPr="001C3DB0" w:rsidRDefault="001C3DB0" w:rsidP="004F4D6F">
            <w:pPr>
              <w:spacing w:after="0" w:line="276" w:lineRule="auto"/>
              <w:jc w:val="center"/>
              <w:rPr>
                <w:rFonts w:ascii="Tahoma" w:hAnsi="Tahoma" w:cs="Tahoma"/>
                <w:b/>
                <w:bCs/>
              </w:rPr>
            </w:pPr>
            <w:r w:rsidRPr="001C3DB0">
              <w:rPr>
                <w:rFonts w:ascii="Tahoma" w:hAnsi="Tahoma" w:cs="Tahoma"/>
                <w:b/>
                <w:bCs/>
              </w:rPr>
              <w:t>4 years’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F2E16" w14:textId="77777777" w:rsidR="001C3DB0" w:rsidRPr="001C3DB0" w:rsidRDefault="001C3DB0" w:rsidP="004F4D6F">
            <w:pPr>
              <w:spacing w:after="0" w:line="276" w:lineRule="auto"/>
              <w:jc w:val="center"/>
              <w:rPr>
                <w:rFonts w:ascii="Tahoma" w:hAnsi="Tahoma" w:cs="Tahoma"/>
                <w:b/>
                <w:bCs/>
              </w:rPr>
            </w:pPr>
            <w:r w:rsidRPr="001C3DB0">
              <w:rPr>
                <w:rFonts w:ascii="Tahoma" w:hAnsi="Tahoma" w:cs="Tahoma"/>
                <w:b/>
                <w:bCs/>
                <w:color w:val="000000"/>
              </w:rPr>
              <w:t>-26.1%</w:t>
            </w:r>
          </w:p>
        </w:tc>
        <w:tc>
          <w:tcPr>
            <w:tcW w:w="2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7D384" w14:textId="77777777" w:rsidR="001C3DB0" w:rsidRPr="001C3DB0" w:rsidRDefault="001C3DB0" w:rsidP="004F4D6F">
            <w:pPr>
              <w:spacing w:after="0" w:line="276" w:lineRule="auto"/>
              <w:jc w:val="center"/>
              <w:rPr>
                <w:rFonts w:ascii="Tahoma" w:hAnsi="Tahoma" w:cs="Tahoma"/>
                <w:b/>
                <w:bCs/>
              </w:rPr>
            </w:pPr>
            <w:r w:rsidRPr="001C3DB0">
              <w:rPr>
                <w:rFonts w:ascii="Tahoma" w:hAnsi="Tahoma" w:cs="Tahoma"/>
                <w:b/>
                <w:bCs/>
                <w:color w:val="000000"/>
              </w:rPr>
              <w:t>-214</w:t>
            </w:r>
          </w:p>
        </w:tc>
      </w:tr>
    </w:tbl>
    <w:p w14:paraId="06CB2842" w14:textId="77777777" w:rsidR="001C3DB0" w:rsidRPr="001E0703" w:rsidRDefault="001C3DB0" w:rsidP="001C3DB0">
      <w:pPr>
        <w:jc w:val="center"/>
        <w:rPr>
          <w:rFonts w:ascii="Tahoma" w:hAnsi="Tahoma" w:cs="Tahoma"/>
        </w:rPr>
      </w:pPr>
      <w:r w:rsidRPr="001E0703">
        <w:rPr>
          <w:rFonts w:ascii="Tahoma" w:hAnsi="Tahoma" w:cs="Tahoma"/>
          <w:noProof/>
        </w:rPr>
        <w:lastRenderedPageBreak/>
        <w:drawing>
          <wp:inline distT="0" distB="0" distL="0" distR="0" wp14:anchorId="75C1E294" wp14:editId="4F5B146F">
            <wp:extent cx="5682261" cy="2133600"/>
            <wp:effectExtent l="0" t="0" r="0" b="0"/>
            <wp:docPr id="9061956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9204" cy="2147471"/>
                    </a:xfrm>
                    <a:prstGeom prst="rect">
                      <a:avLst/>
                    </a:prstGeom>
                    <a:noFill/>
                  </pic:spPr>
                </pic:pic>
              </a:graphicData>
            </a:graphic>
          </wp:inline>
        </w:drawing>
      </w:r>
    </w:p>
    <w:p w14:paraId="3AD418A2" w14:textId="570B3343" w:rsidR="001C3DB0" w:rsidRDefault="001C3DB0" w:rsidP="00484C0E">
      <w:pPr>
        <w:spacing w:after="0" w:line="240" w:lineRule="auto"/>
        <w:rPr>
          <w:rFonts w:ascii="Tahoma" w:hAnsi="Tahoma" w:cs="Tahoma"/>
        </w:rPr>
      </w:pPr>
      <w:r w:rsidRPr="001E0703">
        <w:rPr>
          <w:rFonts w:ascii="Tahoma" w:hAnsi="Tahoma" w:cs="Tahoma"/>
        </w:rPr>
        <w:t xml:space="preserve">Over the </w:t>
      </w:r>
      <w:r w:rsidR="00484C0E">
        <w:rPr>
          <w:rFonts w:ascii="Tahoma" w:hAnsi="Tahoma" w:cs="Tahoma"/>
        </w:rPr>
        <w:t>4</w:t>
      </w:r>
      <w:r w:rsidRPr="001E0703">
        <w:rPr>
          <w:rFonts w:ascii="Tahoma" w:hAnsi="Tahoma" w:cs="Tahoma"/>
        </w:rPr>
        <w:t xml:space="preserve"> year</w:t>
      </w:r>
      <w:r w:rsidR="007F54FD">
        <w:rPr>
          <w:rFonts w:ascii="Tahoma" w:hAnsi="Tahoma" w:cs="Tahoma"/>
        </w:rPr>
        <w:t>s’</w:t>
      </w:r>
      <w:r w:rsidRPr="001E0703">
        <w:rPr>
          <w:rFonts w:ascii="Tahoma" w:hAnsi="Tahoma" w:cs="Tahoma"/>
        </w:rPr>
        <w:t xml:space="preserve"> period</w:t>
      </w:r>
      <w:r w:rsidR="00F51D36">
        <w:rPr>
          <w:rFonts w:ascii="Tahoma" w:hAnsi="Tahoma" w:cs="Tahoma"/>
        </w:rPr>
        <w:t>,</w:t>
      </w:r>
      <w:r w:rsidRPr="001E0703">
        <w:rPr>
          <w:rFonts w:ascii="Tahoma" w:hAnsi="Tahoma" w:cs="Tahoma"/>
        </w:rPr>
        <w:t xml:space="preserve"> </w:t>
      </w:r>
      <w:r w:rsidR="00F51D36">
        <w:rPr>
          <w:rFonts w:ascii="Tahoma" w:hAnsi="Tahoma" w:cs="Tahoma"/>
        </w:rPr>
        <w:t>T</w:t>
      </w:r>
      <w:r w:rsidRPr="001E0703">
        <w:rPr>
          <w:rFonts w:ascii="Tahoma" w:hAnsi="Tahoma" w:cs="Tahoma"/>
        </w:rPr>
        <w:t xml:space="preserve">heft of </w:t>
      </w:r>
      <w:r w:rsidR="00F51D36">
        <w:rPr>
          <w:rFonts w:ascii="Tahoma" w:hAnsi="Tahoma" w:cs="Tahoma"/>
        </w:rPr>
        <w:t>P</w:t>
      </w:r>
      <w:r w:rsidRPr="001E0703">
        <w:rPr>
          <w:rFonts w:ascii="Tahoma" w:hAnsi="Tahoma" w:cs="Tahoma"/>
        </w:rPr>
        <w:t>lant/</w:t>
      </w:r>
      <w:r w:rsidR="00F51D36">
        <w:rPr>
          <w:rFonts w:ascii="Tahoma" w:hAnsi="Tahoma" w:cs="Tahoma"/>
        </w:rPr>
        <w:t>A</w:t>
      </w:r>
      <w:r w:rsidRPr="001E0703">
        <w:rPr>
          <w:rFonts w:ascii="Tahoma" w:hAnsi="Tahoma" w:cs="Tahoma"/>
        </w:rPr>
        <w:t xml:space="preserve">gricultural equipment and </w:t>
      </w:r>
      <w:r w:rsidR="00F51D36">
        <w:rPr>
          <w:rFonts w:ascii="Tahoma" w:hAnsi="Tahoma" w:cs="Tahoma"/>
        </w:rPr>
        <w:t>W</w:t>
      </w:r>
      <w:r w:rsidRPr="001E0703">
        <w:rPr>
          <w:rFonts w:ascii="Tahoma" w:hAnsi="Tahoma" w:cs="Tahoma"/>
        </w:rPr>
        <w:t xml:space="preserve">ildlife offences has seen a decrease of -26.1% with 214 less crimes. </w:t>
      </w:r>
      <w:r w:rsidR="007F54FD">
        <w:rPr>
          <w:rFonts w:ascii="Tahoma" w:hAnsi="Tahoma" w:cs="Tahoma"/>
        </w:rPr>
        <w:t>During 2024/25, there</w:t>
      </w:r>
      <w:r w:rsidRPr="001E0703">
        <w:rPr>
          <w:rFonts w:ascii="Tahoma" w:hAnsi="Tahoma" w:cs="Tahoma"/>
        </w:rPr>
        <w:t xml:space="preserve"> has </w:t>
      </w:r>
      <w:r w:rsidR="007F54FD">
        <w:rPr>
          <w:rFonts w:ascii="Tahoma" w:hAnsi="Tahoma" w:cs="Tahoma"/>
        </w:rPr>
        <w:t>b</w:t>
      </w:r>
      <w:r w:rsidRPr="001E0703">
        <w:rPr>
          <w:rFonts w:ascii="Tahoma" w:hAnsi="Tahoma" w:cs="Tahoma"/>
        </w:rPr>
        <w:t xml:space="preserve">een a -10.7% decrease with 73 less crimes, </w:t>
      </w:r>
      <w:r w:rsidR="007F54FD">
        <w:rPr>
          <w:rFonts w:ascii="Tahoma" w:hAnsi="Tahoma" w:cs="Tahoma"/>
        </w:rPr>
        <w:t>with</w:t>
      </w:r>
      <w:r w:rsidRPr="001E0703">
        <w:rPr>
          <w:rFonts w:ascii="Tahoma" w:hAnsi="Tahoma" w:cs="Tahoma"/>
        </w:rPr>
        <w:t xml:space="preserve"> year</w:t>
      </w:r>
      <w:r w:rsidR="007F54FD">
        <w:rPr>
          <w:rFonts w:ascii="Tahoma" w:hAnsi="Tahoma" w:cs="Tahoma"/>
        </w:rPr>
        <w:t>-</w:t>
      </w:r>
      <w:r w:rsidRPr="001E0703">
        <w:rPr>
          <w:rFonts w:ascii="Tahoma" w:hAnsi="Tahoma" w:cs="Tahoma"/>
        </w:rPr>
        <w:t>on</w:t>
      </w:r>
      <w:r w:rsidR="007F54FD">
        <w:rPr>
          <w:rFonts w:ascii="Tahoma" w:hAnsi="Tahoma" w:cs="Tahoma"/>
        </w:rPr>
        <w:t>-</w:t>
      </w:r>
      <w:r w:rsidRPr="001E0703">
        <w:rPr>
          <w:rFonts w:ascii="Tahoma" w:hAnsi="Tahoma" w:cs="Tahoma"/>
        </w:rPr>
        <w:t>year reductions fro</w:t>
      </w:r>
      <w:r w:rsidR="007F54FD">
        <w:rPr>
          <w:rFonts w:ascii="Tahoma" w:hAnsi="Tahoma" w:cs="Tahoma"/>
        </w:rPr>
        <w:t>m</w:t>
      </w:r>
      <w:r w:rsidRPr="001E0703">
        <w:rPr>
          <w:rFonts w:ascii="Tahoma" w:hAnsi="Tahoma" w:cs="Tahoma"/>
        </w:rPr>
        <w:t xml:space="preserve"> 2022/23 to the current financial year. The peak quarter is typically October </w:t>
      </w:r>
      <w:r w:rsidR="007F54FD">
        <w:rPr>
          <w:rFonts w:ascii="Tahoma" w:hAnsi="Tahoma" w:cs="Tahoma"/>
        </w:rPr>
        <w:t>to</w:t>
      </w:r>
      <w:r w:rsidRPr="001E0703">
        <w:rPr>
          <w:rFonts w:ascii="Tahoma" w:hAnsi="Tahoma" w:cs="Tahoma"/>
        </w:rPr>
        <w:t xml:space="preserve"> December, however fo</w:t>
      </w:r>
      <w:r w:rsidR="007F54FD">
        <w:rPr>
          <w:rFonts w:ascii="Tahoma" w:hAnsi="Tahoma" w:cs="Tahoma"/>
        </w:rPr>
        <w:t>r</w:t>
      </w:r>
      <w:r w:rsidRPr="001E0703">
        <w:rPr>
          <w:rFonts w:ascii="Tahoma" w:hAnsi="Tahoma" w:cs="Tahoma"/>
        </w:rPr>
        <w:t xml:space="preserve"> 2023/24 offences were higher in July </w:t>
      </w:r>
      <w:r w:rsidR="007F54FD">
        <w:rPr>
          <w:rFonts w:ascii="Tahoma" w:hAnsi="Tahoma" w:cs="Tahoma"/>
        </w:rPr>
        <w:t xml:space="preserve">to </w:t>
      </w:r>
      <w:r w:rsidRPr="001E0703">
        <w:rPr>
          <w:rFonts w:ascii="Tahoma" w:hAnsi="Tahoma" w:cs="Tahoma"/>
        </w:rPr>
        <w:t>September (187).</w:t>
      </w:r>
    </w:p>
    <w:p w14:paraId="4C844FFB" w14:textId="77777777" w:rsidR="00484C0E" w:rsidRDefault="00484C0E" w:rsidP="00484C0E">
      <w:pPr>
        <w:spacing w:after="0" w:line="240" w:lineRule="auto"/>
        <w:rPr>
          <w:rFonts w:ascii="Tahoma" w:hAnsi="Tahoma" w:cs="Tahoma"/>
        </w:rPr>
      </w:pPr>
    </w:p>
    <w:p w14:paraId="17D9BEF1" w14:textId="6B4DCB94" w:rsidR="009C420B" w:rsidRDefault="009C420B" w:rsidP="00484C0E">
      <w:pPr>
        <w:spacing w:after="0" w:line="240" w:lineRule="auto"/>
        <w:rPr>
          <w:rFonts w:ascii="Tahoma" w:hAnsi="Tahoma" w:cs="Tahoma"/>
        </w:rPr>
      </w:pPr>
      <w:r>
        <w:rPr>
          <w:rFonts w:ascii="Tahoma" w:hAnsi="Tahoma" w:cs="Tahoma"/>
        </w:rPr>
        <w:t>Moving into 2025/26 and beyond, the Force will continue to engage with rural communities around areas of prevention and enforcement, utilising s</w:t>
      </w:r>
      <w:r w:rsidRPr="009C420B">
        <w:rPr>
          <w:rFonts w:ascii="Tahoma" w:hAnsi="Tahoma" w:cs="Tahoma"/>
        </w:rPr>
        <w:t xml:space="preserve">everal platforms such as ‘Farmwatch’ (FW) Whats App, Rural Matters, My Community Voice, public engagement events (ploughing matches, livestock markets etc) and following enquiries with victim and witnesses of crime.  </w:t>
      </w:r>
    </w:p>
    <w:p w14:paraId="2DBAB46C" w14:textId="77777777" w:rsidR="00484C0E" w:rsidRDefault="00484C0E" w:rsidP="00484C0E">
      <w:pPr>
        <w:spacing w:after="0" w:line="240" w:lineRule="auto"/>
        <w:rPr>
          <w:rFonts w:ascii="Tahoma" w:hAnsi="Tahoma" w:cs="Tahoma"/>
        </w:rPr>
      </w:pPr>
    </w:p>
    <w:p w14:paraId="2ED7C7F0" w14:textId="0AFD2D2C" w:rsidR="00D34FEB" w:rsidRPr="00D34FEB" w:rsidRDefault="009C420B" w:rsidP="00484C0E">
      <w:pPr>
        <w:spacing w:after="0" w:line="240" w:lineRule="auto"/>
        <w:rPr>
          <w:rFonts w:ascii="Tahoma" w:hAnsi="Tahoma" w:cs="Tahoma"/>
        </w:rPr>
      </w:pPr>
      <w:r w:rsidRPr="1D7D8BE7">
        <w:rPr>
          <w:rFonts w:ascii="Tahoma" w:hAnsi="Tahoma" w:cs="Tahoma"/>
        </w:rPr>
        <w:t>In addition, the Force will be support</w:t>
      </w:r>
      <w:r w:rsidR="00D34FEB" w:rsidRPr="1D7D8BE7">
        <w:rPr>
          <w:rFonts w:ascii="Tahoma" w:hAnsi="Tahoma" w:cs="Tahoma"/>
        </w:rPr>
        <w:t>ing</w:t>
      </w:r>
      <w:r w:rsidRPr="1D7D8BE7">
        <w:rPr>
          <w:rFonts w:ascii="Tahoma" w:hAnsi="Tahoma" w:cs="Tahoma"/>
        </w:rPr>
        <w:t xml:space="preserve"> the PCC’s new Rural Crime Board as a core priority within the </w:t>
      </w:r>
      <w:r w:rsidR="00D34FEB" w:rsidRPr="1D7D8BE7">
        <w:rPr>
          <w:rFonts w:ascii="Tahoma" w:hAnsi="Tahoma" w:cs="Tahoma"/>
        </w:rPr>
        <w:t xml:space="preserve">new Police and Crime Plan, to strengthen partnership working with varying stakeholders such as the National Farmers Union and Kent Wildlife Trust.  </w:t>
      </w:r>
    </w:p>
    <w:p w14:paraId="4B6AE63C" w14:textId="77777777" w:rsidR="00484C0E" w:rsidRDefault="00484C0E" w:rsidP="00055471">
      <w:pPr>
        <w:spacing w:after="0" w:line="240" w:lineRule="auto"/>
        <w:rPr>
          <w:rFonts w:ascii="Tahoma" w:hAnsi="Tahoma" w:cs="Tahoma"/>
          <w:b/>
          <w:bCs/>
          <w:u w:val="single"/>
        </w:rPr>
      </w:pPr>
    </w:p>
    <w:p w14:paraId="3DD06E48" w14:textId="6EA858FD" w:rsidR="00055471" w:rsidRDefault="00055471" w:rsidP="00055471">
      <w:pPr>
        <w:spacing w:after="0" w:line="240" w:lineRule="auto"/>
        <w:rPr>
          <w:rFonts w:ascii="Tahoma" w:hAnsi="Tahoma" w:cs="Tahoma"/>
          <w:b/>
          <w:bCs/>
          <w:u w:val="single"/>
        </w:rPr>
      </w:pPr>
      <w:r>
        <w:rPr>
          <w:rFonts w:ascii="Tahoma" w:hAnsi="Tahoma" w:cs="Tahoma"/>
          <w:b/>
          <w:bCs/>
          <w:u w:val="single"/>
        </w:rPr>
        <w:t>Special Constabulary</w:t>
      </w:r>
    </w:p>
    <w:p w14:paraId="7E910EF9" w14:textId="77777777" w:rsidR="00055471" w:rsidRPr="00524CB4" w:rsidRDefault="00055471" w:rsidP="00524CB4">
      <w:pPr>
        <w:pStyle w:val="NormalWeb"/>
        <w:shd w:val="clear" w:color="auto" w:fill="FFFFFF"/>
        <w:spacing w:before="0" w:beforeAutospacing="0" w:after="0" w:afterAutospacing="0"/>
        <w:rPr>
          <w:rFonts w:ascii="Tahoma" w:hAnsi="Tahoma" w:cs="Tahoma"/>
          <w:color w:val="323130"/>
          <w:sz w:val="22"/>
          <w:szCs w:val="22"/>
        </w:rPr>
      </w:pPr>
    </w:p>
    <w:p w14:paraId="460C8629" w14:textId="0B9E58AF" w:rsidR="00055471" w:rsidRDefault="00055471" w:rsidP="00524CB4">
      <w:pPr>
        <w:pStyle w:val="NormalWeb"/>
        <w:shd w:val="clear" w:color="auto" w:fill="FFFFFF"/>
        <w:spacing w:before="0" w:beforeAutospacing="0" w:after="0" w:afterAutospacing="0"/>
        <w:rPr>
          <w:rFonts w:ascii="Tahoma" w:hAnsi="Tahoma" w:cs="Tahoma"/>
          <w:color w:val="323130"/>
          <w:sz w:val="22"/>
          <w:szCs w:val="22"/>
        </w:rPr>
      </w:pPr>
      <w:r w:rsidRPr="00524CB4">
        <w:rPr>
          <w:rFonts w:ascii="Tahoma" w:hAnsi="Tahoma" w:cs="Tahoma"/>
          <w:color w:val="323130"/>
          <w:sz w:val="22"/>
          <w:szCs w:val="22"/>
        </w:rPr>
        <w:t>The Kent Special Constabulary comprises of trained volunteers who routinely give up their personal time to support the</w:t>
      </w:r>
      <w:r w:rsidR="00524CB4">
        <w:rPr>
          <w:rFonts w:ascii="Tahoma" w:hAnsi="Tahoma" w:cs="Tahoma"/>
          <w:color w:val="323130"/>
          <w:sz w:val="22"/>
          <w:szCs w:val="22"/>
        </w:rPr>
        <w:t xml:space="preserve"> Force in achieving its priorities, in line with the Kent Police Pledge.</w:t>
      </w:r>
    </w:p>
    <w:p w14:paraId="2174A706" w14:textId="77777777" w:rsidR="00524CB4" w:rsidRPr="00524CB4" w:rsidRDefault="00524CB4" w:rsidP="00524CB4">
      <w:pPr>
        <w:pStyle w:val="NormalWeb"/>
        <w:shd w:val="clear" w:color="auto" w:fill="FFFFFF"/>
        <w:spacing w:before="0" w:beforeAutospacing="0" w:after="0" w:afterAutospacing="0"/>
        <w:rPr>
          <w:rFonts w:ascii="Tahoma" w:hAnsi="Tahoma" w:cs="Tahoma"/>
          <w:color w:val="323130"/>
          <w:sz w:val="22"/>
          <w:szCs w:val="22"/>
        </w:rPr>
      </w:pPr>
    </w:p>
    <w:p w14:paraId="2D984074" w14:textId="27491589" w:rsidR="00524CB4" w:rsidRDefault="00055471" w:rsidP="00524CB4">
      <w:pPr>
        <w:pStyle w:val="NormalWeb"/>
        <w:shd w:val="clear" w:color="auto" w:fill="FFFFFF"/>
        <w:spacing w:before="0" w:beforeAutospacing="0" w:after="0" w:afterAutospacing="0"/>
        <w:rPr>
          <w:rFonts w:ascii="Tahoma" w:hAnsi="Tahoma" w:cs="Tahoma"/>
          <w:color w:val="323130"/>
          <w:sz w:val="22"/>
          <w:szCs w:val="22"/>
        </w:rPr>
      </w:pPr>
      <w:r w:rsidRPr="00524CB4">
        <w:rPr>
          <w:rFonts w:ascii="Tahoma" w:hAnsi="Tahoma" w:cs="Tahoma"/>
          <w:color w:val="323130"/>
          <w:sz w:val="22"/>
          <w:szCs w:val="22"/>
        </w:rPr>
        <w:t xml:space="preserve">Special </w:t>
      </w:r>
      <w:r w:rsidR="00524CB4">
        <w:rPr>
          <w:rFonts w:ascii="Tahoma" w:hAnsi="Tahoma" w:cs="Tahoma"/>
          <w:color w:val="323130"/>
          <w:sz w:val="22"/>
          <w:szCs w:val="22"/>
        </w:rPr>
        <w:t>C</w:t>
      </w:r>
      <w:r w:rsidRPr="00524CB4">
        <w:rPr>
          <w:rFonts w:ascii="Tahoma" w:hAnsi="Tahoma" w:cs="Tahoma"/>
          <w:color w:val="323130"/>
          <w:sz w:val="22"/>
          <w:szCs w:val="22"/>
        </w:rPr>
        <w:t>onstables</w:t>
      </w:r>
      <w:r w:rsidR="00303FB8">
        <w:rPr>
          <w:rFonts w:ascii="Tahoma" w:hAnsi="Tahoma" w:cs="Tahoma"/>
          <w:color w:val="323130"/>
          <w:sz w:val="22"/>
          <w:szCs w:val="22"/>
        </w:rPr>
        <w:t xml:space="preserve"> (SCs)</w:t>
      </w:r>
      <w:r w:rsidRPr="00524CB4">
        <w:rPr>
          <w:rFonts w:ascii="Tahoma" w:hAnsi="Tahoma" w:cs="Tahoma"/>
          <w:color w:val="323130"/>
          <w:sz w:val="22"/>
          <w:szCs w:val="22"/>
        </w:rPr>
        <w:t xml:space="preserve"> have full police powers, uniforms and equipment and work alongside </w:t>
      </w:r>
      <w:r w:rsidR="00524CB4" w:rsidRPr="00524CB4">
        <w:rPr>
          <w:rFonts w:ascii="Tahoma" w:hAnsi="Tahoma" w:cs="Tahoma"/>
          <w:color w:val="323130"/>
          <w:sz w:val="22"/>
          <w:szCs w:val="22"/>
        </w:rPr>
        <w:t xml:space="preserve">Police Officers </w:t>
      </w:r>
      <w:r w:rsidRPr="00524CB4">
        <w:rPr>
          <w:rFonts w:ascii="Tahoma" w:hAnsi="Tahoma" w:cs="Tahoma"/>
          <w:color w:val="323130"/>
          <w:sz w:val="22"/>
          <w:szCs w:val="22"/>
        </w:rPr>
        <w:t>and PCSOs to help protect and serve the people of Kent.</w:t>
      </w:r>
      <w:r w:rsidR="00524CB4">
        <w:rPr>
          <w:rFonts w:ascii="Tahoma" w:hAnsi="Tahoma" w:cs="Tahoma"/>
          <w:color w:val="323130"/>
          <w:sz w:val="22"/>
          <w:szCs w:val="22"/>
        </w:rPr>
        <w:t xml:space="preserve">  There is a dedicated team of trainers at the Kent Police College who provide initial learning to all newly recruited </w:t>
      </w:r>
      <w:r w:rsidR="00303FB8">
        <w:rPr>
          <w:rFonts w:ascii="Tahoma" w:hAnsi="Tahoma" w:cs="Tahoma"/>
          <w:color w:val="323130"/>
          <w:sz w:val="22"/>
          <w:szCs w:val="22"/>
        </w:rPr>
        <w:t>SCs</w:t>
      </w:r>
      <w:r w:rsidR="00524CB4">
        <w:rPr>
          <w:rFonts w:ascii="Tahoma" w:hAnsi="Tahoma" w:cs="Tahoma"/>
          <w:color w:val="323130"/>
          <w:sz w:val="22"/>
          <w:szCs w:val="22"/>
        </w:rPr>
        <w:t xml:space="preserve">, who embark on the Special Constable Learning Programme as part of the Police Education and Qualifications Framework; </w:t>
      </w:r>
      <w:r w:rsidR="00303FB8">
        <w:rPr>
          <w:rFonts w:ascii="Tahoma" w:hAnsi="Tahoma" w:cs="Tahoma"/>
          <w:color w:val="323130"/>
          <w:sz w:val="22"/>
          <w:szCs w:val="22"/>
        </w:rPr>
        <w:t xml:space="preserve">Kent </w:t>
      </w:r>
      <w:r w:rsidR="00524CB4">
        <w:rPr>
          <w:rFonts w:ascii="Tahoma" w:hAnsi="Tahoma" w:cs="Tahoma"/>
          <w:color w:val="323130"/>
          <w:sz w:val="22"/>
          <w:szCs w:val="22"/>
        </w:rPr>
        <w:t>being one of only two forces nationally to introduce this first.</w:t>
      </w:r>
    </w:p>
    <w:p w14:paraId="64782C57" w14:textId="77777777" w:rsidR="00524CB4" w:rsidRDefault="00524CB4" w:rsidP="00524CB4">
      <w:pPr>
        <w:pStyle w:val="NormalWeb"/>
        <w:shd w:val="clear" w:color="auto" w:fill="FFFFFF"/>
        <w:spacing w:before="0" w:beforeAutospacing="0" w:after="0" w:afterAutospacing="0"/>
        <w:rPr>
          <w:rFonts w:ascii="Tahoma" w:hAnsi="Tahoma" w:cs="Tahoma"/>
          <w:color w:val="323130"/>
          <w:sz w:val="22"/>
          <w:szCs w:val="22"/>
        </w:rPr>
      </w:pPr>
    </w:p>
    <w:p w14:paraId="0023A6BD" w14:textId="5F0F5D3E" w:rsidR="00055471" w:rsidRPr="00484C0E" w:rsidRDefault="00303FB8" w:rsidP="00524CB4">
      <w:pPr>
        <w:pStyle w:val="NormalWeb"/>
        <w:shd w:val="clear" w:color="auto" w:fill="FFFFFF"/>
        <w:spacing w:before="0" w:beforeAutospacing="0" w:after="0" w:afterAutospacing="0"/>
        <w:rPr>
          <w:rFonts w:ascii="Tahoma" w:hAnsi="Tahoma" w:cs="Tahoma"/>
          <w:color w:val="323130"/>
          <w:sz w:val="22"/>
          <w:szCs w:val="22"/>
        </w:rPr>
      </w:pPr>
      <w:r>
        <w:rPr>
          <w:rFonts w:ascii="Tahoma" w:hAnsi="Tahoma" w:cs="Tahoma"/>
          <w:color w:val="323130"/>
          <w:sz w:val="22"/>
          <w:szCs w:val="22"/>
        </w:rPr>
        <w:t>SCs</w:t>
      </w:r>
      <w:r w:rsidR="00524CB4">
        <w:rPr>
          <w:rFonts w:ascii="Tahoma" w:hAnsi="Tahoma" w:cs="Tahoma"/>
          <w:color w:val="323130"/>
          <w:sz w:val="22"/>
          <w:szCs w:val="22"/>
        </w:rPr>
        <w:t xml:space="preserve"> are a highly dedicated team of individuals who provide support in most frontline policing areas across the county.  This includes within the Neighbourhood Policing Model across all 3 Divisions, and in more specialist areas such as Roads Policing, the Rural Task Force, and the Search and Marine Unit.  The table below outlines the </w:t>
      </w:r>
      <w:r>
        <w:rPr>
          <w:rFonts w:ascii="Tahoma" w:hAnsi="Tahoma" w:cs="Tahoma"/>
          <w:color w:val="323130"/>
          <w:sz w:val="22"/>
          <w:szCs w:val="22"/>
        </w:rPr>
        <w:t>SC</w:t>
      </w:r>
      <w:r w:rsidR="00524CB4">
        <w:rPr>
          <w:rFonts w:ascii="Tahoma" w:hAnsi="Tahoma" w:cs="Tahoma"/>
          <w:color w:val="323130"/>
          <w:sz w:val="22"/>
          <w:szCs w:val="22"/>
        </w:rPr>
        <w:t xml:space="preserve"> numbers from April 2021 through to April 2025. </w:t>
      </w:r>
    </w:p>
    <w:p w14:paraId="7409E751" w14:textId="77777777" w:rsidR="00055471" w:rsidRDefault="00055471" w:rsidP="00055471">
      <w:pPr>
        <w:spacing w:after="0" w:line="240" w:lineRule="auto"/>
        <w:rPr>
          <w:rFonts w:ascii="Tahoma" w:hAnsi="Tahoma" w:cs="Tahoma"/>
          <w:b/>
          <w:bCs/>
        </w:rPr>
      </w:pPr>
    </w:p>
    <w:tbl>
      <w:tblPr>
        <w:tblStyle w:val="TableGrid"/>
        <w:tblW w:w="0" w:type="auto"/>
        <w:tblLook w:val="04A0" w:firstRow="1" w:lastRow="0" w:firstColumn="1" w:lastColumn="0" w:noHBand="0" w:noVBand="1"/>
      </w:tblPr>
      <w:tblGrid>
        <w:gridCol w:w="1696"/>
        <w:gridCol w:w="1560"/>
        <w:gridCol w:w="2268"/>
        <w:gridCol w:w="1984"/>
      </w:tblGrid>
      <w:tr w:rsidR="00303FB8" w:rsidRPr="004F1477" w14:paraId="57798EC2" w14:textId="2F5D69D9" w:rsidTr="00303FB8">
        <w:trPr>
          <w:trHeight w:val="290"/>
        </w:trPr>
        <w:tc>
          <w:tcPr>
            <w:tcW w:w="1696" w:type="dxa"/>
            <w:noWrap/>
          </w:tcPr>
          <w:p w14:paraId="5DD32EB6" w14:textId="77777777" w:rsidR="00303FB8" w:rsidRPr="004F1477" w:rsidRDefault="00303FB8" w:rsidP="00055471">
            <w:pPr>
              <w:rPr>
                <w:rFonts w:ascii="Tahoma" w:hAnsi="Tahoma" w:cs="Tahoma"/>
              </w:rPr>
            </w:pPr>
          </w:p>
        </w:tc>
        <w:tc>
          <w:tcPr>
            <w:tcW w:w="1560" w:type="dxa"/>
            <w:shd w:val="clear" w:color="auto" w:fill="D9D9D9" w:themeFill="background1" w:themeFillShade="D9"/>
            <w:noWrap/>
          </w:tcPr>
          <w:p w14:paraId="09B3F2E2" w14:textId="686C8410" w:rsidR="00303FB8" w:rsidRPr="00303FB8" w:rsidRDefault="00303FB8" w:rsidP="00055471">
            <w:pPr>
              <w:rPr>
                <w:rFonts w:ascii="Tahoma" w:hAnsi="Tahoma" w:cs="Tahoma"/>
                <w:b/>
                <w:bCs/>
              </w:rPr>
            </w:pPr>
            <w:r w:rsidRPr="00303FB8">
              <w:rPr>
                <w:rFonts w:ascii="Tahoma" w:hAnsi="Tahoma" w:cs="Tahoma"/>
                <w:b/>
                <w:bCs/>
              </w:rPr>
              <w:t>No</w:t>
            </w:r>
            <w:r>
              <w:rPr>
                <w:rFonts w:ascii="Tahoma" w:hAnsi="Tahoma" w:cs="Tahoma"/>
                <w:b/>
                <w:bCs/>
              </w:rPr>
              <w:t>.</w:t>
            </w:r>
            <w:r w:rsidRPr="00303FB8">
              <w:rPr>
                <w:rFonts w:ascii="Tahoma" w:hAnsi="Tahoma" w:cs="Tahoma"/>
                <w:b/>
                <w:bCs/>
              </w:rPr>
              <w:t xml:space="preserve"> of </w:t>
            </w:r>
            <w:r>
              <w:rPr>
                <w:rFonts w:ascii="Tahoma" w:hAnsi="Tahoma" w:cs="Tahoma"/>
                <w:b/>
                <w:bCs/>
              </w:rPr>
              <w:t>SCs</w:t>
            </w:r>
          </w:p>
        </w:tc>
        <w:tc>
          <w:tcPr>
            <w:tcW w:w="2268" w:type="dxa"/>
            <w:shd w:val="clear" w:color="auto" w:fill="D9D9D9" w:themeFill="background1" w:themeFillShade="D9"/>
          </w:tcPr>
          <w:p w14:paraId="2708D172" w14:textId="3D633E3D" w:rsidR="00303FB8" w:rsidRPr="00303FB8" w:rsidRDefault="00303FB8" w:rsidP="00055471">
            <w:pPr>
              <w:rPr>
                <w:rFonts w:ascii="Tahoma" w:hAnsi="Tahoma" w:cs="Tahoma"/>
                <w:b/>
                <w:bCs/>
              </w:rPr>
            </w:pPr>
            <w:r w:rsidRPr="00303FB8">
              <w:rPr>
                <w:rFonts w:ascii="Tahoma" w:hAnsi="Tahoma" w:cs="Tahoma"/>
                <w:b/>
                <w:bCs/>
              </w:rPr>
              <w:t xml:space="preserve">Hours </w:t>
            </w:r>
            <w:r>
              <w:rPr>
                <w:rFonts w:ascii="Tahoma" w:hAnsi="Tahoma" w:cs="Tahoma"/>
                <w:b/>
                <w:bCs/>
              </w:rPr>
              <w:t>Volunteered</w:t>
            </w:r>
          </w:p>
        </w:tc>
        <w:tc>
          <w:tcPr>
            <w:tcW w:w="1984" w:type="dxa"/>
            <w:shd w:val="clear" w:color="auto" w:fill="D9D9D9" w:themeFill="background1" w:themeFillShade="D9"/>
          </w:tcPr>
          <w:p w14:paraId="2DB274FD" w14:textId="2E0381A6" w:rsidR="00303FB8" w:rsidRPr="00303FB8" w:rsidRDefault="00303FB8" w:rsidP="00055471">
            <w:pPr>
              <w:rPr>
                <w:rFonts w:ascii="Tahoma" w:hAnsi="Tahoma" w:cs="Tahoma"/>
                <w:b/>
                <w:bCs/>
              </w:rPr>
            </w:pPr>
            <w:r>
              <w:rPr>
                <w:rFonts w:ascii="Tahoma" w:hAnsi="Tahoma" w:cs="Tahoma"/>
                <w:b/>
                <w:bCs/>
              </w:rPr>
              <w:t>Hours per SC</w:t>
            </w:r>
          </w:p>
        </w:tc>
      </w:tr>
      <w:tr w:rsidR="00303FB8" w:rsidRPr="004F1477" w14:paraId="3908C683" w14:textId="323EC881" w:rsidTr="004F4D6F">
        <w:trPr>
          <w:trHeight w:val="290"/>
        </w:trPr>
        <w:tc>
          <w:tcPr>
            <w:tcW w:w="1696" w:type="dxa"/>
            <w:noWrap/>
            <w:hideMark/>
          </w:tcPr>
          <w:p w14:paraId="72C04752" w14:textId="77777777" w:rsidR="00303FB8" w:rsidRPr="004F1477" w:rsidRDefault="00303FB8" w:rsidP="00303FB8">
            <w:pPr>
              <w:jc w:val="left"/>
              <w:rPr>
                <w:rFonts w:ascii="Tahoma" w:hAnsi="Tahoma" w:cs="Tahoma"/>
              </w:rPr>
            </w:pPr>
            <w:r w:rsidRPr="004F1477">
              <w:rPr>
                <w:rFonts w:ascii="Tahoma" w:hAnsi="Tahoma" w:cs="Tahoma"/>
              </w:rPr>
              <w:t>Apr</w:t>
            </w:r>
            <w:r>
              <w:rPr>
                <w:rFonts w:ascii="Tahoma" w:hAnsi="Tahoma" w:cs="Tahoma"/>
              </w:rPr>
              <w:t>il 2021</w:t>
            </w:r>
          </w:p>
        </w:tc>
        <w:tc>
          <w:tcPr>
            <w:tcW w:w="1560" w:type="dxa"/>
            <w:noWrap/>
            <w:hideMark/>
          </w:tcPr>
          <w:p w14:paraId="557D0A80" w14:textId="77777777" w:rsidR="00303FB8" w:rsidRPr="004F1477" w:rsidRDefault="00303FB8" w:rsidP="00303FB8">
            <w:pPr>
              <w:jc w:val="left"/>
              <w:rPr>
                <w:rFonts w:ascii="Tahoma" w:hAnsi="Tahoma" w:cs="Tahoma"/>
              </w:rPr>
            </w:pPr>
            <w:r w:rsidRPr="004F1477">
              <w:rPr>
                <w:rFonts w:ascii="Tahoma" w:hAnsi="Tahoma" w:cs="Tahoma"/>
              </w:rPr>
              <w:t>349</w:t>
            </w:r>
          </w:p>
        </w:tc>
        <w:tc>
          <w:tcPr>
            <w:tcW w:w="2268" w:type="dxa"/>
            <w:tcBorders>
              <w:top w:val="single" w:sz="4" w:space="0" w:color="auto"/>
              <w:left w:val="nil"/>
              <w:bottom w:val="single" w:sz="4" w:space="0" w:color="auto"/>
              <w:right w:val="single" w:sz="4" w:space="0" w:color="auto"/>
            </w:tcBorders>
            <w:shd w:val="clear" w:color="auto" w:fill="auto"/>
            <w:vAlign w:val="bottom"/>
          </w:tcPr>
          <w:p w14:paraId="797C2B64" w14:textId="0869A314" w:rsidR="00303FB8" w:rsidRPr="004F1477" w:rsidRDefault="00303FB8" w:rsidP="00303FB8">
            <w:pPr>
              <w:rPr>
                <w:rFonts w:ascii="Tahoma" w:hAnsi="Tahoma" w:cs="Tahoma"/>
              </w:rPr>
            </w:pPr>
            <w:r w:rsidRPr="00C74036">
              <w:rPr>
                <w:rFonts w:ascii="Tahoma" w:eastAsia="Times New Roman" w:hAnsi="Tahoma" w:cs="Tahoma"/>
                <w:color w:val="000000"/>
                <w:lang w:eastAsia="en-GB"/>
              </w:rPr>
              <w:t>135,163</w:t>
            </w:r>
          </w:p>
        </w:tc>
        <w:tc>
          <w:tcPr>
            <w:tcW w:w="1984" w:type="dxa"/>
            <w:tcBorders>
              <w:top w:val="single" w:sz="4" w:space="0" w:color="auto"/>
              <w:left w:val="nil"/>
              <w:bottom w:val="single" w:sz="4" w:space="0" w:color="auto"/>
              <w:right w:val="single" w:sz="4" w:space="0" w:color="auto"/>
            </w:tcBorders>
            <w:vAlign w:val="bottom"/>
          </w:tcPr>
          <w:p w14:paraId="2D9ED85A" w14:textId="2507AC99" w:rsidR="00303FB8" w:rsidRPr="00C74036" w:rsidRDefault="00303FB8" w:rsidP="00303FB8">
            <w:pPr>
              <w:rPr>
                <w:rFonts w:ascii="Tahoma" w:eastAsia="Times New Roman" w:hAnsi="Tahoma" w:cs="Tahoma"/>
                <w:color w:val="000000"/>
                <w:lang w:eastAsia="en-GB"/>
              </w:rPr>
            </w:pPr>
            <w:r w:rsidRPr="00C74036">
              <w:rPr>
                <w:rFonts w:ascii="Tahoma" w:eastAsia="Times New Roman" w:hAnsi="Tahoma" w:cs="Tahoma"/>
                <w:color w:val="000000"/>
                <w:lang w:eastAsia="en-GB"/>
              </w:rPr>
              <w:t>387</w:t>
            </w:r>
          </w:p>
        </w:tc>
      </w:tr>
      <w:tr w:rsidR="00303FB8" w:rsidRPr="004F1477" w14:paraId="0A37538B" w14:textId="41DEC638" w:rsidTr="004F4D6F">
        <w:trPr>
          <w:trHeight w:val="290"/>
        </w:trPr>
        <w:tc>
          <w:tcPr>
            <w:tcW w:w="1696" w:type="dxa"/>
            <w:noWrap/>
            <w:hideMark/>
          </w:tcPr>
          <w:p w14:paraId="20B46CA7" w14:textId="77777777" w:rsidR="00303FB8" w:rsidRPr="004F1477" w:rsidRDefault="00303FB8" w:rsidP="00303FB8">
            <w:pPr>
              <w:jc w:val="left"/>
              <w:rPr>
                <w:rFonts w:ascii="Tahoma" w:hAnsi="Tahoma" w:cs="Tahoma"/>
              </w:rPr>
            </w:pPr>
            <w:r w:rsidRPr="004F1477">
              <w:rPr>
                <w:rFonts w:ascii="Tahoma" w:hAnsi="Tahoma" w:cs="Tahoma"/>
              </w:rPr>
              <w:t>Apr</w:t>
            </w:r>
            <w:r>
              <w:rPr>
                <w:rFonts w:ascii="Tahoma" w:hAnsi="Tahoma" w:cs="Tahoma"/>
              </w:rPr>
              <w:t>il 2022</w:t>
            </w:r>
          </w:p>
        </w:tc>
        <w:tc>
          <w:tcPr>
            <w:tcW w:w="1560" w:type="dxa"/>
            <w:noWrap/>
            <w:hideMark/>
          </w:tcPr>
          <w:p w14:paraId="44B90D12" w14:textId="77777777" w:rsidR="00303FB8" w:rsidRPr="004F1477" w:rsidRDefault="00303FB8" w:rsidP="00303FB8">
            <w:pPr>
              <w:jc w:val="left"/>
              <w:rPr>
                <w:rFonts w:ascii="Tahoma" w:hAnsi="Tahoma" w:cs="Tahoma"/>
              </w:rPr>
            </w:pPr>
            <w:r w:rsidRPr="004F1477">
              <w:rPr>
                <w:rFonts w:ascii="Tahoma" w:hAnsi="Tahoma" w:cs="Tahoma"/>
              </w:rPr>
              <w:t>281</w:t>
            </w:r>
          </w:p>
        </w:tc>
        <w:tc>
          <w:tcPr>
            <w:tcW w:w="2268" w:type="dxa"/>
            <w:tcBorders>
              <w:top w:val="nil"/>
              <w:left w:val="nil"/>
              <w:bottom w:val="single" w:sz="4" w:space="0" w:color="auto"/>
              <w:right w:val="single" w:sz="4" w:space="0" w:color="auto"/>
            </w:tcBorders>
            <w:shd w:val="clear" w:color="auto" w:fill="auto"/>
            <w:vAlign w:val="bottom"/>
          </w:tcPr>
          <w:p w14:paraId="3EA5C584" w14:textId="57A1DCC7" w:rsidR="00303FB8" w:rsidRPr="004F1477" w:rsidRDefault="00303FB8" w:rsidP="00303FB8">
            <w:pPr>
              <w:rPr>
                <w:rFonts w:ascii="Tahoma" w:hAnsi="Tahoma" w:cs="Tahoma"/>
              </w:rPr>
            </w:pPr>
            <w:r w:rsidRPr="00C74036">
              <w:rPr>
                <w:rFonts w:ascii="Tahoma" w:eastAsia="Times New Roman" w:hAnsi="Tahoma" w:cs="Tahoma"/>
                <w:color w:val="000000"/>
                <w:lang w:eastAsia="en-GB"/>
              </w:rPr>
              <w:t>103,538</w:t>
            </w:r>
          </w:p>
        </w:tc>
        <w:tc>
          <w:tcPr>
            <w:tcW w:w="1984" w:type="dxa"/>
            <w:tcBorders>
              <w:top w:val="nil"/>
              <w:left w:val="nil"/>
              <w:bottom w:val="single" w:sz="4" w:space="0" w:color="auto"/>
              <w:right w:val="single" w:sz="4" w:space="0" w:color="auto"/>
            </w:tcBorders>
            <w:vAlign w:val="bottom"/>
          </w:tcPr>
          <w:p w14:paraId="1A671DCD" w14:textId="327535DC" w:rsidR="00303FB8" w:rsidRPr="00C74036" w:rsidRDefault="00303FB8" w:rsidP="00303FB8">
            <w:pPr>
              <w:rPr>
                <w:rFonts w:ascii="Tahoma" w:eastAsia="Times New Roman" w:hAnsi="Tahoma" w:cs="Tahoma"/>
                <w:color w:val="000000"/>
                <w:lang w:eastAsia="en-GB"/>
              </w:rPr>
            </w:pPr>
            <w:r w:rsidRPr="00C74036">
              <w:rPr>
                <w:rFonts w:ascii="Tahoma" w:eastAsia="Times New Roman" w:hAnsi="Tahoma" w:cs="Tahoma"/>
                <w:color w:val="000000"/>
                <w:lang w:eastAsia="en-GB"/>
              </w:rPr>
              <w:t>368</w:t>
            </w:r>
          </w:p>
        </w:tc>
      </w:tr>
      <w:tr w:rsidR="00303FB8" w:rsidRPr="004F1477" w14:paraId="61BF94D1" w14:textId="00EEF195" w:rsidTr="004F4D6F">
        <w:trPr>
          <w:trHeight w:val="290"/>
        </w:trPr>
        <w:tc>
          <w:tcPr>
            <w:tcW w:w="1696" w:type="dxa"/>
            <w:noWrap/>
            <w:hideMark/>
          </w:tcPr>
          <w:p w14:paraId="078CB379" w14:textId="77777777" w:rsidR="00303FB8" w:rsidRPr="004F1477" w:rsidRDefault="00303FB8" w:rsidP="00303FB8">
            <w:pPr>
              <w:jc w:val="left"/>
              <w:rPr>
                <w:rFonts w:ascii="Tahoma" w:hAnsi="Tahoma" w:cs="Tahoma"/>
              </w:rPr>
            </w:pPr>
            <w:r w:rsidRPr="004F1477">
              <w:rPr>
                <w:rFonts w:ascii="Tahoma" w:hAnsi="Tahoma" w:cs="Tahoma"/>
              </w:rPr>
              <w:t>Ap</w:t>
            </w:r>
            <w:r>
              <w:rPr>
                <w:rFonts w:ascii="Tahoma" w:hAnsi="Tahoma" w:cs="Tahoma"/>
              </w:rPr>
              <w:t>ril 2023</w:t>
            </w:r>
          </w:p>
        </w:tc>
        <w:tc>
          <w:tcPr>
            <w:tcW w:w="1560" w:type="dxa"/>
            <w:noWrap/>
            <w:hideMark/>
          </w:tcPr>
          <w:p w14:paraId="3BCDD05F" w14:textId="77777777" w:rsidR="00303FB8" w:rsidRPr="004F1477" w:rsidRDefault="00303FB8" w:rsidP="00303FB8">
            <w:pPr>
              <w:jc w:val="left"/>
              <w:rPr>
                <w:rFonts w:ascii="Tahoma" w:hAnsi="Tahoma" w:cs="Tahoma"/>
              </w:rPr>
            </w:pPr>
            <w:r w:rsidRPr="004F1477">
              <w:rPr>
                <w:rFonts w:ascii="Tahoma" w:hAnsi="Tahoma" w:cs="Tahoma"/>
              </w:rPr>
              <w:t>199</w:t>
            </w:r>
          </w:p>
        </w:tc>
        <w:tc>
          <w:tcPr>
            <w:tcW w:w="2268" w:type="dxa"/>
            <w:tcBorders>
              <w:top w:val="nil"/>
              <w:left w:val="nil"/>
              <w:bottom w:val="single" w:sz="4" w:space="0" w:color="auto"/>
              <w:right w:val="single" w:sz="4" w:space="0" w:color="auto"/>
            </w:tcBorders>
            <w:shd w:val="clear" w:color="auto" w:fill="auto"/>
            <w:vAlign w:val="bottom"/>
          </w:tcPr>
          <w:p w14:paraId="5B4DC9E0" w14:textId="779FA611" w:rsidR="00303FB8" w:rsidRPr="004F1477" w:rsidRDefault="00303FB8" w:rsidP="00303FB8">
            <w:pPr>
              <w:rPr>
                <w:rFonts w:ascii="Tahoma" w:hAnsi="Tahoma" w:cs="Tahoma"/>
              </w:rPr>
            </w:pPr>
            <w:r w:rsidRPr="00C74036">
              <w:rPr>
                <w:rFonts w:ascii="Tahoma" w:eastAsia="Times New Roman" w:hAnsi="Tahoma" w:cs="Tahoma"/>
                <w:color w:val="000000"/>
                <w:lang w:eastAsia="en-GB"/>
              </w:rPr>
              <w:t>77,098</w:t>
            </w:r>
          </w:p>
        </w:tc>
        <w:tc>
          <w:tcPr>
            <w:tcW w:w="1984" w:type="dxa"/>
            <w:tcBorders>
              <w:top w:val="nil"/>
              <w:left w:val="nil"/>
              <w:bottom w:val="single" w:sz="4" w:space="0" w:color="auto"/>
              <w:right w:val="single" w:sz="4" w:space="0" w:color="auto"/>
            </w:tcBorders>
            <w:vAlign w:val="bottom"/>
          </w:tcPr>
          <w:p w14:paraId="69B685C4" w14:textId="55A00F50" w:rsidR="00303FB8" w:rsidRPr="00C74036" w:rsidRDefault="00303FB8" w:rsidP="00303FB8">
            <w:pPr>
              <w:rPr>
                <w:rFonts w:ascii="Tahoma" w:eastAsia="Times New Roman" w:hAnsi="Tahoma" w:cs="Tahoma"/>
                <w:color w:val="000000"/>
                <w:lang w:eastAsia="en-GB"/>
              </w:rPr>
            </w:pPr>
            <w:r w:rsidRPr="00C74036">
              <w:rPr>
                <w:rFonts w:ascii="Tahoma" w:eastAsia="Times New Roman" w:hAnsi="Tahoma" w:cs="Tahoma"/>
                <w:color w:val="000000"/>
                <w:lang w:eastAsia="en-GB"/>
              </w:rPr>
              <w:t>387</w:t>
            </w:r>
          </w:p>
        </w:tc>
      </w:tr>
      <w:tr w:rsidR="00303FB8" w:rsidRPr="004F1477" w14:paraId="494E7BE9" w14:textId="1A36A997" w:rsidTr="004F4D6F">
        <w:trPr>
          <w:trHeight w:val="290"/>
        </w:trPr>
        <w:tc>
          <w:tcPr>
            <w:tcW w:w="1696" w:type="dxa"/>
            <w:noWrap/>
            <w:hideMark/>
          </w:tcPr>
          <w:p w14:paraId="0DBCFAA2" w14:textId="77777777" w:rsidR="00303FB8" w:rsidRPr="004F1477" w:rsidRDefault="00303FB8" w:rsidP="00303FB8">
            <w:pPr>
              <w:jc w:val="left"/>
              <w:rPr>
                <w:rFonts w:ascii="Tahoma" w:hAnsi="Tahoma" w:cs="Tahoma"/>
              </w:rPr>
            </w:pPr>
            <w:r w:rsidRPr="004F1477">
              <w:rPr>
                <w:rFonts w:ascii="Tahoma" w:hAnsi="Tahoma" w:cs="Tahoma"/>
              </w:rPr>
              <w:t>Apr</w:t>
            </w:r>
            <w:r>
              <w:rPr>
                <w:rFonts w:ascii="Tahoma" w:hAnsi="Tahoma" w:cs="Tahoma"/>
              </w:rPr>
              <w:t>il 2024</w:t>
            </w:r>
          </w:p>
        </w:tc>
        <w:tc>
          <w:tcPr>
            <w:tcW w:w="1560" w:type="dxa"/>
            <w:noWrap/>
            <w:hideMark/>
          </w:tcPr>
          <w:p w14:paraId="25E7D120" w14:textId="77777777" w:rsidR="00303FB8" w:rsidRPr="004F1477" w:rsidRDefault="00303FB8" w:rsidP="00303FB8">
            <w:pPr>
              <w:jc w:val="left"/>
              <w:rPr>
                <w:rFonts w:ascii="Tahoma" w:hAnsi="Tahoma" w:cs="Tahoma"/>
              </w:rPr>
            </w:pPr>
            <w:r w:rsidRPr="004F1477">
              <w:rPr>
                <w:rFonts w:ascii="Tahoma" w:hAnsi="Tahoma" w:cs="Tahoma"/>
              </w:rPr>
              <w:t>179</w:t>
            </w:r>
          </w:p>
        </w:tc>
        <w:tc>
          <w:tcPr>
            <w:tcW w:w="2268" w:type="dxa"/>
            <w:tcBorders>
              <w:top w:val="nil"/>
              <w:left w:val="nil"/>
              <w:bottom w:val="single" w:sz="4" w:space="0" w:color="auto"/>
              <w:right w:val="single" w:sz="4" w:space="0" w:color="auto"/>
            </w:tcBorders>
            <w:shd w:val="clear" w:color="auto" w:fill="auto"/>
            <w:vAlign w:val="bottom"/>
          </w:tcPr>
          <w:p w14:paraId="7379BD95" w14:textId="42B2C9F8" w:rsidR="00303FB8" w:rsidRPr="004F1477" w:rsidRDefault="00303FB8" w:rsidP="00303FB8">
            <w:pPr>
              <w:rPr>
                <w:rFonts w:ascii="Tahoma" w:hAnsi="Tahoma" w:cs="Tahoma"/>
              </w:rPr>
            </w:pPr>
            <w:r w:rsidRPr="00C74036">
              <w:rPr>
                <w:rFonts w:ascii="Tahoma" w:eastAsia="Times New Roman" w:hAnsi="Tahoma" w:cs="Tahoma"/>
                <w:color w:val="000000"/>
                <w:lang w:eastAsia="en-GB"/>
              </w:rPr>
              <w:t>71,037</w:t>
            </w:r>
          </w:p>
        </w:tc>
        <w:tc>
          <w:tcPr>
            <w:tcW w:w="1984" w:type="dxa"/>
            <w:tcBorders>
              <w:top w:val="nil"/>
              <w:left w:val="nil"/>
              <w:bottom w:val="single" w:sz="4" w:space="0" w:color="auto"/>
              <w:right w:val="single" w:sz="4" w:space="0" w:color="auto"/>
            </w:tcBorders>
            <w:vAlign w:val="bottom"/>
          </w:tcPr>
          <w:p w14:paraId="3E14CEB0" w14:textId="78785A75" w:rsidR="00303FB8" w:rsidRPr="00C74036" w:rsidRDefault="00303FB8" w:rsidP="00303FB8">
            <w:pPr>
              <w:rPr>
                <w:rFonts w:ascii="Tahoma" w:eastAsia="Times New Roman" w:hAnsi="Tahoma" w:cs="Tahoma"/>
                <w:color w:val="000000"/>
                <w:lang w:eastAsia="en-GB"/>
              </w:rPr>
            </w:pPr>
            <w:r w:rsidRPr="00C74036">
              <w:rPr>
                <w:rFonts w:ascii="Tahoma" w:eastAsia="Times New Roman" w:hAnsi="Tahoma" w:cs="Tahoma"/>
                <w:color w:val="000000"/>
                <w:lang w:eastAsia="en-GB"/>
              </w:rPr>
              <w:t>396</w:t>
            </w:r>
          </w:p>
        </w:tc>
      </w:tr>
      <w:tr w:rsidR="00303FB8" w:rsidRPr="004F1477" w14:paraId="127DC2E5" w14:textId="3F49FEB1" w:rsidTr="004F4D6F">
        <w:trPr>
          <w:trHeight w:val="290"/>
        </w:trPr>
        <w:tc>
          <w:tcPr>
            <w:tcW w:w="1696" w:type="dxa"/>
            <w:noWrap/>
            <w:hideMark/>
          </w:tcPr>
          <w:p w14:paraId="62F477D4" w14:textId="77777777" w:rsidR="00303FB8" w:rsidRPr="004F1477" w:rsidRDefault="00303FB8" w:rsidP="00303FB8">
            <w:pPr>
              <w:jc w:val="left"/>
              <w:rPr>
                <w:rFonts w:ascii="Tahoma" w:hAnsi="Tahoma" w:cs="Tahoma"/>
              </w:rPr>
            </w:pPr>
            <w:r>
              <w:rPr>
                <w:rFonts w:ascii="Tahoma" w:hAnsi="Tahoma" w:cs="Tahoma"/>
              </w:rPr>
              <w:lastRenderedPageBreak/>
              <w:t>April 2025</w:t>
            </w:r>
          </w:p>
        </w:tc>
        <w:tc>
          <w:tcPr>
            <w:tcW w:w="1560" w:type="dxa"/>
            <w:noWrap/>
            <w:hideMark/>
          </w:tcPr>
          <w:p w14:paraId="57A5E637" w14:textId="77777777" w:rsidR="00303FB8" w:rsidRPr="004F1477" w:rsidRDefault="00303FB8" w:rsidP="00303FB8">
            <w:pPr>
              <w:jc w:val="left"/>
              <w:rPr>
                <w:rFonts w:ascii="Tahoma" w:hAnsi="Tahoma" w:cs="Tahoma"/>
              </w:rPr>
            </w:pPr>
            <w:r w:rsidRPr="004F1477">
              <w:rPr>
                <w:rFonts w:ascii="Tahoma" w:hAnsi="Tahoma" w:cs="Tahoma"/>
              </w:rPr>
              <w:t>175</w:t>
            </w:r>
          </w:p>
        </w:tc>
        <w:tc>
          <w:tcPr>
            <w:tcW w:w="2268" w:type="dxa"/>
            <w:tcBorders>
              <w:top w:val="nil"/>
              <w:left w:val="nil"/>
              <w:bottom w:val="single" w:sz="4" w:space="0" w:color="auto"/>
              <w:right w:val="single" w:sz="4" w:space="0" w:color="auto"/>
            </w:tcBorders>
            <w:shd w:val="clear" w:color="auto" w:fill="auto"/>
            <w:vAlign w:val="bottom"/>
          </w:tcPr>
          <w:p w14:paraId="3F5267FE" w14:textId="5FFB093B" w:rsidR="00303FB8" w:rsidRPr="004F1477" w:rsidRDefault="00303FB8" w:rsidP="00303FB8">
            <w:pPr>
              <w:rPr>
                <w:rFonts w:ascii="Tahoma" w:hAnsi="Tahoma" w:cs="Tahoma"/>
              </w:rPr>
            </w:pPr>
            <w:r w:rsidRPr="00C74036">
              <w:rPr>
                <w:rFonts w:ascii="Tahoma" w:eastAsia="Times New Roman" w:hAnsi="Tahoma" w:cs="Tahoma"/>
                <w:color w:val="000000"/>
                <w:lang w:eastAsia="en-GB"/>
              </w:rPr>
              <w:t>19,249</w:t>
            </w:r>
          </w:p>
        </w:tc>
        <w:tc>
          <w:tcPr>
            <w:tcW w:w="1984" w:type="dxa"/>
            <w:tcBorders>
              <w:top w:val="nil"/>
              <w:left w:val="nil"/>
              <w:bottom w:val="single" w:sz="4" w:space="0" w:color="auto"/>
              <w:right w:val="single" w:sz="4" w:space="0" w:color="auto"/>
            </w:tcBorders>
            <w:vAlign w:val="bottom"/>
          </w:tcPr>
          <w:p w14:paraId="14BCB474" w14:textId="3C333802" w:rsidR="00303FB8" w:rsidRPr="00C74036" w:rsidRDefault="00303FB8" w:rsidP="00303FB8">
            <w:pPr>
              <w:rPr>
                <w:rFonts w:ascii="Tahoma" w:eastAsia="Times New Roman" w:hAnsi="Tahoma" w:cs="Tahoma"/>
                <w:color w:val="000000"/>
                <w:lang w:eastAsia="en-GB"/>
              </w:rPr>
            </w:pPr>
            <w:r w:rsidRPr="00C74036">
              <w:rPr>
                <w:rFonts w:ascii="Tahoma" w:eastAsia="Times New Roman" w:hAnsi="Tahoma" w:cs="Tahoma"/>
                <w:color w:val="000000"/>
                <w:lang w:eastAsia="en-GB"/>
              </w:rPr>
              <w:t>109*</w:t>
            </w:r>
          </w:p>
        </w:tc>
      </w:tr>
    </w:tbl>
    <w:p w14:paraId="5DA24853" w14:textId="39184BCD" w:rsidR="00303FB8" w:rsidRPr="00C74036" w:rsidRDefault="00303FB8" w:rsidP="00303FB8">
      <w:pPr>
        <w:spacing w:after="0" w:line="240" w:lineRule="auto"/>
        <w:rPr>
          <w:rFonts w:ascii="Tahoma" w:hAnsi="Tahoma" w:cs="Tahoma"/>
          <w:i/>
          <w:iCs/>
        </w:rPr>
      </w:pPr>
      <w:r w:rsidRPr="002206D5">
        <w:rPr>
          <w:rFonts w:ascii="Tahoma" w:hAnsi="Tahoma" w:cs="Tahoma"/>
          <w:i/>
          <w:iCs/>
          <w:sz w:val="20"/>
          <w:szCs w:val="20"/>
        </w:rPr>
        <w:t>*A</w:t>
      </w:r>
      <w:r>
        <w:rPr>
          <w:rFonts w:ascii="Tahoma" w:hAnsi="Tahoma" w:cs="Tahoma"/>
          <w:i/>
          <w:iCs/>
          <w:sz w:val="20"/>
          <w:szCs w:val="20"/>
        </w:rPr>
        <w:t>s at 31</w:t>
      </w:r>
      <w:r w:rsidRPr="00303FB8">
        <w:rPr>
          <w:rFonts w:ascii="Tahoma" w:hAnsi="Tahoma" w:cs="Tahoma"/>
          <w:i/>
          <w:iCs/>
          <w:sz w:val="20"/>
          <w:szCs w:val="20"/>
          <w:vertAlign w:val="superscript"/>
        </w:rPr>
        <w:t>st</w:t>
      </w:r>
      <w:r>
        <w:rPr>
          <w:rFonts w:ascii="Tahoma" w:hAnsi="Tahoma" w:cs="Tahoma"/>
          <w:i/>
          <w:iCs/>
          <w:sz w:val="20"/>
          <w:szCs w:val="20"/>
        </w:rPr>
        <w:t xml:space="preserve"> March 2025,</w:t>
      </w:r>
      <w:r w:rsidRPr="002206D5">
        <w:rPr>
          <w:rFonts w:ascii="Tahoma" w:hAnsi="Tahoma" w:cs="Tahoma"/>
          <w:i/>
          <w:iCs/>
          <w:sz w:val="20"/>
          <w:szCs w:val="20"/>
        </w:rPr>
        <w:t xml:space="preserve"> it is predicted that average officer hours will be over 400 for 2025</w:t>
      </w:r>
      <w:r w:rsidRPr="00C74036">
        <w:rPr>
          <w:rFonts w:ascii="Tahoma" w:hAnsi="Tahoma" w:cs="Tahoma"/>
          <w:i/>
          <w:iCs/>
        </w:rPr>
        <w:t>.</w:t>
      </w:r>
    </w:p>
    <w:p w14:paraId="20941663" w14:textId="77777777" w:rsidR="00303FB8" w:rsidRDefault="00303FB8" w:rsidP="00055471">
      <w:pPr>
        <w:spacing w:after="0" w:line="240" w:lineRule="auto"/>
        <w:rPr>
          <w:rFonts w:ascii="Tahoma" w:hAnsi="Tahoma" w:cs="Tahoma"/>
        </w:rPr>
      </w:pPr>
    </w:p>
    <w:p w14:paraId="1D272DCB" w14:textId="031486D6" w:rsidR="00303FB8" w:rsidRPr="004B2FE4" w:rsidRDefault="00055471" w:rsidP="00303FB8">
      <w:pPr>
        <w:spacing w:after="0" w:line="240" w:lineRule="auto"/>
        <w:rPr>
          <w:rFonts w:ascii="Tahoma" w:hAnsi="Tahoma" w:cs="Tahoma"/>
        </w:rPr>
      </w:pPr>
      <w:r>
        <w:rPr>
          <w:rFonts w:ascii="Tahoma" w:hAnsi="Tahoma" w:cs="Tahoma"/>
        </w:rPr>
        <w:t xml:space="preserve">The primary reason for the decrease in </w:t>
      </w:r>
      <w:r w:rsidR="00303FB8">
        <w:rPr>
          <w:rFonts w:ascii="Tahoma" w:hAnsi="Tahoma" w:cs="Tahoma"/>
        </w:rPr>
        <w:t>SCs</w:t>
      </w:r>
      <w:r>
        <w:rPr>
          <w:rFonts w:ascii="Tahoma" w:hAnsi="Tahoma" w:cs="Tahoma"/>
        </w:rPr>
        <w:t xml:space="preserve"> </w:t>
      </w:r>
      <w:r w:rsidR="00524CB4">
        <w:rPr>
          <w:rFonts w:ascii="Tahoma" w:hAnsi="Tahoma" w:cs="Tahoma"/>
        </w:rPr>
        <w:t>during this time</w:t>
      </w:r>
      <w:r>
        <w:rPr>
          <w:rFonts w:ascii="Tahoma" w:hAnsi="Tahoma" w:cs="Tahoma"/>
        </w:rPr>
        <w:t xml:space="preserve"> is due to a successful</w:t>
      </w:r>
      <w:r w:rsidR="00524CB4">
        <w:rPr>
          <w:rFonts w:ascii="Tahoma" w:hAnsi="Tahoma" w:cs="Tahoma"/>
        </w:rPr>
        <w:t xml:space="preserve"> recruitment</w:t>
      </w:r>
      <w:r>
        <w:rPr>
          <w:rFonts w:ascii="Tahoma" w:hAnsi="Tahoma" w:cs="Tahoma"/>
        </w:rPr>
        <w:t xml:space="preserve"> initiative which </w:t>
      </w:r>
      <w:r w:rsidR="00524CB4">
        <w:rPr>
          <w:rFonts w:ascii="Tahoma" w:hAnsi="Tahoma" w:cs="Tahoma"/>
        </w:rPr>
        <w:t>supported</w:t>
      </w:r>
      <w:r>
        <w:rPr>
          <w:rFonts w:ascii="Tahoma" w:hAnsi="Tahoma" w:cs="Tahoma"/>
        </w:rPr>
        <w:t xml:space="preserve"> a significant number of </w:t>
      </w:r>
      <w:r w:rsidR="00524CB4">
        <w:rPr>
          <w:rFonts w:ascii="Tahoma" w:hAnsi="Tahoma" w:cs="Tahoma"/>
        </w:rPr>
        <w:t xml:space="preserve">existing </w:t>
      </w:r>
      <w:r w:rsidR="00303FB8">
        <w:rPr>
          <w:rFonts w:ascii="Tahoma" w:hAnsi="Tahoma" w:cs="Tahoma"/>
        </w:rPr>
        <w:t>SCs</w:t>
      </w:r>
      <w:r w:rsidR="00524CB4">
        <w:rPr>
          <w:rFonts w:ascii="Tahoma" w:hAnsi="Tahoma" w:cs="Tahoma"/>
        </w:rPr>
        <w:t xml:space="preserve"> </w:t>
      </w:r>
      <w:r>
        <w:rPr>
          <w:rFonts w:ascii="Tahoma" w:hAnsi="Tahoma" w:cs="Tahoma"/>
        </w:rPr>
        <w:t>to join as regular officers during the</w:t>
      </w:r>
      <w:r w:rsidR="006053B6">
        <w:rPr>
          <w:rFonts w:ascii="Tahoma" w:hAnsi="Tahoma" w:cs="Tahoma"/>
        </w:rPr>
        <w:t xml:space="preserve"> Government’s</w:t>
      </w:r>
      <w:r>
        <w:rPr>
          <w:rFonts w:ascii="Tahoma" w:hAnsi="Tahoma" w:cs="Tahoma"/>
        </w:rPr>
        <w:t xml:space="preserve"> </w:t>
      </w:r>
      <w:r w:rsidR="006053B6">
        <w:rPr>
          <w:rFonts w:ascii="Tahoma" w:hAnsi="Tahoma" w:cs="Tahoma"/>
        </w:rPr>
        <w:t xml:space="preserve">Police Officer Uplift Programme.  </w:t>
      </w:r>
      <w:r>
        <w:rPr>
          <w:rFonts w:ascii="Tahoma" w:hAnsi="Tahoma" w:cs="Tahoma"/>
        </w:rPr>
        <w:t xml:space="preserve">The total number of </w:t>
      </w:r>
      <w:r w:rsidR="00303FB8">
        <w:rPr>
          <w:rFonts w:ascii="Tahoma" w:hAnsi="Tahoma" w:cs="Tahoma"/>
        </w:rPr>
        <w:t>SCs</w:t>
      </w:r>
      <w:r>
        <w:rPr>
          <w:rFonts w:ascii="Tahoma" w:hAnsi="Tahoma" w:cs="Tahoma"/>
        </w:rPr>
        <w:t xml:space="preserve"> has remained static through the early part of 2025 and has just started to see an increase. This has been achieved through a </w:t>
      </w:r>
      <w:r w:rsidR="00303FB8">
        <w:rPr>
          <w:rFonts w:ascii="Tahoma" w:hAnsi="Tahoma" w:cs="Tahoma"/>
        </w:rPr>
        <w:t xml:space="preserve">comprehensive SC Recruitment Strategy, which has been complemented by initiatives such as bespoke SC recruitment events for existing Kent Police staff, the development of a ‘leavers pathway’ for regular officers (promoting opportunities within the SC), and a renewed focus on external media campaigns. </w:t>
      </w:r>
    </w:p>
    <w:p w14:paraId="04C3976D" w14:textId="77777777" w:rsidR="00055471" w:rsidRDefault="00055471" w:rsidP="00055471">
      <w:pPr>
        <w:pStyle w:val="ListParagraph"/>
        <w:spacing w:after="0" w:line="240" w:lineRule="auto"/>
        <w:ind w:left="0"/>
        <w:rPr>
          <w:rFonts w:ascii="Tahoma" w:hAnsi="Tahoma" w:cs="Tahoma"/>
        </w:rPr>
      </w:pPr>
    </w:p>
    <w:p w14:paraId="433E0956" w14:textId="476FCC25" w:rsidR="00055471" w:rsidRDefault="00055471" w:rsidP="00055471">
      <w:pPr>
        <w:spacing w:after="0" w:line="240" w:lineRule="auto"/>
        <w:rPr>
          <w:rFonts w:ascii="Tahoma" w:hAnsi="Tahoma" w:cs="Tahoma"/>
        </w:rPr>
      </w:pPr>
      <w:r w:rsidRPr="00C74036">
        <w:rPr>
          <w:rFonts w:ascii="Tahoma" w:hAnsi="Tahoma" w:cs="Tahoma"/>
        </w:rPr>
        <w:t xml:space="preserve">While </w:t>
      </w:r>
      <w:r w:rsidR="00303FB8">
        <w:rPr>
          <w:rFonts w:ascii="Tahoma" w:hAnsi="Tahoma" w:cs="Tahoma"/>
        </w:rPr>
        <w:t>the SC</w:t>
      </w:r>
      <w:r w:rsidRPr="00C74036">
        <w:rPr>
          <w:rFonts w:ascii="Tahoma" w:hAnsi="Tahoma" w:cs="Tahoma"/>
        </w:rPr>
        <w:t xml:space="preserve"> numbers have </w:t>
      </w:r>
      <w:r>
        <w:rPr>
          <w:rFonts w:ascii="Tahoma" w:hAnsi="Tahoma" w:cs="Tahoma"/>
        </w:rPr>
        <w:t>decreased</w:t>
      </w:r>
      <w:r w:rsidRPr="00C74036">
        <w:rPr>
          <w:rFonts w:ascii="Tahoma" w:hAnsi="Tahoma" w:cs="Tahoma"/>
        </w:rPr>
        <w:t>, the average number of hours</w:t>
      </w:r>
      <w:r>
        <w:rPr>
          <w:rFonts w:ascii="Tahoma" w:hAnsi="Tahoma" w:cs="Tahoma"/>
        </w:rPr>
        <w:t xml:space="preserve"> completed</w:t>
      </w:r>
      <w:r w:rsidRPr="00C74036">
        <w:rPr>
          <w:rFonts w:ascii="Tahoma" w:hAnsi="Tahoma" w:cs="Tahoma"/>
        </w:rPr>
        <w:t xml:space="preserve"> per </w:t>
      </w:r>
      <w:r w:rsidR="00303FB8">
        <w:rPr>
          <w:rFonts w:ascii="Tahoma" w:hAnsi="Tahoma" w:cs="Tahoma"/>
        </w:rPr>
        <w:t>SC</w:t>
      </w:r>
      <w:r w:rsidRPr="00C74036">
        <w:rPr>
          <w:rFonts w:ascii="Tahoma" w:hAnsi="Tahoma" w:cs="Tahoma"/>
        </w:rPr>
        <w:t xml:space="preserve"> has risen indicating that </w:t>
      </w:r>
      <w:r w:rsidR="00303FB8">
        <w:rPr>
          <w:rFonts w:ascii="Tahoma" w:hAnsi="Tahoma" w:cs="Tahoma"/>
        </w:rPr>
        <w:t xml:space="preserve">they </w:t>
      </w:r>
      <w:r w:rsidRPr="00C74036">
        <w:rPr>
          <w:rFonts w:ascii="Tahoma" w:hAnsi="Tahoma" w:cs="Tahoma"/>
        </w:rPr>
        <w:t xml:space="preserve">are committing more hours than ever before. This is in keeping with findings from </w:t>
      </w:r>
      <w:r>
        <w:rPr>
          <w:rFonts w:ascii="Tahoma" w:hAnsi="Tahoma" w:cs="Tahoma"/>
        </w:rPr>
        <w:t>an</w:t>
      </w:r>
      <w:r w:rsidRPr="00C74036">
        <w:rPr>
          <w:rFonts w:ascii="Tahoma" w:hAnsi="Tahoma" w:cs="Tahoma"/>
        </w:rPr>
        <w:t xml:space="preserve"> internal </w:t>
      </w:r>
      <w:r w:rsidR="00303FB8">
        <w:rPr>
          <w:rFonts w:ascii="Tahoma" w:hAnsi="Tahoma" w:cs="Tahoma"/>
        </w:rPr>
        <w:t xml:space="preserve">Kent Special Constabulary </w:t>
      </w:r>
      <w:r w:rsidRPr="00C74036">
        <w:rPr>
          <w:rFonts w:ascii="Tahoma" w:hAnsi="Tahoma" w:cs="Tahoma"/>
        </w:rPr>
        <w:t>survey which showed that over 90% of responding officers report</w:t>
      </w:r>
      <w:r>
        <w:rPr>
          <w:rFonts w:ascii="Tahoma" w:hAnsi="Tahoma" w:cs="Tahoma"/>
        </w:rPr>
        <w:t>ed</w:t>
      </w:r>
      <w:r w:rsidRPr="00C74036">
        <w:rPr>
          <w:rFonts w:ascii="Tahoma" w:hAnsi="Tahoma" w:cs="Tahoma"/>
        </w:rPr>
        <w:t xml:space="preserve"> that they agreed or strongly agreed with statements around the positive impact that being a</w:t>
      </w:r>
      <w:r>
        <w:rPr>
          <w:rFonts w:ascii="Tahoma" w:hAnsi="Tahoma" w:cs="Tahoma"/>
        </w:rPr>
        <w:t xml:space="preserve"> SC</w:t>
      </w:r>
      <w:r w:rsidRPr="00C74036">
        <w:rPr>
          <w:rFonts w:ascii="Tahoma" w:hAnsi="Tahoma" w:cs="Tahoma"/>
        </w:rPr>
        <w:t xml:space="preserve"> has had on them.</w:t>
      </w:r>
    </w:p>
    <w:p w14:paraId="16082AAB" w14:textId="77777777" w:rsidR="00386C60" w:rsidRDefault="00386C60" w:rsidP="00055471">
      <w:pPr>
        <w:spacing w:after="0" w:line="240" w:lineRule="auto"/>
        <w:rPr>
          <w:rFonts w:ascii="Tahoma" w:hAnsi="Tahoma" w:cs="Tahoma"/>
        </w:rPr>
      </w:pPr>
    </w:p>
    <w:p w14:paraId="4D8D7389" w14:textId="410898C5" w:rsidR="00386C60" w:rsidRDefault="00386C60" w:rsidP="00386C60">
      <w:pPr>
        <w:spacing w:after="0" w:line="240" w:lineRule="auto"/>
        <w:rPr>
          <w:rFonts w:ascii="Tahoma" w:hAnsi="Tahoma" w:cs="Tahoma"/>
        </w:rPr>
      </w:pPr>
      <w:r>
        <w:rPr>
          <w:rFonts w:ascii="Tahoma" w:hAnsi="Tahoma" w:cs="Tahoma"/>
        </w:rPr>
        <w:t xml:space="preserve">Having been the first police organisation to receive HM The Queen’s Award for Voluntary Service, a collective MBE, in 2014, the Kent Special Constabulary will continue to grow from strength from strength, with officers working increasing hours and providing specialist skills and expertise to support a high-quality service to the communities of Kent.    </w:t>
      </w:r>
    </w:p>
    <w:p w14:paraId="2551E8E4" w14:textId="77777777" w:rsidR="00386C60" w:rsidRPr="00C74036" w:rsidRDefault="00386C60" w:rsidP="00055471">
      <w:pPr>
        <w:spacing w:after="0" w:line="240" w:lineRule="auto"/>
        <w:rPr>
          <w:rFonts w:ascii="Tahoma" w:hAnsi="Tahoma" w:cs="Tahoma"/>
        </w:rPr>
      </w:pPr>
    </w:p>
    <w:p w14:paraId="3DF90B86" w14:textId="63FC7EFE" w:rsidR="00055471" w:rsidRPr="00C74036" w:rsidRDefault="00055471" w:rsidP="00055471">
      <w:pPr>
        <w:spacing w:after="0" w:line="240" w:lineRule="auto"/>
        <w:rPr>
          <w:rFonts w:ascii="Tahoma" w:hAnsi="Tahoma" w:cs="Tahoma"/>
          <w:b/>
          <w:bCs/>
          <w:u w:val="single"/>
        </w:rPr>
      </w:pPr>
      <w:r w:rsidRPr="00C74036">
        <w:rPr>
          <w:rFonts w:ascii="Tahoma" w:hAnsi="Tahoma" w:cs="Tahoma"/>
          <w:b/>
          <w:bCs/>
          <w:u w:val="single"/>
        </w:rPr>
        <w:t>P</w:t>
      </w:r>
      <w:r>
        <w:rPr>
          <w:rFonts w:ascii="Tahoma" w:hAnsi="Tahoma" w:cs="Tahoma"/>
          <w:b/>
          <w:bCs/>
          <w:u w:val="single"/>
        </w:rPr>
        <w:t xml:space="preserve">olice </w:t>
      </w:r>
      <w:r w:rsidRPr="00C74036">
        <w:rPr>
          <w:rFonts w:ascii="Tahoma" w:hAnsi="Tahoma" w:cs="Tahoma"/>
          <w:b/>
          <w:bCs/>
          <w:u w:val="single"/>
        </w:rPr>
        <w:t>S</w:t>
      </w:r>
      <w:r w:rsidR="008509FD">
        <w:rPr>
          <w:rFonts w:ascii="Tahoma" w:hAnsi="Tahoma" w:cs="Tahoma"/>
          <w:b/>
          <w:bCs/>
          <w:u w:val="single"/>
        </w:rPr>
        <w:t>upport</w:t>
      </w:r>
      <w:r>
        <w:rPr>
          <w:rFonts w:ascii="Tahoma" w:hAnsi="Tahoma" w:cs="Tahoma"/>
          <w:b/>
          <w:bCs/>
          <w:u w:val="single"/>
        </w:rPr>
        <w:t xml:space="preserve"> </w:t>
      </w:r>
      <w:r w:rsidRPr="00C74036">
        <w:rPr>
          <w:rFonts w:ascii="Tahoma" w:hAnsi="Tahoma" w:cs="Tahoma"/>
          <w:b/>
          <w:bCs/>
          <w:u w:val="single"/>
        </w:rPr>
        <w:t>V</w:t>
      </w:r>
      <w:r>
        <w:rPr>
          <w:rFonts w:ascii="Tahoma" w:hAnsi="Tahoma" w:cs="Tahoma"/>
          <w:b/>
          <w:bCs/>
          <w:u w:val="single"/>
        </w:rPr>
        <w:t>olunteer</w:t>
      </w:r>
      <w:r w:rsidRPr="00C74036">
        <w:rPr>
          <w:rFonts w:ascii="Tahoma" w:hAnsi="Tahoma" w:cs="Tahoma"/>
          <w:b/>
          <w:bCs/>
          <w:u w:val="single"/>
        </w:rPr>
        <w:t>s</w:t>
      </w:r>
      <w:r>
        <w:rPr>
          <w:rFonts w:ascii="Tahoma" w:hAnsi="Tahoma" w:cs="Tahoma"/>
          <w:b/>
          <w:bCs/>
          <w:u w:val="single"/>
        </w:rPr>
        <w:t xml:space="preserve"> (PSVs)</w:t>
      </w:r>
      <w:r w:rsidRPr="00C74036">
        <w:rPr>
          <w:rFonts w:ascii="Tahoma" w:hAnsi="Tahoma" w:cs="Tahoma"/>
          <w:b/>
          <w:bCs/>
          <w:u w:val="single"/>
        </w:rPr>
        <w:t xml:space="preserve"> and C</w:t>
      </w:r>
      <w:r>
        <w:rPr>
          <w:rFonts w:ascii="Tahoma" w:hAnsi="Tahoma" w:cs="Tahoma"/>
          <w:b/>
          <w:bCs/>
          <w:u w:val="single"/>
        </w:rPr>
        <w:t xml:space="preserve">ommunity </w:t>
      </w:r>
      <w:r w:rsidRPr="00C74036">
        <w:rPr>
          <w:rFonts w:ascii="Tahoma" w:hAnsi="Tahoma" w:cs="Tahoma"/>
          <w:b/>
          <w:bCs/>
          <w:u w:val="single"/>
        </w:rPr>
        <w:t>P</w:t>
      </w:r>
      <w:r>
        <w:rPr>
          <w:rFonts w:ascii="Tahoma" w:hAnsi="Tahoma" w:cs="Tahoma"/>
          <w:b/>
          <w:bCs/>
          <w:u w:val="single"/>
        </w:rPr>
        <w:t xml:space="preserve">olice </w:t>
      </w:r>
      <w:r w:rsidRPr="00C74036">
        <w:rPr>
          <w:rFonts w:ascii="Tahoma" w:hAnsi="Tahoma" w:cs="Tahoma"/>
          <w:b/>
          <w:bCs/>
          <w:u w:val="single"/>
        </w:rPr>
        <w:t>V</w:t>
      </w:r>
      <w:r>
        <w:rPr>
          <w:rFonts w:ascii="Tahoma" w:hAnsi="Tahoma" w:cs="Tahoma"/>
          <w:b/>
          <w:bCs/>
          <w:u w:val="single"/>
        </w:rPr>
        <w:t>olunteer</w:t>
      </w:r>
      <w:r w:rsidRPr="00C74036">
        <w:rPr>
          <w:rFonts w:ascii="Tahoma" w:hAnsi="Tahoma" w:cs="Tahoma"/>
          <w:b/>
          <w:bCs/>
          <w:u w:val="single"/>
        </w:rPr>
        <w:t>s</w:t>
      </w:r>
      <w:r>
        <w:rPr>
          <w:rFonts w:ascii="Tahoma" w:hAnsi="Tahoma" w:cs="Tahoma"/>
          <w:b/>
          <w:bCs/>
          <w:u w:val="single"/>
        </w:rPr>
        <w:t xml:space="preserve"> (CPVs)</w:t>
      </w:r>
    </w:p>
    <w:p w14:paraId="69F674A8" w14:textId="77777777" w:rsidR="00386C60" w:rsidRDefault="00386C60" w:rsidP="00055471">
      <w:pPr>
        <w:spacing w:after="0" w:line="240" w:lineRule="auto"/>
        <w:rPr>
          <w:rFonts w:ascii="Tahoma" w:hAnsi="Tahoma" w:cs="Tahoma"/>
        </w:rPr>
      </w:pPr>
    </w:p>
    <w:p w14:paraId="11CA51E8" w14:textId="77777777" w:rsidR="008509FD" w:rsidRDefault="008509FD" w:rsidP="00055471">
      <w:pPr>
        <w:spacing w:after="0" w:line="240" w:lineRule="auto"/>
        <w:rPr>
          <w:rFonts w:ascii="Tahoma" w:hAnsi="Tahoma" w:cs="Tahoma"/>
        </w:rPr>
      </w:pPr>
      <w:r>
        <w:rPr>
          <w:rFonts w:ascii="Tahoma" w:hAnsi="Tahoma" w:cs="Tahoma"/>
        </w:rPr>
        <w:t xml:space="preserve">In addition to the Kent Special Constabulary, those who volunteer for Kent Police in other capacities also continues to grow.  </w:t>
      </w:r>
    </w:p>
    <w:p w14:paraId="4B73BB40" w14:textId="77777777" w:rsidR="008509FD" w:rsidRDefault="008509FD" w:rsidP="00055471">
      <w:pPr>
        <w:spacing w:after="0" w:line="240" w:lineRule="auto"/>
        <w:rPr>
          <w:rFonts w:ascii="Tahoma" w:hAnsi="Tahoma" w:cs="Tahoma"/>
        </w:rPr>
      </w:pPr>
    </w:p>
    <w:p w14:paraId="609A3449" w14:textId="5D7F16F2" w:rsidR="00C8017E" w:rsidRDefault="008509FD" w:rsidP="00055471">
      <w:pPr>
        <w:spacing w:after="0" w:line="240" w:lineRule="auto"/>
        <w:rPr>
          <w:rFonts w:ascii="Tahoma" w:hAnsi="Tahoma" w:cs="Tahoma"/>
        </w:rPr>
      </w:pPr>
      <w:r>
        <w:rPr>
          <w:rFonts w:ascii="Tahoma" w:hAnsi="Tahoma" w:cs="Tahoma"/>
        </w:rPr>
        <w:t xml:space="preserve">PSVs give their time freely to support and enhance the day to day work undertaken by police officers and staff, helping to address policing issues, enhance service delivery and strengthen links between policing and the community.  They come from all occupational backgrounds and therefore bring many skills to the Force, including retiring officers and staff.  They volunteer across many different departments, such as Professional Standards, Victim Justice, Neighbourhood Watch and so on.  </w:t>
      </w:r>
    </w:p>
    <w:p w14:paraId="79CFBE78" w14:textId="77777777" w:rsidR="00C8017E" w:rsidRDefault="00C8017E" w:rsidP="00055471">
      <w:pPr>
        <w:spacing w:after="0" w:line="240" w:lineRule="auto"/>
        <w:rPr>
          <w:rFonts w:ascii="Tahoma" w:hAnsi="Tahoma" w:cs="Tahoma"/>
        </w:rPr>
      </w:pPr>
    </w:p>
    <w:p w14:paraId="330A36AF" w14:textId="2CE8A25D" w:rsidR="004B5FA7" w:rsidRDefault="004B5FA7" w:rsidP="00055471">
      <w:pPr>
        <w:spacing w:after="0" w:line="240" w:lineRule="auto"/>
        <w:rPr>
          <w:rFonts w:ascii="Tahoma" w:hAnsi="Tahoma" w:cs="Tahoma"/>
        </w:rPr>
      </w:pPr>
      <w:r>
        <w:rPr>
          <w:rFonts w:ascii="Tahoma" w:hAnsi="Tahoma" w:cs="Tahoma"/>
        </w:rPr>
        <w:t xml:space="preserve">Since </w:t>
      </w:r>
      <w:r w:rsidR="00C8017E">
        <w:rPr>
          <w:rFonts w:ascii="Tahoma" w:hAnsi="Tahoma" w:cs="Tahoma"/>
        </w:rPr>
        <w:t>2017, the CPV programme has</w:t>
      </w:r>
      <w:r w:rsidR="008509FD">
        <w:rPr>
          <w:rFonts w:ascii="Tahoma" w:hAnsi="Tahoma" w:cs="Tahoma"/>
        </w:rPr>
        <w:t xml:space="preserve"> also</w:t>
      </w:r>
      <w:r w:rsidR="00C8017E">
        <w:rPr>
          <w:rFonts w:ascii="Tahoma" w:hAnsi="Tahoma" w:cs="Tahoma"/>
        </w:rPr>
        <w:t xml:space="preserve"> enabled individuals to be fully trained and support our communities, whilst gaining valuable skills and experience.  </w:t>
      </w:r>
      <w:r w:rsidR="008509FD">
        <w:rPr>
          <w:rFonts w:ascii="Tahoma" w:hAnsi="Tahoma" w:cs="Tahoma"/>
        </w:rPr>
        <w:t xml:space="preserve">The CPV </w:t>
      </w:r>
      <w:r w:rsidR="00C8017E">
        <w:rPr>
          <w:rFonts w:ascii="Tahoma" w:hAnsi="Tahoma" w:cs="Tahoma"/>
        </w:rPr>
        <w:t>roles in Kent has remained strong over recent years, covering areas such as Aviation, Canine, Coastal and Equine</w:t>
      </w:r>
      <w:r w:rsidR="00D34FEB">
        <w:rPr>
          <w:rFonts w:ascii="Tahoma" w:hAnsi="Tahoma" w:cs="Tahoma"/>
        </w:rPr>
        <w:t xml:space="preserve"> (particularly in our rural communities)</w:t>
      </w:r>
      <w:r w:rsidR="00C8017E">
        <w:rPr>
          <w:rFonts w:ascii="Tahoma" w:hAnsi="Tahoma" w:cs="Tahoma"/>
        </w:rPr>
        <w:t xml:space="preserve">.  </w:t>
      </w:r>
    </w:p>
    <w:p w14:paraId="34BC337F" w14:textId="77777777" w:rsidR="00C8017E" w:rsidRDefault="00C8017E" w:rsidP="00055471">
      <w:pPr>
        <w:spacing w:after="0" w:line="240" w:lineRule="auto"/>
        <w:rPr>
          <w:rFonts w:ascii="Tahoma" w:hAnsi="Tahoma" w:cs="Tahoma"/>
        </w:rPr>
      </w:pPr>
    </w:p>
    <w:p w14:paraId="29DB1A03" w14:textId="55AD39A0" w:rsidR="004B5FA7" w:rsidRDefault="00C8017E" w:rsidP="00055471">
      <w:pPr>
        <w:spacing w:after="0" w:line="240" w:lineRule="auto"/>
        <w:rPr>
          <w:rFonts w:ascii="Tahoma" w:hAnsi="Tahoma" w:cs="Tahoma"/>
        </w:rPr>
      </w:pPr>
      <w:r>
        <w:rPr>
          <w:rFonts w:ascii="Tahoma" w:hAnsi="Tahoma" w:cs="Tahoma"/>
        </w:rPr>
        <w:t xml:space="preserve">An example of a CPV initiative </w:t>
      </w:r>
      <w:r w:rsidR="008509FD">
        <w:rPr>
          <w:rFonts w:ascii="Tahoma" w:hAnsi="Tahoma" w:cs="Tahoma"/>
        </w:rPr>
        <w:t xml:space="preserve">that has developed in recent years is </w:t>
      </w:r>
      <w:r>
        <w:rPr>
          <w:rFonts w:ascii="Tahoma" w:hAnsi="Tahoma" w:cs="Tahoma"/>
        </w:rPr>
        <w:t xml:space="preserve">the CPV Therapy Dogs, who are not Police Dogs, but are owned by volunteers.  The role was designed and created in 2019 by a serving </w:t>
      </w:r>
      <w:r w:rsidR="00484C0E">
        <w:rPr>
          <w:rFonts w:ascii="Tahoma" w:hAnsi="Tahoma" w:cs="Tahoma"/>
        </w:rPr>
        <w:t>PC</w:t>
      </w:r>
      <w:r>
        <w:rPr>
          <w:rFonts w:ascii="Tahoma" w:hAnsi="Tahoma" w:cs="Tahoma"/>
        </w:rPr>
        <w:t xml:space="preserve"> initially to support child centred policing and help tackle Mental Health, allowing the Force to engage with </w:t>
      </w:r>
      <w:r w:rsidR="00484C0E">
        <w:rPr>
          <w:rFonts w:ascii="Tahoma" w:hAnsi="Tahoma" w:cs="Tahoma"/>
        </w:rPr>
        <w:t>those most</w:t>
      </w:r>
      <w:r>
        <w:rPr>
          <w:rFonts w:ascii="Tahoma" w:hAnsi="Tahoma" w:cs="Tahoma"/>
        </w:rPr>
        <w:t xml:space="preserve"> vulnerable, raising awareness and signposting opportunities.  </w:t>
      </w:r>
      <w:r w:rsidR="008509FD">
        <w:rPr>
          <w:rFonts w:ascii="Tahoma" w:hAnsi="Tahoma" w:cs="Tahoma"/>
        </w:rPr>
        <w:t>Given its success, t</w:t>
      </w:r>
      <w:r>
        <w:rPr>
          <w:rFonts w:ascii="Tahoma" w:hAnsi="Tahoma" w:cs="Tahoma"/>
        </w:rPr>
        <w:t xml:space="preserve">he role has expanded since its inception and there are now 15 volunteers and their dogs countywide.  They regularly attend events such as Force Open Days and community events, support health and wellbeing programmes for staff, as well as vulnerable victims and witnesses going through the Criminal Justice System.  </w:t>
      </w:r>
      <w:r w:rsidR="008509FD">
        <w:rPr>
          <w:rFonts w:ascii="Tahoma" w:hAnsi="Tahoma" w:cs="Tahoma"/>
        </w:rPr>
        <w:t>The below table shows the numbers of PSVs and CPVs for the reporting period:</w:t>
      </w:r>
    </w:p>
    <w:p w14:paraId="163BE102" w14:textId="6B55E8F2" w:rsidR="00055471" w:rsidRPr="002D02D5" w:rsidRDefault="00055471" w:rsidP="00055471">
      <w:pPr>
        <w:spacing w:after="0" w:line="240" w:lineRule="auto"/>
        <w:rPr>
          <w:rFonts w:ascii="Tahoma" w:hAnsi="Tahoma" w:cs="Tahoma"/>
        </w:rPr>
      </w:pPr>
    </w:p>
    <w:tbl>
      <w:tblPr>
        <w:tblW w:w="7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2410"/>
        <w:gridCol w:w="851"/>
        <w:gridCol w:w="2423"/>
      </w:tblGrid>
      <w:tr w:rsidR="00490B25" w:rsidRPr="00C74036" w14:paraId="7C053CA7" w14:textId="52BE8608" w:rsidTr="00490B25">
        <w:trPr>
          <w:trHeight w:val="290"/>
        </w:trPr>
        <w:tc>
          <w:tcPr>
            <w:tcW w:w="1413" w:type="dxa"/>
            <w:shd w:val="clear" w:color="auto" w:fill="auto"/>
            <w:noWrap/>
            <w:vAlign w:val="bottom"/>
            <w:hideMark/>
          </w:tcPr>
          <w:p w14:paraId="1233CE97" w14:textId="77777777" w:rsidR="00490B25" w:rsidRPr="00C74036" w:rsidRDefault="00490B25" w:rsidP="00055471">
            <w:pPr>
              <w:spacing w:after="0" w:line="240" w:lineRule="auto"/>
              <w:rPr>
                <w:rFonts w:ascii="Tahoma" w:eastAsia="Times New Roman" w:hAnsi="Tahoma" w:cs="Tahoma"/>
                <w:color w:val="000000"/>
                <w:lang w:eastAsia="en-GB"/>
              </w:rPr>
            </w:pPr>
          </w:p>
        </w:tc>
        <w:tc>
          <w:tcPr>
            <w:tcW w:w="850" w:type="dxa"/>
            <w:shd w:val="clear" w:color="auto" w:fill="D9D9D9" w:themeFill="background1" w:themeFillShade="D9"/>
            <w:noWrap/>
            <w:vAlign w:val="bottom"/>
            <w:hideMark/>
          </w:tcPr>
          <w:p w14:paraId="6889278F" w14:textId="77777777" w:rsidR="00490B25" w:rsidRPr="008509FD" w:rsidRDefault="00490B25" w:rsidP="00055471">
            <w:pPr>
              <w:spacing w:after="0" w:line="240" w:lineRule="auto"/>
              <w:rPr>
                <w:rFonts w:ascii="Tahoma" w:eastAsia="Times New Roman" w:hAnsi="Tahoma" w:cs="Tahoma"/>
                <w:b/>
                <w:bCs/>
                <w:color w:val="000000"/>
                <w:lang w:eastAsia="en-GB"/>
              </w:rPr>
            </w:pPr>
            <w:r w:rsidRPr="008509FD">
              <w:rPr>
                <w:rFonts w:ascii="Tahoma" w:eastAsia="Times New Roman" w:hAnsi="Tahoma" w:cs="Tahoma"/>
                <w:b/>
                <w:bCs/>
                <w:color w:val="000000"/>
                <w:lang w:eastAsia="en-GB"/>
              </w:rPr>
              <w:t>PSVs</w:t>
            </w:r>
          </w:p>
        </w:tc>
        <w:tc>
          <w:tcPr>
            <w:tcW w:w="2410" w:type="dxa"/>
            <w:tcBorders>
              <w:right w:val="single" w:sz="36" w:space="0" w:color="auto"/>
            </w:tcBorders>
            <w:shd w:val="clear" w:color="auto" w:fill="D9D9D9" w:themeFill="background1" w:themeFillShade="D9"/>
          </w:tcPr>
          <w:p w14:paraId="7F909BB8" w14:textId="5754E203" w:rsidR="00490B25" w:rsidRPr="008509FD" w:rsidRDefault="00490B25" w:rsidP="00055471">
            <w:pPr>
              <w:spacing w:after="0" w:line="240" w:lineRule="auto"/>
              <w:rPr>
                <w:rFonts w:ascii="Tahoma" w:eastAsia="Times New Roman" w:hAnsi="Tahoma" w:cs="Tahoma"/>
                <w:b/>
                <w:bCs/>
                <w:color w:val="000000"/>
                <w:lang w:eastAsia="en-GB"/>
              </w:rPr>
            </w:pPr>
            <w:r>
              <w:rPr>
                <w:rFonts w:ascii="Tahoma" w:eastAsia="Times New Roman" w:hAnsi="Tahoma" w:cs="Tahoma"/>
                <w:b/>
                <w:bCs/>
                <w:color w:val="000000"/>
                <w:lang w:eastAsia="en-GB"/>
              </w:rPr>
              <w:t>Hours Volunteered</w:t>
            </w:r>
          </w:p>
        </w:tc>
        <w:tc>
          <w:tcPr>
            <w:tcW w:w="851" w:type="dxa"/>
            <w:tcBorders>
              <w:left w:val="single" w:sz="36" w:space="0" w:color="auto"/>
            </w:tcBorders>
            <w:shd w:val="clear" w:color="auto" w:fill="D9D9D9" w:themeFill="background1" w:themeFillShade="D9"/>
            <w:noWrap/>
            <w:vAlign w:val="bottom"/>
            <w:hideMark/>
          </w:tcPr>
          <w:p w14:paraId="70BF7555" w14:textId="7852122F" w:rsidR="00490B25" w:rsidRPr="008509FD" w:rsidRDefault="00490B25" w:rsidP="00055471">
            <w:pPr>
              <w:spacing w:after="0" w:line="240" w:lineRule="auto"/>
              <w:rPr>
                <w:rFonts w:ascii="Tahoma" w:eastAsia="Times New Roman" w:hAnsi="Tahoma" w:cs="Tahoma"/>
                <w:b/>
                <w:bCs/>
                <w:color w:val="000000"/>
                <w:lang w:eastAsia="en-GB"/>
              </w:rPr>
            </w:pPr>
            <w:r w:rsidRPr="008509FD">
              <w:rPr>
                <w:rFonts w:ascii="Tahoma" w:eastAsia="Times New Roman" w:hAnsi="Tahoma" w:cs="Tahoma"/>
                <w:b/>
                <w:bCs/>
                <w:color w:val="000000"/>
                <w:lang w:eastAsia="en-GB"/>
              </w:rPr>
              <w:t>CPVs</w:t>
            </w:r>
          </w:p>
        </w:tc>
        <w:tc>
          <w:tcPr>
            <w:tcW w:w="2423" w:type="dxa"/>
            <w:shd w:val="clear" w:color="auto" w:fill="D9D9D9" w:themeFill="background1" w:themeFillShade="D9"/>
          </w:tcPr>
          <w:p w14:paraId="7228CA67" w14:textId="09BBBA42" w:rsidR="00490B25" w:rsidRPr="008509FD" w:rsidRDefault="00490B25" w:rsidP="00055471">
            <w:pPr>
              <w:spacing w:after="0" w:line="240" w:lineRule="auto"/>
              <w:rPr>
                <w:rFonts w:ascii="Tahoma" w:eastAsia="Times New Roman" w:hAnsi="Tahoma" w:cs="Tahoma"/>
                <w:b/>
                <w:bCs/>
                <w:color w:val="000000"/>
                <w:lang w:eastAsia="en-GB"/>
              </w:rPr>
            </w:pPr>
            <w:r>
              <w:rPr>
                <w:rFonts w:ascii="Tahoma" w:eastAsia="Times New Roman" w:hAnsi="Tahoma" w:cs="Tahoma"/>
                <w:b/>
                <w:bCs/>
                <w:color w:val="000000"/>
                <w:lang w:eastAsia="en-GB"/>
              </w:rPr>
              <w:t>Hours Volunteered</w:t>
            </w:r>
          </w:p>
        </w:tc>
      </w:tr>
      <w:tr w:rsidR="00490B25" w:rsidRPr="00C74036" w14:paraId="320FBE98" w14:textId="21E9C808" w:rsidTr="004F4D6F">
        <w:trPr>
          <w:trHeight w:val="290"/>
        </w:trPr>
        <w:tc>
          <w:tcPr>
            <w:tcW w:w="1413" w:type="dxa"/>
            <w:shd w:val="clear" w:color="auto" w:fill="auto"/>
            <w:noWrap/>
            <w:vAlign w:val="bottom"/>
            <w:hideMark/>
          </w:tcPr>
          <w:p w14:paraId="6FF4DFC1" w14:textId="77777777"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Apr</w:t>
            </w:r>
            <w:r>
              <w:rPr>
                <w:rFonts w:ascii="Tahoma" w:eastAsia="Times New Roman" w:hAnsi="Tahoma" w:cs="Tahoma"/>
                <w:color w:val="000000"/>
                <w:lang w:eastAsia="en-GB"/>
              </w:rPr>
              <w:t>il 2021</w:t>
            </w:r>
          </w:p>
        </w:tc>
        <w:tc>
          <w:tcPr>
            <w:tcW w:w="850" w:type="dxa"/>
            <w:shd w:val="clear" w:color="auto" w:fill="auto"/>
            <w:noWrap/>
            <w:vAlign w:val="bottom"/>
            <w:hideMark/>
          </w:tcPr>
          <w:p w14:paraId="2038F084" w14:textId="77777777"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162</w:t>
            </w:r>
          </w:p>
        </w:tc>
        <w:tc>
          <w:tcPr>
            <w:tcW w:w="2410" w:type="dxa"/>
            <w:tcBorders>
              <w:top w:val="nil"/>
              <w:left w:val="nil"/>
              <w:bottom w:val="single" w:sz="4" w:space="0" w:color="auto"/>
              <w:right w:val="single" w:sz="4" w:space="0" w:color="auto"/>
            </w:tcBorders>
            <w:shd w:val="clear" w:color="auto" w:fill="auto"/>
            <w:vAlign w:val="bottom"/>
          </w:tcPr>
          <w:p w14:paraId="0B329F2B" w14:textId="59FFD374"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10</w:t>
            </w:r>
            <w:r>
              <w:rPr>
                <w:rFonts w:ascii="Tahoma" w:eastAsia="Times New Roman" w:hAnsi="Tahoma" w:cs="Tahoma"/>
                <w:color w:val="000000"/>
                <w:lang w:eastAsia="en-GB"/>
              </w:rPr>
              <w:t>,</w:t>
            </w:r>
            <w:r w:rsidRPr="00C74036">
              <w:rPr>
                <w:rFonts w:ascii="Tahoma" w:eastAsia="Times New Roman" w:hAnsi="Tahoma" w:cs="Tahoma"/>
                <w:color w:val="000000"/>
                <w:lang w:eastAsia="en-GB"/>
              </w:rPr>
              <w:t>558</w:t>
            </w:r>
          </w:p>
        </w:tc>
        <w:tc>
          <w:tcPr>
            <w:tcW w:w="851" w:type="dxa"/>
            <w:tcBorders>
              <w:left w:val="single" w:sz="36" w:space="0" w:color="auto"/>
            </w:tcBorders>
            <w:shd w:val="clear" w:color="auto" w:fill="auto"/>
            <w:noWrap/>
            <w:vAlign w:val="bottom"/>
            <w:hideMark/>
          </w:tcPr>
          <w:p w14:paraId="436FC61A" w14:textId="69B2CB6A"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50</w:t>
            </w:r>
          </w:p>
        </w:tc>
        <w:tc>
          <w:tcPr>
            <w:tcW w:w="2423" w:type="dxa"/>
            <w:tcBorders>
              <w:top w:val="nil"/>
              <w:left w:val="nil"/>
              <w:bottom w:val="single" w:sz="4" w:space="0" w:color="auto"/>
              <w:right w:val="single" w:sz="4" w:space="0" w:color="auto"/>
            </w:tcBorders>
            <w:shd w:val="clear" w:color="auto" w:fill="auto"/>
            <w:vAlign w:val="bottom"/>
          </w:tcPr>
          <w:p w14:paraId="20ABA310" w14:textId="07914A7D"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2</w:t>
            </w:r>
            <w:r>
              <w:rPr>
                <w:rFonts w:ascii="Tahoma" w:eastAsia="Times New Roman" w:hAnsi="Tahoma" w:cs="Tahoma"/>
                <w:color w:val="000000"/>
                <w:lang w:eastAsia="en-GB"/>
              </w:rPr>
              <w:t>,</w:t>
            </w:r>
            <w:r w:rsidRPr="00C74036">
              <w:rPr>
                <w:rFonts w:ascii="Tahoma" w:eastAsia="Times New Roman" w:hAnsi="Tahoma" w:cs="Tahoma"/>
                <w:color w:val="000000"/>
                <w:lang w:eastAsia="en-GB"/>
              </w:rPr>
              <w:t>590</w:t>
            </w:r>
          </w:p>
        </w:tc>
      </w:tr>
      <w:tr w:rsidR="00490B25" w:rsidRPr="00C74036" w14:paraId="6E9B7C9B" w14:textId="739B7394" w:rsidTr="004F4D6F">
        <w:trPr>
          <w:trHeight w:val="290"/>
        </w:trPr>
        <w:tc>
          <w:tcPr>
            <w:tcW w:w="1413" w:type="dxa"/>
            <w:shd w:val="clear" w:color="auto" w:fill="auto"/>
            <w:noWrap/>
            <w:vAlign w:val="bottom"/>
            <w:hideMark/>
          </w:tcPr>
          <w:p w14:paraId="210F9D52" w14:textId="77777777"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lastRenderedPageBreak/>
              <w:t>Apr</w:t>
            </w:r>
            <w:r>
              <w:rPr>
                <w:rFonts w:ascii="Tahoma" w:eastAsia="Times New Roman" w:hAnsi="Tahoma" w:cs="Tahoma"/>
                <w:color w:val="000000"/>
                <w:lang w:eastAsia="en-GB"/>
              </w:rPr>
              <w:t>il 2022</w:t>
            </w:r>
          </w:p>
        </w:tc>
        <w:tc>
          <w:tcPr>
            <w:tcW w:w="850" w:type="dxa"/>
            <w:shd w:val="clear" w:color="auto" w:fill="auto"/>
            <w:noWrap/>
            <w:vAlign w:val="bottom"/>
            <w:hideMark/>
          </w:tcPr>
          <w:p w14:paraId="6F130CEE" w14:textId="77777777"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109</w:t>
            </w:r>
          </w:p>
        </w:tc>
        <w:tc>
          <w:tcPr>
            <w:tcW w:w="2410" w:type="dxa"/>
            <w:tcBorders>
              <w:top w:val="nil"/>
              <w:left w:val="nil"/>
              <w:bottom w:val="single" w:sz="4" w:space="0" w:color="auto"/>
              <w:right w:val="single" w:sz="4" w:space="0" w:color="auto"/>
            </w:tcBorders>
            <w:shd w:val="clear" w:color="auto" w:fill="auto"/>
            <w:vAlign w:val="bottom"/>
          </w:tcPr>
          <w:p w14:paraId="1168D27E" w14:textId="465FEA9F"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8</w:t>
            </w:r>
            <w:r>
              <w:rPr>
                <w:rFonts w:ascii="Tahoma" w:eastAsia="Times New Roman" w:hAnsi="Tahoma" w:cs="Tahoma"/>
                <w:color w:val="000000"/>
                <w:lang w:eastAsia="en-GB"/>
              </w:rPr>
              <w:t>,</w:t>
            </w:r>
            <w:r w:rsidRPr="00C74036">
              <w:rPr>
                <w:rFonts w:ascii="Tahoma" w:eastAsia="Times New Roman" w:hAnsi="Tahoma" w:cs="Tahoma"/>
                <w:color w:val="000000"/>
                <w:lang w:eastAsia="en-GB"/>
              </w:rPr>
              <w:t>627</w:t>
            </w:r>
          </w:p>
        </w:tc>
        <w:tc>
          <w:tcPr>
            <w:tcW w:w="851" w:type="dxa"/>
            <w:tcBorders>
              <w:left w:val="single" w:sz="36" w:space="0" w:color="auto"/>
            </w:tcBorders>
            <w:shd w:val="clear" w:color="auto" w:fill="auto"/>
            <w:noWrap/>
            <w:vAlign w:val="bottom"/>
            <w:hideMark/>
          </w:tcPr>
          <w:p w14:paraId="48E404DD" w14:textId="3010D930"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55</w:t>
            </w:r>
          </w:p>
        </w:tc>
        <w:tc>
          <w:tcPr>
            <w:tcW w:w="2423" w:type="dxa"/>
            <w:tcBorders>
              <w:top w:val="nil"/>
              <w:left w:val="nil"/>
              <w:bottom w:val="single" w:sz="4" w:space="0" w:color="auto"/>
              <w:right w:val="single" w:sz="4" w:space="0" w:color="auto"/>
            </w:tcBorders>
            <w:shd w:val="clear" w:color="auto" w:fill="auto"/>
            <w:vAlign w:val="bottom"/>
          </w:tcPr>
          <w:p w14:paraId="2DADDBA5" w14:textId="6BE361F8"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3</w:t>
            </w:r>
            <w:r>
              <w:rPr>
                <w:rFonts w:ascii="Tahoma" w:eastAsia="Times New Roman" w:hAnsi="Tahoma" w:cs="Tahoma"/>
                <w:color w:val="000000"/>
                <w:lang w:eastAsia="en-GB"/>
              </w:rPr>
              <w:t>,</w:t>
            </w:r>
            <w:r w:rsidRPr="00C74036">
              <w:rPr>
                <w:rFonts w:ascii="Tahoma" w:eastAsia="Times New Roman" w:hAnsi="Tahoma" w:cs="Tahoma"/>
                <w:color w:val="000000"/>
                <w:lang w:eastAsia="en-GB"/>
              </w:rPr>
              <w:t>030</w:t>
            </w:r>
          </w:p>
        </w:tc>
      </w:tr>
      <w:tr w:rsidR="00490B25" w:rsidRPr="00C74036" w14:paraId="187E5DF0" w14:textId="01D00B8F" w:rsidTr="004F4D6F">
        <w:trPr>
          <w:trHeight w:val="290"/>
        </w:trPr>
        <w:tc>
          <w:tcPr>
            <w:tcW w:w="1413" w:type="dxa"/>
            <w:shd w:val="clear" w:color="auto" w:fill="auto"/>
            <w:noWrap/>
            <w:vAlign w:val="bottom"/>
            <w:hideMark/>
          </w:tcPr>
          <w:p w14:paraId="5E083CD8" w14:textId="77777777"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Apr</w:t>
            </w:r>
            <w:r>
              <w:rPr>
                <w:rFonts w:ascii="Tahoma" w:eastAsia="Times New Roman" w:hAnsi="Tahoma" w:cs="Tahoma"/>
                <w:color w:val="000000"/>
                <w:lang w:eastAsia="en-GB"/>
              </w:rPr>
              <w:t>il 2023</w:t>
            </w:r>
          </w:p>
        </w:tc>
        <w:tc>
          <w:tcPr>
            <w:tcW w:w="850" w:type="dxa"/>
            <w:shd w:val="clear" w:color="auto" w:fill="auto"/>
            <w:noWrap/>
            <w:vAlign w:val="bottom"/>
            <w:hideMark/>
          </w:tcPr>
          <w:p w14:paraId="7D131217" w14:textId="77777777"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77</w:t>
            </w:r>
          </w:p>
        </w:tc>
        <w:tc>
          <w:tcPr>
            <w:tcW w:w="2410" w:type="dxa"/>
            <w:tcBorders>
              <w:top w:val="nil"/>
              <w:left w:val="nil"/>
              <w:bottom w:val="single" w:sz="4" w:space="0" w:color="auto"/>
              <w:right w:val="single" w:sz="4" w:space="0" w:color="auto"/>
            </w:tcBorders>
            <w:shd w:val="clear" w:color="auto" w:fill="auto"/>
            <w:vAlign w:val="bottom"/>
          </w:tcPr>
          <w:p w14:paraId="641DF3BC" w14:textId="68B8BBA9"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8</w:t>
            </w:r>
            <w:r>
              <w:rPr>
                <w:rFonts w:ascii="Tahoma" w:eastAsia="Times New Roman" w:hAnsi="Tahoma" w:cs="Tahoma"/>
                <w:color w:val="000000"/>
                <w:lang w:eastAsia="en-GB"/>
              </w:rPr>
              <w:t>,</w:t>
            </w:r>
            <w:r w:rsidRPr="00C74036">
              <w:rPr>
                <w:rFonts w:ascii="Tahoma" w:eastAsia="Times New Roman" w:hAnsi="Tahoma" w:cs="Tahoma"/>
                <w:color w:val="000000"/>
                <w:lang w:eastAsia="en-GB"/>
              </w:rPr>
              <w:t>841</w:t>
            </w:r>
          </w:p>
        </w:tc>
        <w:tc>
          <w:tcPr>
            <w:tcW w:w="851" w:type="dxa"/>
            <w:tcBorders>
              <w:left w:val="single" w:sz="36" w:space="0" w:color="auto"/>
            </w:tcBorders>
            <w:shd w:val="clear" w:color="auto" w:fill="auto"/>
            <w:noWrap/>
            <w:vAlign w:val="bottom"/>
            <w:hideMark/>
          </w:tcPr>
          <w:p w14:paraId="5FAA0493" w14:textId="7D5FED42"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75</w:t>
            </w:r>
          </w:p>
        </w:tc>
        <w:tc>
          <w:tcPr>
            <w:tcW w:w="2423" w:type="dxa"/>
            <w:tcBorders>
              <w:top w:val="nil"/>
              <w:left w:val="nil"/>
              <w:bottom w:val="single" w:sz="4" w:space="0" w:color="auto"/>
              <w:right w:val="single" w:sz="4" w:space="0" w:color="auto"/>
            </w:tcBorders>
            <w:shd w:val="clear" w:color="auto" w:fill="auto"/>
            <w:vAlign w:val="bottom"/>
          </w:tcPr>
          <w:p w14:paraId="25580C6C" w14:textId="0D3248A7"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4</w:t>
            </w:r>
            <w:r>
              <w:rPr>
                <w:rFonts w:ascii="Tahoma" w:eastAsia="Times New Roman" w:hAnsi="Tahoma" w:cs="Tahoma"/>
                <w:color w:val="000000"/>
                <w:lang w:eastAsia="en-GB"/>
              </w:rPr>
              <w:t>,</w:t>
            </w:r>
            <w:r w:rsidRPr="00C74036">
              <w:rPr>
                <w:rFonts w:ascii="Tahoma" w:eastAsia="Times New Roman" w:hAnsi="Tahoma" w:cs="Tahoma"/>
                <w:color w:val="000000"/>
                <w:lang w:eastAsia="en-GB"/>
              </w:rPr>
              <w:t>027</w:t>
            </w:r>
          </w:p>
        </w:tc>
      </w:tr>
      <w:tr w:rsidR="00490B25" w:rsidRPr="00C74036" w14:paraId="0B656F1F" w14:textId="3DE149CD" w:rsidTr="004F4D6F">
        <w:trPr>
          <w:trHeight w:val="290"/>
        </w:trPr>
        <w:tc>
          <w:tcPr>
            <w:tcW w:w="1413" w:type="dxa"/>
            <w:shd w:val="clear" w:color="auto" w:fill="auto"/>
            <w:noWrap/>
            <w:vAlign w:val="bottom"/>
            <w:hideMark/>
          </w:tcPr>
          <w:p w14:paraId="42E66E32" w14:textId="77777777"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Apr</w:t>
            </w:r>
            <w:r>
              <w:rPr>
                <w:rFonts w:ascii="Tahoma" w:eastAsia="Times New Roman" w:hAnsi="Tahoma" w:cs="Tahoma"/>
                <w:color w:val="000000"/>
                <w:lang w:eastAsia="en-GB"/>
              </w:rPr>
              <w:t>il 2024</w:t>
            </w:r>
          </w:p>
        </w:tc>
        <w:tc>
          <w:tcPr>
            <w:tcW w:w="850" w:type="dxa"/>
            <w:shd w:val="clear" w:color="auto" w:fill="auto"/>
            <w:noWrap/>
            <w:vAlign w:val="bottom"/>
            <w:hideMark/>
          </w:tcPr>
          <w:p w14:paraId="1D1E3BDF" w14:textId="77777777"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77</w:t>
            </w:r>
          </w:p>
        </w:tc>
        <w:tc>
          <w:tcPr>
            <w:tcW w:w="2410" w:type="dxa"/>
            <w:tcBorders>
              <w:top w:val="nil"/>
              <w:left w:val="nil"/>
              <w:bottom w:val="single" w:sz="4" w:space="0" w:color="auto"/>
              <w:right w:val="single" w:sz="4" w:space="0" w:color="auto"/>
            </w:tcBorders>
            <w:shd w:val="clear" w:color="auto" w:fill="auto"/>
            <w:vAlign w:val="bottom"/>
          </w:tcPr>
          <w:p w14:paraId="19F80DA4" w14:textId="120443CC"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9</w:t>
            </w:r>
            <w:r>
              <w:rPr>
                <w:rFonts w:ascii="Tahoma" w:eastAsia="Times New Roman" w:hAnsi="Tahoma" w:cs="Tahoma"/>
                <w:color w:val="000000"/>
                <w:lang w:eastAsia="en-GB"/>
              </w:rPr>
              <w:t>,</w:t>
            </w:r>
            <w:r w:rsidRPr="00C74036">
              <w:rPr>
                <w:rFonts w:ascii="Tahoma" w:eastAsia="Times New Roman" w:hAnsi="Tahoma" w:cs="Tahoma"/>
                <w:color w:val="000000"/>
                <w:lang w:eastAsia="en-GB"/>
              </w:rPr>
              <w:t>410</w:t>
            </w:r>
          </w:p>
        </w:tc>
        <w:tc>
          <w:tcPr>
            <w:tcW w:w="851" w:type="dxa"/>
            <w:tcBorders>
              <w:left w:val="single" w:sz="36" w:space="0" w:color="auto"/>
            </w:tcBorders>
            <w:shd w:val="clear" w:color="auto" w:fill="auto"/>
            <w:noWrap/>
            <w:vAlign w:val="bottom"/>
            <w:hideMark/>
          </w:tcPr>
          <w:p w14:paraId="2BEBAD55" w14:textId="6C1C6FC0"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56</w:t>
            </w:r>
          </w:p>
        </w:tc>
        <w:tc>
          <w:tcPr>
            <w:tcW w:w="2423" w:type="dxa"/>
            <w:tcBorders>
              <w:top w:val="nil"/>
              <w:left w:val="nil"/>
              <w:bottom w:val="single" w:sz="4" w:space="0" w:color="auto"/>
              <w:right w:val="single" w:sz="4" w:space="0" w:color="auto"/>
            </w:tcBorders>
            <w:shd w:val="clear" w:color="auto" w:fill="auto"/>
            <w:vAlign w:val="bottom"/>
          </w:tcPr>
          <w:p w14:paraId="06D921A8" w14:textId="5D19F553"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3</w:t>
            </w:r>
            <w:r>
              <w:rPr>
                <w:rFonts w:ascii="Tahoma" w:eastAsia="Times New Roman" w:hAnsi="Tahoma" w:cs="Tahoma"/>
                <w:color w:val="000000"/>
                <w:lang w:eastAsia="en-GB"/>
              </w:rPr>
              <w:t>,</w:t>
            </w:r>
            <w:r w:rsidRPr="00C74036">
              <w:rPr>
                <w:rFonts w:ascii="Tahoma" w:eastAsia="Times New Roman" w:hAnsi="Tahoma" w:cs="Tahoma"/>
                <w:color w:val="000000"/>
                <w:lang w:eastAsia="en-GB"/>
              </w:rPr>
              <w:t>806</w:t>
            </w:r>
          </w:p>
        </w:tc>
      </w:tr>
      <w:tr w:rsidR="00490B25" w:rsidRPr="00C74036" w14:paraId="1C10D0F8" w14:textId="52ECD7E3" w:rsidTr="004F4D6F">
        <w:trPr>
          <w:trHeight w:val="290"/>
        </w:trPr>
        <w:tc>
          <w:tcPr>
            <w:tcW w:w="1413" w:type="dxa"/>
            <w:shd w:val="clear" w:color="auto" w:fill="auto"/>
            <w:noWrap/>
            <w:vAlign w:val="bottom"/>
            <w:hideMark/>
          </w:tcPr>
          <w:p w14:paraId="4D64B88D" w14:textId="77777777"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Mar</w:t>
            </w:r>
            <w:r>
              <w:rPr>
                <w:rFonts w:ascii="Tahoma" w:eastAsia="Times New Roman" w:hAnsi="Tahoma" w:cs="Tahoma"/>
                <w:color w:val="000000"/>
                <w:lang w:eastAsia="en-GB"/>
              </w:rPr>
              <w:t>ch 2025</w:t>
            </w:r>
          </w:p>
        </w:tc>
        <w:tc>
          <w:tcPr>
            <w:tcW w:w="850" w:type="dxa"/>
            <w:shd w:val="clear" w:color="auto" w:fill="auto"/>
            <w:noWrap/>
            <w:vAlign w:val="bottom"/>
            <w:hideMark/>
          </w:tcPr>
          <w:p w14:paraId="2C08CD38" w14:textId="77777777"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94</w:t>
            </w:r>
          </w:p>
        </w:tc>
        <w:tc>
          <w:tcPr>
            <w:tcW w:w="2410" w:type="dxa"/>
            <w:tcBorders>
              <w:top w:val="nil"/>
              <w:left w:val="nil"/>
              <w:bottom w:val="single" w:sz="4" w:space="0" w:color="auto"/>
              <w:right w:val="single" w:sz="4" w:space="0" w:color="auto"/>
            </w:tcBorders>
            <w:shd w:val="clear" w:color="auto" w:fill="auto"/>
            <w:vAlign w:val="bottom"/>
          </w:tcPr>
          <w:p w14:paraId="3A8FD2F6" w14:textId="48A9B72F"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2</w:t>
            </w:r>
            <w:r>
              <w:rPr>
                <w:rFonts w:ascii="Tahoma" w:eastAsia="Times New Roman" w:hAnsi="Tahoma" w:cs="Tahoma"/>
                <w:color w:val="000000"/>
                <w:lang w:eastAsia="en-GB"/>
              </w:rPr>
              <w:t>,</w:t>
            </w:r>
            <w:r w:rsidRPr="00C74036">
              <w:rPr>
                <w:rFonts w:ascii="Tahoma" w:eastAsia="Times New Roman" w:hAnsi="Tahoma" w:cs="Tahoma"/>
                <w:color w:val="000000"/>
                <w:lang w:eastAsia="en-GB"/>
              </w:rPr>
              <w:t>618</w:t>
            </w:r>
          </w:p>
        </w:tc>
        <w:tc>
          <w:tcPr>
            <w:tcW w:w="851" w:type="dxa"/>
            <w:tcBorders>
              <w:left w:val="single" w:sz="36" w:space="0" w:color="auto"/>
            </w:tcBorders>
            <w:shd w:val="clear" w:color="auto" w:fill="auto"/>
            <w:noWrap/>
            <w:vAlign w:val="bottom"/>
            <w:hideMark/>
          </w:tcPr>
          <w:p w14:paraId="68B5A892" w14:textId="5C300DD7"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62</w:t>
            </w:r>
          </w:p>
        </w:tc>
        <w:tc>
          <w:tcPr>
            <w:tcW w:w="2423" w:type="dxa"/>
            <w:tcBorders>
              <w:top w:val="nil"/>
              <w:left w:val="nil"/>
              <w:bottom w:val="single" w:sz="4" w:space="0" w:color="auto"/>
              <w:right w:val="single" w:sz="4" w:space="0" w:color="auto"/>
            </w:tcBorders>
            <w:shd w:val="clear" w:color="auto" w:fill="auto"/>
            <w:vAlign w:val="bottom"/>
          </w:tcPr>
          <w:p w14:paraId="6322FF99" w14:textId="47E55601" w:rsidR="00490B25" w:rsidRPr="00C74036" w:rsidRDefault="00490B25" w:rsidP="00490B25">
            <w:pPr>
              <w:spacing w:after="0" w:line="240" w:lineRule="auto"/>
              <w:rPr>
                <w:rFonts w:ascii="Tahoma" w:eastAsia="Times New Roman" w:hAnsi="Tahoma" w:cs="Tahoma"/>
                <w:color w:val="000000"/>
                <w:lang w:eastAsia="en-GB"/>
              </w:rPr>
            </w:pPr>
            <w:r w:rsidRPr="00C74036">
              <w:rPr>
                <w:rFonts w:ascii="Tahoma" w:eastAsia="Times New Roman" w:hAnsi="Tahoma" w:cs="Tahoma"/>
                <w:color w:val="000000"/>
                <w:lang w:eastAsia="en-GB"/>
              </w:rPr>
              <w:t>1</w:t>
            </w:r>
            <w:r>
              <w:rPr>
                <w:rFonts w:ascii="Tahoma" w:eastAsia="Times New Roman" w:hAnsi="Tahoma" w:cs="Tahoma"/>
                <w:color w:val="000000"/>
                <w:lang w:eastAsia="en-GB"/>
              </w:rPr>
              <w:t>,</w:t>
            </w:r>
            <w:r w:rsidRPr="00C74036">
              <w:rPr>
                <w:rFonts w:ascii="Tahoma" w:eastAsia="Times New Roman" w:hAnsi="Tahoma" w:cs="Tahoma"/>
                <w:color w:val="000000"/>
                <w:lang w:eastAsia="en-GB"/>
              </w:rPr>
              <w:t>126</w:t>
            </w:r>
          </w:p>
        </w:tc>
      </w:tr>
    </w:tbl>
    <w:p w14:paraId="4C2D6B19" w14:textId="77777777" w:rsidR="00055471" w:rsidRPr="00C74036" w:rsidRDefault="00055471" w:rsidP="00055471">
      <w:pPr>
        <w:spacing w:after="0" w:line="240" w:lineRule="auto"/>
        <w:rPr>
          <w:rFonts w:ascii="Tahoma" w:hAnsi="Tahoma" w:cs="Tahoma"/>
          <w:b/>
          <w:bCs/>
        </w:rPr>
      </w:pPr>
    </w:p>
    <w:p w14:paraId="123EB81E" w14:textId="5A779AC8" w:rsidR="00055471" w:rsidRDefault="00055471" w:rsidP="008509FD">
      <w:pPr>
        <w:spacing w:after="0" w:line="240" w:lineRule="auto"/>
        <w:rPr>
          <w:rFonts w:ascii="Tahoma" w:hAnsi="Tahoma" w:cs="Tahoma"/>
        </w:rPr>
      </w:pPr>
      <w:r w:rsidRPr="00C74036">
        <w:rPr>
          <w:rFonts w:ascii="Tahoma" w:hAnsi="Tahoma" w:cs="Tahoma"/>
        </w:rPr>
        <w:t xml:space="preserve">There was a clear </w:t>
      </w:r>
      <w:r>
        <w:rPr>
          <w:rFonts w:ascii="Tahoma" w:hAnsi="Tahoma" w:cs="Tahoma"/>
        </w:rPr>
        <w:t>reduction</w:t>
      </w:r>
      <w:r w:rsidRPr="00C74036">
        <w:rPr>
          <w:rFonts w:ascii="Tahoma" w:hAnsi="Tahoma" w:cs="Tahoma"/>
        </w:rPr>
        <w:t xml:space="preserve"> in </w:t>
      </w:r>
      <w:r>
        <w:rPr>
          <w:rFonts w:ascii="Tahoma" w:hAnsi="Tahoma" w:cs="Tahoma"/>
        </w:rPr>
        <w:t xml:space="preserve">the </w:t>
      </w:r>
      <w:r w:rsidRPr="00C74036">
        <w:rPr>
          <w:rFonts w:ascii="Tahoma" w:hAnsi="Tahoma" w:cs="Tahoma"/>
        </w:rPr>
        <w:t xml:space="preserve">number of PSVs during the </w:t>
      </w:r>
      <w:r w:rsidR="008509FD">
        <w:rPr>
          <w:rFonts w:ascii="Tahoma" w:hAnsi="Tahoma" w:cs="Tahoma"/>
        </w:rPr>
        <w:t>C</w:t>
      </w:r>
      <w:r w:rsidRPr="00C74036">
        <w:rPr>
          <w:rFonts w:ascii="Tahoma" w:hAnsi="Tahoma" w:cs="Tahoma"/>
        </w:rPr>
        <w:t>ovid</w:t>
      </w:r>
      <w:r w:rsidR="008509FD">
        <w:rPr>
          <w:rFonts w:ascii="Tahoma" w:hAnsi="Tahoma" w:cs="Tahoma"/>
        </w:rPr>
        <w:t>-19</w:t>
      </w:r>
      <w:r w:rsidRPr="00C74036">
        <w:rPr>
          <w:rFonts w:ascii="Tahoma" w:hAnsi="Tahoma" w:cs="Tahoma"/>
        </w:rPr>
        <w:t xml:space="preserve"> period with opportunities to volunteer </w:t>
      </w:r>
      <w:r w:rsidR="008509FD">
        <w:rPr>
          <w:rFonts w:ascii="Tahoma" w:hAnsi="Tahoma" w:cs="Tahoma"/>
        </w:rPr>
        <w:t xml:space="preserve">being greatly </w:t>
      </w:r>
      <w:r w:rsidRPr="00C74036">
        <w:rPr>
          <w:rFonts w:ascii="Tahoma" w:hAnsi="Tahoma" w:cs="Tahoma"/>
        </w:rPr>
        <w:t>limited. However, a renewed focus on recruitment has led to a</w:t>
      </w:r>
      <w:r w:rsidR="008509FD">
        <w:rPr>
          <w:rFonts w:ascii="Tahoma" w:hAnsi="Tahoma" w:cs="Tahoma"/>
        </w:rPr>
        <w:t xml:space="preserve">n </w:t>
      </w:r>
      <w:r w:rsidRPr="00C74036">
        <w:rPr>
          <w:rFonts w:ascii="Tahoma" w:hAnsi="Tahoma" w:cs="Tahoma"/>
        </w:rPr>
        <w:t>increase in numbers</w:t>
      </w:r>
      <w:r w:rsidR="008509FD">
        <w:rPr>
          <w:rFonts w:ascii="Tahoma" w:hAnsi="Tahoma" w:cs="Tahoma"/>
        </w:rPr>
        <w:t>; this has included activities such as b</w:t>
      </w:r>
      <w:r w:rsidRPr="000E3CC6">
        <w:rPr>
          <w:rFonts w:ascii="Tahoma" w:hAnsi="Tahoma" w:cs="Tahoma"/>
        </w:rPr>
        <w:t>espoke Recruitment Discovery Event</w:t>
      </w:r>
      <w:r w:rsidR="008509FD">
        <w:rPr>
          <w:rFonts w:ascii="Tahoma" w:hAnsi="Tahoma" w:cs="Tahoma"/>
        </w:rPr>
        <w:t>s</w:t>
      </w:r>
      <w:r w:rsidRPr="000E3CC6">
        <w:rPr>
          <w:rFonts w:ascii="Tahoma" w:hAnsi="Tahoma" w:cs="Tahoma"/>
        </w:rPr>
        <w:t xml:space="preserve"> held at </w:t>
      </w:r>
      <w:r w:rsidR="008509FD">
        <w:rPr>
          <w:rFonts w:ascii="Tahoma" w:hAnsi="Tahoma" w:cs="Tahoma"/>
        </w:rPr>
        <w:t xml:space="preserve">the </w:t>
      </w:r>
      <w:r w:rsidRPr="000E3CC6">
        <w:rPr>
          <w:rFonts w:ascii="Tahoma" w:hAnsi="Tahoma" w:cs="Tahoma"/>
        </w:rPr>
        <w:t>Kent Police College for members of the public and internal colleagues to discover the opportunities available</w:t>
      </w:r>
      <w:r w:rsidR="00490B25">
        <w:rPr>
          <w:rFonts w:ascii="Tahoma" w:hAnsi="Tahoma" w:cs="Tahoma"/>
        </w:rPr>
        <w:t xml:space="preserve">.  </w:t>
      </w:r>
      <w:r w:rsidRPr="000E3CC6">
        <w:rPr>
          <w:rFonts w:ascii="Tahoma" w:hAnsi="Tahoma" w:cs="Tahoma"/>
        </w:rPr>
        <w:t xml:space="preserve">At the first event </w:t>
      </w:r>
      <w:r w:rsidR="00490B25">
        <w:rPr>
          <w:rFonts w:ascii="Tahoma" w:hAnsi="Tahoma" w:cs="Tahoma"/>
        </w:rPr>
        <w:t xml:space="preserve">held </w:t>
      </w:r>
      <w:r w:rsidRPr="000E3CC6">
        <w:rPr>
          <w:rFonts w:ascii="Tahoma" w:hAnsi="Tahoma" w:cs="Tahoma"/>
        </w:rPr>
        <w:t>in January 2025, there were almost 70 people in attendance, of which 95% signed up to receive further contact about one of the volunteering streams.</w:t>
      </w:r>
    </w:p>
    <w:p w14:paraId="3F516163" w14:textId="7E9FD062" w:rsidR="00B04509" w:rsidRPr="00725EDF" w:rsidRDefault="00B04509" w:rsidP="00B04509">
      <w:pPr>
        <w:shd w:val="clear" w:color="auto" w:fill="FFFF00"/>
        <w:spacing w:after="0" w:line="240" w:lineRule="auto"/>
        <w:rPr>
          <w:rFonts w:ascii="Tahoma" w:hAnsi="Tahoma" w:cs="Tahoma"/>
          <w:b/>
          <w:bCs/>
          <w:color w:val="000000" w:themeColor="text1"/>
        </w:rPr>
      </w:pPr>
      <w:r w:rsidRPr="00725EDF">
        <w:rPr>
          <w:rFonts w:ascii="Tahoma" w:hAnsi="Tahoma" w:cs="Tahoma"/>
          <w:b/>
          <w:bCs/>
          <w:color w:val="000000" w:themeColor="text1"/>
        </w:rPr>
        <w:t xml:space="preserve">Priority: </w:t>
      </w:r>
      <w:r>
        <w:rPr>
          <w:rFonts w:ascii="Tahoma" w:hAnsi="Tahoma" w:cs="Tahoma"/>
          <w:b/>
          <w:bCs/>
          <w:color w:val="000000" w:themeColor="text1"/>
        </w:rPr>
        <w:t>Prevent Road Danger and Support Vision Zero</w:t>
      </w:r>
    </w:p>
    <w:p w14:paraId="52E1C228" w14:textId="77777777" w:rsidR="00B04509" w:rsidRDefault="00B04509" w:rsidP="00725EDF">
      <w:pPr>
        <w:pStyle w:val="ListParagraph"/>
        <w:spacing w:after="0" w:line="240" w:lineRule="auto"/>
        <w:ind w:left="0"/>
        <w:rPr>
          <w:rFonts w:ascii="Tahoma" w:hAnsi="Tahoma" w:cs="Tahoma"/>
          <w:b/>
          <w:bCs/>
          <w:color w:val="000000" w:themeColor="text1"/>
          <w:u w:val="single"/>
        </w:rPr>
      </w:pPr>
    </w:p>
    <w:p w14:paraId="0302DBE3" w14:textId="77777777" w:rsidR="006A59B1" w:rsidRDefault="006A59B1" w:rsidP="00B51B1D">
      <w:pPr>
        <w:spacing w:after="0" w:line="240" w:lineRule="auto"/>
        <w:rPr>
          <w:rFonts w:ascii="Tahoma" w:hAnsi="Tahoma" w:cs="Tahoma"/>
          <w:b/>
          <w:bCs/>
          <w:u w:val="single"/>
        </w:rPr>
      </w:pPr>
      <w:r w:rsidRPr="006A59B1">
        <w:rPr>
          <w:rFonts w:ascii="Tahoma" w:hAnsi="Tahoma" w:cs="Tahoma"/>
          <w:b/>
          <w:bCs/>
          <w:u w:val="single"/>
        </w:rPr>
        <w:t>Killed or Seriously Injured (KSI) Casualties</w:t>
      </w:r>
    </w:p>
    <w:p w14:paraId="7F3F8072" w14:textId="77777777" w:rsidR="00B51B1D" w:rsidRPr="006A59B1" w:rsidRDefault="00B51B1D" w:rsidP="00B51B1D">
      <w:pPr>
        <w:spacing w:after="0" w:line="240" w:lineRule="auto"/>
        <w:rPr>
          <w:rFonts w:ascii="Tahoma" w:hAnsi="Tahoma" w:cs="Tahoma"/>
          <w:b/>
          <w:bCs/>
          <w:u w:val="single"/>
        </w:rPr>
      </w:pPr>
    </w:p>
    <w:p w14:paraId="1FBA3689" w14:textId="01F2C969" w:rsidR="006A59B1" w:rsidRDefault="006A59B1" w:rsidP="00B51B1D">
      <w:pPr>
        <w:spacing w:after="0" w:line="240" w:lineRule="auto"/>
        <w:rPr>
          <w:rFonts w:ascii="Tahoma" w:hAnsi="Tahoma" w:cs="Tahoma"/>
        </w:rPr>
      </w:pPr>
      <w:r w:rsidRPr="001E0703">
        <w:rPr>
          <w:rFonts w:ascii="Tahoma" w:hAnsi="Tahoma" w:cs="Tahoma"/>
        </w:rPr>
        <w:t xml:space="preserve">The following </w:t>
      </w:r>
      <w:r>
        <w:rPr>
          <w:rFonts w:ascii="Tahoma" w:hAnsi="Tahoma" w:cs="Tahoma"/>
        </w:rPr>
        <w:t>figures are</w:t>
      </w:r>
      <w:r w:rsidRPr="001E0703">
        <w:rPr>
          <w:rFonts w:ascii="Tahoma" w:hAnsi="Tahoma" w:cs="Tahoma"/>
        </w:rPr>
        <w:t xml:space="preserve"> based on </w:t>
      </w:r>
      <w:r>
        <w:rPr>
          <w:rFonts w:ascii="Tahoma" w:hAnsi="Tahoma" w:cs="Tahoma"/>
        </w:rPr>
        <w:t>c</w:t>
      </w:r>
      <w:r w:rsidRPr="001E0703">
        <w:rPr>
          <w:rFonts w:ascii="Tahoma" w:hAnsi="Tahoma" w:cs="Tahoma"/>
        </w:rPr>
        <w:t>alendar year</w:t>
      </w:r>
      <w:r>
        <w:rPr>
          <w:rFonts w:ascii="Tahoma" w:hAnsi="Tahoma" w:cs="Tahoma"/>
        </w:rPr>
        <w:t xml:space="preserve">, </w:t>
      </w:r>
      <w:r w:rsidRPr="001E0703">
        <w:rPr>
          <w:rFonts w:ascii="Tahoma" w:hAnsi="Tahoma" w:cs="Tahoma"/>
        </w:rPr>
        <w:t>January to December</w:t>
      </w:r>
      <w:r>
        <w:rPr>
          <w:rFonts w:ascii="Tahoma" w:hAnsi="Tahoma" w:cs="Tahoma"/>
        </w:rPr>
        <w:t xml:space="preserve"> 2021</w:t>
      </w:r>
      <w:r w:rsidR="00484C0E">
        <w:rPr>
          <w:rFonts w:ascii="Tahoma" w:hAnsi="Tahoma" w:cs="Tahoma"/>
        </w:rPr>
        <w:t xml:space="preserve">, </w:t>
      </w:r>
      <w:r>
        <w:rPr>
          <w:rFonts w:ascii="Tahoma" w:hAnsi="Tahoma" w:cs="Tahoma"/>
        </w:rPr>
        <w:t>to 2024</w:t>
      </w:r>
      <w:r w:rsidR="00F51D36">
        <w:rPr>
          <w:rFonts w:ascii="Tahoma" w:hAnsi="Tahoma" w:cs="Tahoma"/>
        </w:rPr>
        <w:t>:</w:t>
      </w:r>
    </w:p>
    <w:p w14:paraId="6B3C9AD2" w14:textId="77777777" w:rsidR="00484C0E" w:rsidRDefault="00484C0E" w:rsidP="00B51B1D">
      <w:pPr>
        <w:spacing w:after="0" w:line="240" w:lineRule="auto"/>
        <w:rPr>
          <w:rFonts w:ascii="Tahoma" w:hAnsi="Tahoma" w:cs="Tahoma"/>
        </w:rPr>
      </w:pPr>
    </w:p>
    <w:tbl>
      <w:tblPr>
        <w:tblW w:w="9082" w:type="dxa"/>
        <w:tblLook w:val="04A0" w:firstRow="1" w:lastRow="0" w:firstColumn="1" w:lastColumn="0" w:noHBand="0" w:noVBand="1"/>
      </w:tblPr>
      <w:tblGrid>
        <w:gridCol w:w="3733"/>
        <w:gridCol w:w="1337"/>
        <w:gridCol w:w="1337"/>
        <w:gridCol w:w="1337"/>
        <w:gridCol w:w="1338"/>
      </w:tblGrid>
      <w:tr w:rsidR="00B51B1D" w:rsidRPr="001E0703" w14:paraId="6B61AC76" w14:textId="77777777" w:rsidTr="1D7D8BE7">
        <w:trPr>
          <w:trHeight w:val="267"/>
        </w:trPr>
        <w:tc>
          <w:tcPr>
            <w:tcW w:w="3733" w:type="dxa"/>
            <w:tcBorders>
              <w:top w:val="nil"/>
              <w:left w:val="nil"/>
              <w:bottom w:val="nil"/>
              <w:right w:val="nil"/>
            </w:tcBorders>
            <w:shd w:val="clear" w:color="auto" w:fill="auto"/>
            <w:noWrap/>
            <w:vAlign w:val="bottom"/>
            <w:hideMark/>
          </w:tcPr>
          <w:p w14:paraId="630D83F9" w14:textId="77777777" w:rsidR="00B51B1D" w:rsidRPr="001E0703" w:rsidRDefault="00B51B1D" w:rsidP="004F4D6F">
            <w:pPr>
              <w:spacing w:after="0" w:line="240" w:lineRule="auto"/>
              <w:rPr>
                <w:rFonts w:ascii="Tahoma" w:eastAsia="Times New Roman" w:hAnsi="Tahoma" w:cs="Tahoma"/>
                <w:lang w:eastAsia="en-GB"/>
              </w:rPr>
            </w:pPr>
          </w:p>
        </w:tc>
        <w:tc>
          <w:tcPr>
            <w:tcW w:w="5349" w:type="dxa"/>
            <w:gridSpan w:val="4"/>
            <w:tcBorders>
              <w:top w:val="single" w:sz="4" w:space="0" w:color="auto"/>
              <w:left w:val="single" w:sz="4" w:space="0" w:color="auto"/>
              <w:bottom w:val="single" w:sz="4" w:space="0" w:color="auto"/>
              <w:right w:val="single" w:sz="4" w:space="0" w:color="000000" w:themeColor="text1"/>
            </w:tcBorders>
            <w:shd w:val="clear" w:color="auto" w:fill="D9E1F2"/>
            <w:vAlign w:val="center"/>
            <w:hideMark/>
          </w:tcPr>
          <w:p w14:paraId="188CC4AC"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Calendar Year</w:t>
            </w:r>
          </w:p>
        </w:tc>
      </w:tr>
      <w:tr w:rsidR="00B51B1D" w:rsidRPr="001E0703" w14:paraId="5E2590EB" w14:textId="77777777" w:rsidTr="1D7D8BE7">
        <w:trPr>
          <w:trHeight w:val="267"/>
        </w:trPr>
        <w:tc>
          <w:tcPr>
            <w:tcW w:w="3733" w:type="dxa"/>
            <w:tcBorders>
              <w:top w:val="nil"/>
              <w:left w:val="nil"/>
              <w:bottom w:val="nil"/>
              <w:right w:val="nil"/>
            </w:tcBorders>
            <w:shd w:val="clear" w:color="auto" w:fill="auto"/>
            <w:noWrap/>
            <w:vAlign w:val="bottom"/>
            <w:hideMark/>
          </w:tcPr>
          <w:p w14:paraId="1D220AA1" w14:textId="77777777" w:rsidR="00B51B1D" w:rsidRPr="001E0703" w:rsidRDefault="00B51B1D" w:rsidP="004F4D6F">
            <w:pPr>
              <w:spacing w:after="0" w:line="240" w:lineRule="auto"/>
              <w:jc w:val="center"/>
              <w:rPr>
                <w:rFonts w:ascii="Tahoma" w:eastAsia="Times New Roman" w:hAnsi="Tahoma" w:cs="Tahoma"/>
                <w:color w:val="000000"/>
                <w:lang w:eastAsia="en-GB"/>
              </w:rPr>
            </w:pPr>
          </w:p>
        </w:tc>
        <w:tc>
          <w:tcPr>
            <w:tcW w:w="1337" w:type="dxa"/>
            <w:tcBorders>
              <w:top w:val="nil"/>
              <w:left w:val="single" w:sz="4" w:space="0" w:color="auto"/>
              <w:bottom w:val="single" w:sz="4" w:space="0" w:color="auto"/>
              <w:right w:val="single" w:sz="4" w:space="0" w:color="auto"/>
            </w:tcBorders>
            <w:shd w:val="clear" w:color="auto" w:fill="D9E1F2"/>
            <w:noWrap/>
            <w:vAlign w:val="bottom"/>
            <w:hideMark/>
          </w:tcPr>
          <w:p w14:paraId="3DFE7B5C"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2021</w:t>
            </w:r>
          </w:p>
        </w:tc>
        <w:tc>
          <w:tcPr>
            <w:tcW w:w="1337" w:type="dxa"/>
            <w:tcBorders>
              <w:top w:val="nil"/>
              <w:left w:val="nil"/>
              <w:bottom w:val="single" w:sz="4" w:space="0" w:color="auto"/>
              <w:right w:val="single" w:sz="4" w:space="0" w:color="auto"/>
            </w:tcBorders>
            <w:shd w:val="clear" w:color="auto" w:fill="D9E1F2"/>
            <w:noWrap/>
            <w:vAlign w:val="bottom"/>
            <w:hideMark/>
          </w:tcPr>
          <w:p w14:paraId="66CF4D17"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2022</w:t>
            </w:r>
          </w:p>
        </w:tc>
        <w:tc>
          <w:tcPr>
            <w:tcW w:w="1337" w:type="dxa"/>
            <w:tcBorders>
              <w:top w:val="nil"/>
              <w:left w:val="nil"/>
              <w:bottom w:val="single" w:sz="4" w:space="0" w:color="auto"/>
              <w:right w:val="single" w:sz="4" w:space="0" w:color="auto"/>
            </w:tcBorders>
            <w:shd w:val="clear" w:color="auto" w:fill="D9E1F2"/>
            <w:noWrap/>
            <w:vAlign w:val="bottom"/>
            <w:hideMark/>
          </w:tcPr>
          <w:p w14:paraId="39CD4EF0"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2023</w:t>
            </w:r>
          </w:p>
        </w:tc>
        <w:tc>
          <w:tcPr>
            <w:tcW w:w="1337" w:type="dxa"/>
            <w:tcBorders>
              <w:top w:val="nil"/>
              <w:left w:val="nil"/>
              <w:bottom w:val="single" w:sz="4" w:space="0" w:color="auto"/>
              <w:right w:val="single" w:sz="4" w:space="0" w:color="auto"/>
            </w:tcBorders>
            <w:shd w:val="clear" w:color="auto" w:fill="D9E1F2"/>
            <w:noWrap/>
            <w:vAlign w:val="bottom"/>
            <w:hideMark/>
          </w:tcPr>
          <w:p w14:paraId="145A1007"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2024</w:t>
            </w:r>
          </w:p>
        </w:tc>
      </w:tr>
      <w:tr w:rsidR="00B51B1D" w:rsidRPr="001E0703" w14:paraId="76142A96" w14:textId="77777777" w:rsidTr="1D7D8BE7">
        <w:trPr>
          <w:trHeight w:val="267"/>
        </w:trPr>
        <w:tc>
          <w:tcPr>
            <w:tcW w:w="3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5FEF" w14:textId="77777777" w:rsidR="00B51B1D" w:rsidRPr="001E0703" w:rsidRDefault="00B51B1D" w:rsidP="004F4D6F">
            <w:pPr>
              <w:spacing w:after="0" w:line="240" w:lineRule="auto"/>
              <w:rPr>
                <w:rFonts w:ascii="Tahoma" w:eastAsia="Times New Roman" w:hAnsi="Tahoma" w:cs="Tahoma"/>
                <w:b/>
                <w:bCs/>
                <w:color w:val="000000"/>
                <w:lang w:eastAsia="en-GB"/>
              </w:rPr>
            </w:pPr>
            <w:r w:rsidRPr="001E0703">
              <w:rPr>
                <w:rFonts w:ascii="Tahoma" w:eastAsia="Times New Roman" w:hAnsi="Tahoma" w:cs="Tahoma"/>
                <w:b/>
                <w:bCs/>
                <w:color w:val="000000"/>
                <w:lang w:eastAsia="en-GB"/>
              </w:rPr>
              <w:t>Total KSIs</w:t>
            </w:r>
          </w:p>
        </w:tc>
        <w:tc>
          <w:tcPr>
            <w:tcW w:w="1337" w:type="dxa"/>
            <w:tcBorders>
              <w:top w:val="nil"/>
              <w:left w:val="nil"/>
              <w:bottom w:val="single" w:sz="4" w:space="0" w:color="auto"/>
              <w:right w:val="single" w:sz="4" w:space="0" w:color="auto"/>
            </w:tcBorders>
            <w:shd w:val="clear" w:color="auto" w:fill="auto"/>
            <w:noWrap/>
            <w:vAlign w:val="bottom"/>
            <w:hideMark/>
          </w:tcPr>
          <w:p w14:paraId="34AE487D" w14:textId="77777777" w:rsidR="00B51B1D" w:rsidRPr="001E0703" w:rsidRDefault="00B51B1D" w:rsidP="004F4D6F">
            <w:pPr>
              <w:spacing w:after="0" w:line="240" w:lineRule="auto"/>
              <w:jc w:val="center"/>
              <w:rPr>
                <w:rFonts w:ascii="Tahoma" w:eastAsia="Times New Roman" w:hAnsi="Tahoma" w:cs="Tahoma"/>
                <w:b/>
                <w:bCs/>
                <w:color w:val="000000"/>
                <w:lang w:eastAsia="en-GB"/>
              </w:rPr>
            </w:pPr>
            <w:r w:rsidRPr="001E0703">
              <w:rPr>
                <w:rFonts w:ascii="Tahoma" w:eastAsia="Times New Roman" w:hAnsi="Tahoma" w:cs="Tahoma"/>
                <w:b/>
                <w:bCs/>
                <w:color w:val="000000"/>
                <w:lang w:eastAsia="en-GB"/>
              </w:rPr>
              <w:t>91</w:t>
            </w:r>
          </w:p>
        </w:tc>
        <w:tc>
          <w:tcPr>
            <w:tcW w:w="1337" w:type="dxa"/>
            <w:tcBorders>
              <w:top w:val="nil"/>
              <w:left w:val="nil"/>
              <w:bottom w:val="single" w:sz="4" w:space="0" w:color="auto"/>
              <w:right w:val="single" w:sz="4" w:space="0" w:color="auto"/>
            </w:tcBorders>
            <w:shd w:val="clear" w:color="auto" w:fill="auto"/>
            <w:noWrap/>
            <w:vAlign w:val="bottom"/>
            <w:hideMark/>
          </w:tcPr>
          <w:p w14:paraId="1D1FB622" w14:textId="77777777" w:rsidR="00B51B1D" w:rsidRPr="001E0703" w:rsidRDefault="00B51B1D" w:rsidP="004F4D6F">
            <w:pPr>
              <w:spacing w:after="0" w:line="240" w:lineRule="auto"/>
              <w:jc w:val="center"/>
              <w:rPr>
                <w:rFonts w:ascii="Tahoma" w:eastAsia="Times New Roman" w:hAnsi="Tahoma" w:cs="Tahoma"/>
                <w:b/>
                <w:bCs/>
                <w:color w:val="000000"/>
                <w:lang w:eastAsia="en-GB"/>
              </w:rPr>
            </w:pPr>
            <w:r w:rsidRPr="001E0703">
              <w:rPr>
                <w:rFonts w:ascii="Tahoma" w:eastAsia="Times New Roman" w:hAnsi="Tahoma" w:cs="Tahoma"/>
                <w:b/>
                <w:bCs/>
                <w:color w:val="000000"/>
                <w:lang w:eastAsia="en-GB"/>
              </w:rPr>
              <w:t>75</w:t>
            </w:r>
          </w:p>
        </w:tc>
        <w:tc>
          <w:tcPr>
            <w:tcW w:w="1337" w:type="dxa"/>
            <w:tcBorders>
              <w:top w:val="nil"/>
              <w:left w:val="nil"/>
              <w:bottom w:val="single" w:sz="4" w:space="0" w:color="auto"/>
              <w:right w:val="single" w:sz="4" w:space="0" w:color="auto"/>
            </w:tcBorders>
            <w:shd w:val="clear" w:color="auto" w:fill="auto"/>
            <w:noWrap/>
            <w:vAlign w:val="bottom"/>
            <w:hideMark/>
          </w:tcPr>
          <w:p w14:paraId="649AFE35" w14:textId="77777777" w:rsidR="00B51B1D" w:rsidRPr="001E0703" w:rsidRDefault="00B51B1D" w:rsidP="004F4D6F">
            <w:pPr>
              <w:spacing w:after="0" w:line="240" w:lineRule="auto"/>
              <w:jc w:val="center"/>
              <w:rPr>
                <w:rFonts w:ascii="Tahoma" w:eastAsia="Times New Roman" w:hAnsi="Tahoma" w:cs="Tahoma"/>
                <w:b/>
                <w:bCs/>
                <w:color w:val="000000"/>
                <w:lang w:eastAsia="en-GB"/>
              </w:rPr>
            </w:pPr>
            <w:r w:rsidRPr="001E0703">
              <w:rPr>
                <w:rFonts w:ascii="Tahoma" w:eastAsia="Times New Roman" w:hAnsi="Tahoma" w:cs="Tahoma"/>
                <w:b/>
                <w:bCs/>
                <w:color w:val="000000"/>
                <w:lang w:eastAsia="en-GB"/>
              </w:rPr>
              <w:t>72</w:t>
            </w:r>
          </w:p>
        </w:tc>
        <w:tc>
          <w:tcPr>
            <w:tcW w:w="1337" w:type="dxa"/>
            <w:tcBorders>
              <w:top w:val="nil"/>
              <w:left w:val="nil"/>
              <w:bottom w:val="single" w:sz="4" w:space="0" w:color="auto"/>
              <w:right w:val="single" w:sz="4" w:space="0" w:color="auto"/>
            </w:tcBorders>
            <w:shd w:val="clear" w:color="auto" w:fill="auto"/>
            <w:noWrap/>
            <w:vAlign w:val="bottom"/>
            <w:hideMark/>
          </w:tcPr>
          <w:p w14:paraId="29171883" w14:textId="77777777" w:rsidR="00B51B1D" w:rsidRPr="001E0703" w:rsidRDefault="00B51B1D" w:rsidP="004F4D6F">
            <w:pPr>
              <w:spacing w:after="0" w:line="240" w:lineRule="auto"/>
              <w:jc w:val="center"/>
              <w:rPr>
                <w:rFonts w:ascii="Tahoma" w:eastAsia="Times New Roman" w:hAnsi="Tahoma" w:cs="Tahoma"/>
                <w:b/>
                <w:bCs/>
                <w:color w:val="000000"/>
                <w:lang w:eastAsia="en-GB"/>
              </w:rPr>
            </w:pPr>
            <w:r w:rsidRPr="001E0703">
              <w:rPr>
                <w:rFonts w:ascii="Tahoma" w:eastAsia="Times New Roman" w:hAnsi="Tahoma" w:cs="Tahoma"/>
                <w:b/>
                <w:bCs/>
                <w:color w:val="000000"/>
                <w:lang w:eastAsia="en-GB"/>
              </w:rPr>
              <w:t>61</w:t>
            </w:r>
          </w:p>
        </w:tc>
      </w:tr>
      <w:tr w:rsidR="00B51B1D" w:rsidRPr="001E0703" w14:paraId="457CEBB5" w14:textId="77777777" w:rsidTr="1D7D8BE7">
        <w:trPr>
          <w:trHeight w:val="267"/>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7EB2A3E4" w14:textId="77777777" w:rsidR="00B51B1D" w:rsidRPr="001E0703" w:rsidRDefault="00B51B1D" w:rsidP="004F4D6F">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Killed</w:t>
            </w:r>
          </w:p>
        </w:tc>
        <w:tc>
          <w:tcPr>
            <w:tcW w:w="1337" w:type="dxa"/>
            <w:tcBorders>
              <w:top w:val="nil"/>
              <w:left w:val="nil"/>
              <w:bottom w:val="single" w:sz="4" w:space="0" w:color="auto"/>
              <w:right w:val="single" w:sz="4" w:space="0" w:color="auto"/>
            </w:tcBorders>
            <w:shd w:val="clear" w:color="auto" w:fill="auto"/>
            <w:noWrap/>
            <w:vAlign w:val="bottom"/>
            <w:hideMark/>
          </w:tcPr>
          <w:p w14:paraId="26465525"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57</w:t>
            </w:r>
          </w:p>
        </w:tc>
        <w:tc>
          <w:tcPr>
            <w:tcW w:w="1337" w:type="dxa"/>
            <w:tcBorders>
              <w:top w:val="nil"/>
              <w:left w:val="nil"/>
              <w:bottom w:val="single" w:sz="4" w:space="0" w:color="auto"/>
              <w:right w:val="single" w:sz="4" w:space="0" w:color="auto"/>
            </w:tcBorders>
            <w:shd w:val="clear" w:color="auto" w:fill="auto"/>
            <w:noWrap/>
            <w:vAlign w:val="bottom"/>
            <w:hideMark/>
          </w:tcPr>
          <w:p w14:paraId="733D34E5"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57</w:t>
            </w:r>
          </w:p>
        </w:tc>
        <w:tc>
          <w:tcPr>
            <w:tcW w:w="1337" w:type="dxa"/>
            <w:tcBorders>
              <w:top w:val="nil"/>
              <w:left w:val="nil"/>
              <w:bottom w:val="single" w:sz="4" w:space="0" w:color="auto"/>
              <w:right w:val="single" w:sz="4" w:space="0" w:color="auto"/>
            </w:tcBorders>
            <w:shd w:val="clear" w:color="auto" w:fill="auto"/>
            <w:noWrap/>
            <w:vAlign w:val="bottom"/>
            <w:hideMark/>
          </w:tcPr>
          <w:p w14:paraId="0E2327D6"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43</w:t>
            </w:r>
          </w:p>
        </w:tc>
        <w:tc>
          <w:tcPr>
            <w:tcW w:w="1337" w:type="dxa"/>
            <w:tcBorders>
              <w:top w:val="nil"/>
              <w:left w:val="nil"/>
              <w:bottom w:val="single" w:sz="4" w:space="0" w:color="auto"/>
              <w:right w:val="single" w:sz="4" w:space="0" w:color="auto"/>
            </w:tcBorders>
            <w:shd w:val="clear" w:color="auto" w:fill="auto"/>
            <w:noWrap/>
            <w:vAlign w:val="bottom"/>
            <w:hideMark/>
          </w:tcPr>
          <w:p w14:paraId="75BBECEB"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43</w:t>
            </w:r>
          </w:p>
        </w:tc>
      </w:tr>
      <w:tr w:rsidR="00B51B1D" w:rsidRPr="001E0703" w14:paraId="3F96F745" w14:textId="77777777" w:rsidTr="1D7D8BE7">
        <w:trPr>
          <w:trHeight w:val="267"/>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646B4DCD" w14:textId="77777777" w:rsidR="00B51B1D" w:rsidRPr="001E0703" w:rsidRDefault="00B51B1D" w:rsidP="004F4D6F">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Seriously Injured (SI)</w:t>
            </w:r>
          </w:p>
        </w:tc>
        <w:tc>
          <w:tcPr>
            <w:tcW w:w="1337" w:type="dxa"/>
            <w:tcBorders>
              <w:top w:val="nil"/>
              <w:left w:val="nil"/>
              <w:bottom w:val="single" w:sz="4" w:space="0" w:color="auto"/>
              <w:right w:val="single" w:sz="4" w:space="0" w:color="auto"/>
            </w:tcBorders>
            <w:shd w:val="clear" w:color="auto" w:fill="auto"/>
            <w:noWrap/>
            <w:vAlign w:val="bottom"/>
            <w:hideMark/>
          </w:tcPr>
          <w:p w14:paraId="0394A384"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34</w:t>
            </w:r>
          </w:p>
        </w:tc>
        <w:tc>
          <w:tcPr>
            <w:tcW w:w="1337" w:type="dxa"/>
            <w:tcBorders>
              <w:top w:val="nil"/>
              <w:left w:val="nil"/>
              <w:bottom w:val="single" w:sz="4" w:space="0" w:color="auto"/>
              <w:right w:val="single" w:sz="4" w:space="0" w:color="auto"/>
            </w:tcBorders>
            <w:shd w:val="clear" w:color="auto" w:fill="auto"/>
            <w:noWrap/>
            <w:vAlign w:val="bottom"/>
            <w:hideMark/>
          </w:tcPr>
          <w:p w14:paraId="7851C3F5"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18</w:t>
            </w:r>
          </w:p>
        </w:tc>
        <w:tc>
          <w:tcPr>
            <w:tcW w:w="1337" w:type="dxa"/>
            <w:tcBorders>
              <w:top w:val="nil"/>
              <w:left w:val="nil"/>
              <w:bottom w:val="single" w:sz="4" w:space="0" w:color="auto"/>
              <w:right w:val="single" w:sz="4" w:space="0" w:color="auto"/>
            </w:tcBorders>
            <w:shd w:val="clear" w:color="auto" w:fill="auto"/>
            <w:noWrap/>
            <w:vAlign w:val="bottom"/>
            <w:hideMark/>
          </w:tcPr>
          <w:p w14:paraId="73D7995E"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29</w:t>
            </w:r>
          </w:p>
        </w:tc>
        <w:tc>
          <w:tcPr>
            <w:tcW w:w="1337" w:type="dxa"/>
            <w:tcBorders>
              <w:top w:val="nil"/>
              <w:left w:val="nil"/>
              <w:bottom w:val="single" w:sz="4" w:space="0" w:color="auto"/>
              <w:right w:val="single" w:sz="4" w:space="0" w:color="auto"/>
            </w:tcBorders>
            <w:shd w:val="clear" w:color="auto" w:fill="auto"/>
            <w:noWrap/>
            <w:vAlign w:val="bottom"/>
            <w:hideMark/>
          </w:tcPr>
          <w:p w14:paraId="3123A5A8"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18</w:t>
            </w:r>
          </w:p>
        </w:tc>
      </w:tr>
      <w:tr w:rsidR="00B51B1D" w:rsidRPr="001E0703" w14:paraId="2D2B6BCA" w14:textId="77777777" w:rsidTr="1D7D8BE7">
        <w:trPr>
          <w:trHeight w:val="267"/>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1D98F8B8" w14:textId="77777777" w:rsidR="00B51B1D" w:rsidRPr="001E0703" w:rsidRDefault="00B51B1D" w:rsidP="004F4D6F">
            <w:pPr>
              <w:spacing w:after="0" w:line="240" w:lineRule="auto"/>
              <w:rPr>
                <w:rFonts w:ascii="Tahoma" w:eastAsia="Times New Roman" w:hAnsi="Tahoma" w:cs="Tahoma"/>
                <w:color w:val="000000"/>
                <w:lang w:eastAsia="en-GB"/>
              </w:rPr>
            </w:pPr>
            <w:r w:rsidRPr="1D7D8BE7">
              <w:rPr>
                <w:rFonts w:ascii="Tahoma" w:eastAsia="Times New Roman" w:hAnsi="Tahoma" w:cs="Tahoma"/>
                <w:color w:val="000000" w:themeColor="text1"/>
                <w:lang w:eastAsia="en-GB"/>
              </w:rPr>
              <w:t>Cat 1 PVC (inc. SI casualties)</w:t>
            </w:r>
          </w:p>
        </w:tc>
        <w:tc>
          <w:tcPr>
            <w:tcW w:w="1337" w:type="dxa"/>
            <w:tcBorders>
              <w:top w:val="nil"/>
              <w:left w:val="nil"/>
              <w:bottom w:val="single" w:sz="4" w:space="0" w:color="auto"/>
              <w:right w:val="single" w:sz="4" w:space="0" w:color="auto"/>
            </w:tcBorders>
            <w:shd w:val="clear" w:color="auto" w:fill="auto"/>
            <w:noWrap/>
            <w:vAlign w:val="bottom"/>
            <w:hideMark/>
          </w:tcPr>
          <w:p w14:paraId="108A7ED7"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16</w:t>
            </w:r>
          </w:p>
        </w:tc>
        <w:tc>
          <w:tcPr>
            <w:tcW w:w="1337" w:type="dxa"/>
            <w:tcBorders>
              <w:top w:val="nil"/>
              <w:left w:val="nil"/>
              <w:bottom w:val="single" w:sz="4" w:space="0" w:color="auto"/>
              <w:right w:val="single" w:sz="4" w:space="0" w:color="auto"/>
            </w:tcBorders>
            <w:shd w:val="clear" w:color="auto" w:fill="auto"/>
            <w:noWrap/>
            <w:vAlign w:val="bottom"/>
            <w:hideMark/>
          </w:tcPr>
          <w:p w14:paraId="2C30C956"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15</w:t>
            </w:r>
          </w:p>
        </w:tc>
        <w:tc>
          <w:tcPr>
            <w:tcW w:w="1337" w:type="dxa"/>
            <w:tcBorders>
              <w:top w:val="nil"/>
              <w:left w:val="nil"/>
              <w:bottom w:val="single" w:sz="4" w:space="0" w:color="auto"/>
              <w:right w:val="single" w:sz="4" w:space="0" w:color="auto"/>
            </w:tcBorders>
            <w:shd w:val="clear" w:color="auto" w:fill="auto"/>
            <w:noWrap/>
            <w:vAlign w:val="bottom"/>
            <w:hideMark/>
          </w:tcPr>
          <w:p w14:paraId="66A8A9CD"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11</w:t>
            </w:r>
          </w:p>
        </w:tc>
        <w:tc>
          <w:tcPr>
            <w:tcW w:w="1337" w:type="dxa"/>
            <w:tcBorders>
              <w:top w:val="nil"/>
              <w:left w:val="nil"/>
              <w:bottom w:val="single" w:sz="4" w:space="0" w:color="auto"/>
              <w:right w:val="single" w:sz="4" w:space="0" w:color="auto"/>
            </w:tcBorders>
            <w:shd w:val="clear" w:color="auto" w:fill="auto"/>
            <w:noWrap/>
            <w:vAlign w:val="bottom"/>
            <w:hideMark/>
          </w:tcPr>
          <w:p w14:paraId="6F871B33" w14:textId="77777777" w:rsidR="00B51B1D" w:rsidRPr="001E0703" w:rsidRDefault="00B51B1D" w:rsidP="004F4D6F">
            <w:pPr>
              <w:spacing w:after="0" w:line="240" w:lineRule="auto"/>
              <w:jc w:val="center"/>
              <w:rPr>
                <w:rFonts w:ascii="Tahoma" w:eastAsia="Times New Roman" w:hAnsi="Tahoma" w:cs="Tahoma"/>
                <w:color w:val="000000"/>
                <w:lang w:eastAsia="en-GB"/>
              </w:rPr>
            </w:pPr>
            <w:r w:rsidRPr="001E0703">
              <w:rPr>
                <w:rFonts w:ascii="Tahoma" w:eastAsia="Times New Roman" w:hAnsi="Tahoma" w:cs="Tahoma"/>
                <w:color w:val="000000"/>
                <w:lang w:eastAsia="en-GB"/>
              </w:rPr>
              <w:t>4</w:t>
            </w:r>
          </w:p>
        </w:tc>
      </w:tr>
    </w:tbl>
    <w:p w14:paraId="2F16BAF4" w14:textId="297610C9" w:rsidR="001C3DB0" w:rsidRDefault="001C3DB0" w:rsidP="00B51B1D">
      <w:pPr>
        <w:spacing w:after="0" w:line="240" w:lineRule="auto"/>
        <w:rPr>
          <w:rFonts w:ascii="Tahoma" w:eastAsia="Times New Roman" w:hAnsi="Tahoma" w:cs="Tahoma"/>
          <w:color w:val="000000"/>
          <w:lang w:eastAsia="en-GB"/>
        </w:rPr>
      </w:pPr>
    </w:p>
    <w:p w14:paraId="469DBC10" w14:textId="4BF91E93" w:rsidR="006A59B1" w:rsidRPr="001E0703" w:rsidRDefault="006A59B1" w:rsidP="006A59B1">
      <w:pPr>
        <w:jc w:val="center"/>
        <w:rPr>
          <w:rFonts w:ascii="Tahoma" w:hAnsi="Tahoma" w:cs="Tahoma"/>
        </w:rPr>
      </w:pPr>
      <w:r w:rsidRPr="001E0703">
        <w:rPr>
          <w:rFonts w:ascii="Tahoma" w:hAnsi="Tahoma" w:cs="Tahoma"/>
          <w:noProof/>
        </w:rPr>
        <w:drawing>
          <wp:inline distT="0" distB="0" distL="0" distR="0" wp14:anchorId="4AEBC752" wp14:editId="39D555AD">
            <wp:extent cx="5753100" cy="2057400"/>
            <wp:effectExtent l="0" t="0" r="0" b="0"/>
            <wp:docPr id="1535267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3100" cy="2057400"/>
                    </a:xfrm>
                    <a:prstGeom prst="rect">
                      <a:avLst/>
                    </a:prstGeom>
                    <a:noFill/>
                  </pic:spPr>
                </pic:pic>
              </a:graphicData>
            </a:graphic>
          </wp:inline>
        </w:drawing>
      </w:r>
    </w:p>
    <w:p w14:paraId="5BEDC001" w14:textId="448AB271" w:rsidR="006A59B1" w:rsidRDefault="438ADD31" w:rsidP="001C3DB0">
      <w:pPr>
        <w:spacing w:after="0" w:line="240" w:lineRule="auto"/>
        <w:jc w:val="both"/>
        <w:rPr>
          <w:rFonts w:ascii="Tahoma" w:hAnsi="Tahoma" w:cs="Tahoma"/>
        </w:rPr>
      </w:pPr>
      <w:r w:rsidRPr="1D7D8BE7">
        <w:rPr>
          <w:rFonts w:ascii="Tahoma" w:hAnsi="Tahoma" w:cs="Tahoma"/>
        </w:rPr>
        <w:t xml:space="preserve">KSI casualties has experienced a -33% decrease over the </w:t>
      </w:r>
      <w:r w:rsidR="6E653DCF" w:rsidRPr="1D7D8BE7">
        <w:rPr>
          <w:rFonts w:ascii="Tahoma" w:hAnsi="Tahoma" w:cs="Tahoma"/>
        </w:rPr>
        <w:t>4</w:t>
      </w:r>
      <w:r w:rsidRPr="1D7D8BE7">
        <w:rPr>
          <w:rFonts w:ascii="Tahoma" w:hAnsi="Tahoma" w:cs="Tahoma"/>
        </w:rPr>
        <w:t xml:space="preserve"> years’ period, with 30 less KSI casualties, </w:t>
      </w:r>
      <w:r w:rsidR="2D2654C6" w:rsidRPr="1D7D8BE7">
        <w:rPr>
          <w:rFonts w:ascii="Tahoma" w:hAnsi="Tahoma" w:cs="Tahoma"/>
        </w:rPr>
        <w:t xml:space="preserve">and </w:t>
      </w:r>
      <w:r w:rsidRPr="1D7D8BE7">
        <w:rPr>
          <w:rFonts w:ascii="Tahoma" w:hAnsi="Tahoma" w:cs="Tahoma"/>
        </w:rPr>
        <w:t xml:space="preserve">year-on-year reductions. The number of fatalities has remained stable for the last </w:t>
      </w:r>
      <w:r w:rsidR="6E653DCF" w:rsidRPr="1D7D8BE7">
        <w:rPr>
          <w:rFonts w:ascii="Tahoma" w:hAnsi="Tahoma" w:cs="Tahoma"/>
        </w:rPr>
        <w:t>2</w:t>
      </w:r>
      <w:r w:rsidRPr="1D7D8BE7">
        <w:rPr>
          <w:rFonts w:ascii="Tahoma" w:hAnsi="Tahoma" w:cs="Tahoma"/>
        </w:rPr>
        <w:t xml:space="preserve"> years with 43 for 2023 and 2024, however, these are lower than the previous </w:t>
      </w:r>
      <w:r w:rsidR="2D2654C6" w:rsidRPr="1D7D8BE7">
        <w:rPr>
          <w:rFonts w:ascii="Tahoma" w:hAnsi="Tahoma" w:cs="Tahoma"/>
        </w:rPr>
        <w:t xml:space="preserve">2 </w:t>
      </w:r>
      <w:r w:rsidRPr="1D7D8BE7">
        <w:rPr>
          <w:rFonts w:ascii="Tahoma" w:hAnsi="Tahoma" w:cs="Tahoma"/>
        </w:rPr>
        <w:t>years with 57 fatal casualties.</w:t>
      </w:r>
      <w:r w:rsidR="6E653DCF" w:rsidRPr="1D7D8BE7">
        <w:rPr>
          <w:rFonts w:ascii="Tahoma" w:hAnsi="Tahoma" w:cs="Tahoma"/>
        </w:rPr>
        <w:t xml:space="preserve">  </w:t>
      </w:r>
      <w:r w:rsidRPr="1D7D8BE7">
        <w:rPr>
          <w:rFonts w:ascii="Tahoma" w:hAnsi="Tahoma" w:cs="Tahoma"/>
        </w:rPr>
        <w:t xml:space="preserve">The number of </w:t>
      </w:r>
      <w:r w:rsidR="6E653DCF" w:rsidRPr="1D7D8BE7">
        <w:rPr>
          <w:rFonts w:ascii="Tahoma" w:hAnsi="Tahoma" w:cs="Tahoma"/>
        </w:rPr>
        <w:t xml:space="preserve">Seriously Injured </w:t>
      </w:r>
      <w:r w:rsidRPr="1D7D8BE7">
        <w:rPr>
          <w:rFonts w:ascii="Tahoma" w:hAnsi="Tahoma" w:cs="Tahoma"/>
        </w:rPr>
        <w:t xml:space="preserve">casualties was 18 </w:t>
      </w:r>
      <w:r w:rsidR="6E653DCF" w:rsidRPr="1D7D8BE7">
        <w:rPr>
          <w:rFonts w:ascii="Tahoma" w:hAnsi="Tahoma" w:cs="Tahoma"/>
        </w:rPr>
        <w:t>during 2024</w:t>
      </w:r>
      <w:r w:rsidR="2D2654C6" w:rsidRPr="1D7D8BE7">
        <w:rPr>
          <w:rFonts w:ascii="Tahoma" w:hAnsi="Tahoma" w:cs="Tahoma"/>
        </w:rPr>
        <w:t xml:space="preserve">, </w:t>
      </w:r>
      <w:r w:rsidRPr="1D7D8BE7">
        <w:rPr>
          <w:rFonts w:ascii="Tahoma" w:hAnsi="Tahoma" w:cs="Tahoma"/>
        </w:rPr>
        <w:t xml:space="preserve">a reduction on </w:t>
      </w:r>
      <w:r w:rsidR="6E653DCF" w:rsidRPr="1D7D8BE7">
        <w:rPr>
          <w:rFonts w:ascii="Tahoma" w:hAnsi="Tahoma" w:cs="Tahoma"/>
        </w:rPr>
        <w:t>2023</w:t>
      </w:r>
      <w:r w:rsidRPr="1D7D8BE7">
        <w:rPr>
          <w:rFonts w:ascii="Tahoma" w:hAnsi="Tahoma" w:cs="Tahoma"/>
        </w:rPr>
        <w:t xml:space="preserve">.  The Cat 1 PVC casualties have also seen year-on-year reductions. </w:t>
      </w:r>
    </w:p>
    <w:p w14:paraId="65BCF356" w14:textId="77777777" w:rsidR="001C3DB0" w:rsidRDefault="001C3DB0" w:rsidP="001C3DB0">
      <w:pPr>
        <w:spacing w:after="0" w:line="240" w:lineRule="auto"/>
        <w:jc w:val="both"/>
        <w:rPr>
          <w:rFonts w:ascii="Tahoma" w:hAnsi="Tahoma" w:cs="Tahoma"/>
        </w:rPr>
      </w:pPr>
    </w:p>
    <w:p w14:paraId="72918405" w14:textId="7DA3D797" w:rsidR="006A59B1" w:rsidRDefault="006A59B1" w:rsidP="001C3DB0">
      <w:pPr>
        <w:spacing w:after="0" w:line="240" w:lineRule="auto"/>
        <w:rPr>
          <w:rFonts w:ascii="Tahoma" w:hAnsi="Tahoma" w:cs="Tahoma"/>
        </w:rPr>
      </w:pPr>
      <w:r w:rsidRPr="003A0D80">
        <w:rPr>
          <w:rFonts w:ascii="Tahoma" w:hAnsi="Tahoma" w:cs="Tahoma"/>
        </w:rPr>
        <w:t>It could be argued that a</w:t>
      </w:r>
      <w:r>
        <w:rPr>
          <w:rFonts w:ascii="Tahoma" w:hAnsi="Tahoma" w:cs="Tahoma"/>
        </w:rPr>
        <w:t xml:space="preserve"> factor towards the</w:t>
      </w:r>
      <w:r w:rsidRPr="003A0D80">
        <w:rPr>
          <w:rFonts w:ascii="Tahoma" w:hAnsi="Tahoma" w:cs="Tahoma"/>
        </w:rPr>
        <w:t xml:space="preserve"> decrease in fatal numbers and an increase in serious injury numbers is due to improvement</w:t>
      </w:r>
      <w:r>
        <w:rPr>
          <w:rFonts w:ascii="Tahoma" w:hAnsi="Tahoma" w:cs="Tahoma"/>
        </w:rPr>
        <w:t>s</w:t>
      </w:r>
      <w:r w:rsidRPr="003A0D80">
        <w:rPr>
          <w:rFonts w:ascii="Tahoma" w:hAnsi="Tahoma" w:cs="Tahoma"/>
        </w:rPr>
        <w:t xml:space="preserve"> in car safety features and road layout, and thus a collision that would historically have been fatal is now causing serious injury instead.</w:t>
      </w:r>
      <w:r>
        <w:rPr>
          <w:rFonts w:ascii="Tahoma" w:hAnsi="Tahoma" w:cs="Tahoma"/>
        </w:rPr>
        <w:t xml:space="preserve">  T</w:t>
      </w:r>
      <w:r w:rsidR="00484C0E">
        <w:rPr>
          <w:rFonts w:ascii="Tahoma" w:hAnsi="Tahoma" w:cs="Tahoma"/>
        </w:rPr>
        <w:t xml:space="preserve">he </w:t>
      </w:r>
      <w:r w:rsidRPr="003A0D80">
        <w:rPr>
          <w:rFonts w:ascii="Tahoma" w:hAnsi="Tahoma" w:cs="Tahoma"/>
        </w:rPr>
        <w:t xml:space="preserve">Kent </w:t>
      </w:r>
      <w:r>
        <w:rPr>
          <w:rFonts w:ascii="Tahoma" w:hAnsi="Tahoma" w:cs="Tahoma"/>
        </w:rPr>
        <w:t>and</w:t>
      </w:r>
      <w:r w:rsidRPr="003A0D80">
        <w:rPr>
          <w:rFonts w:ascii="Tahoma" w:hAnsi="Tahoma" w:cs="Tahoma"/>
        </w:rPr>
        <w:t xml:space="preserve"> Medway Safer Roads Partnership </w:t>
      </w:r>
      <w:r w:rsidR="00484C0E">
        <w:rPr>
          <w:rFonts w:ascii="Tahoma" w:hAnsi="Tahoma" w:cs="Tahoma"/>
        </w:rPr>
        <w:t xml:space="preserve">will continue to analyse this data to inform activity.  </w:t>
      </w:r>
    </w:p>
    <w:p w14:paraId="7D24B462" w14:textId="77777777" w:rsidR="00F51D36" w:rsidRDefault="00F51D36" w:rsidP="00F51D36">
      <w:pPr>
        <w:spacing w:after="0" w:line="240" w:lineRule="auto"/>
        <w:rPr>
          <w:rFonts w:ascii="Tahoma" w:hAnsi="Tahoma" w:cs="Tahoma"/>
          <w:b/>
          <w:bCs/>
          <w:u w:val="single"/>
        </w:rPr>
      </w:pPr>
    </w:p>
    <w:p w14:paraId="53AF421E" w14:textId="05BF97C5" w:rsidR="00F51D36" w:rsidRDefault="009809FE" w:rsidP="00F51D36">
      <w:pPr>
        <w:spacing w:after="0" w:line="240" w:lineRule="auto"/>
        <w:rPr>
          <w:rFonts w:ascii="Tahoma" w:hAnsi="Tahoma" w:cs="Tahoma"/>
          <w:b/>
          <w:bCs/>
          <w:u w:val="single"/>
        </w:rPr>
      </w:pPr>
      <w:r>
        <w:rPr>
          <w:rFonts w:ascii="Tahoma" w:hAnsi="Tahoma" w:cs="Tahoma"/>
          <w:b/>
          <w:bCs/>
          <w:u w:val="single"/>
        </w:rPr>
        <w:t>Enforcement – ‘</w:t>
      </w:r>
      <w:r w:rsidRPr="003A0D80">
        <w:rPr>
          <w:rFonts w:ascii="Tahoma" w:hAnsi="Tahoma" w:cs="Tahoma"/>
          <w:b/>
          <w:bCs/>
          <w:u w:val="single"/>
        </w:rPr>
        <w:t>Fatal 4</w:t>
      </w:r>
      <w:r>
        <w:rPr>
          <w:rFonts w:ascii="Tahoma" w:hAnsi="Tahoma" w:cs="Tahoma"/>
          <w:b/>
          <w:bCs/>
          <w:u w:val="single"/>
        </w:rPr>
        <w:t>’</w:t>
      </w:r>
      <w:r w:rsidRPr="003A0D80">
        <w:rPr>
          <w:rFonts w:ascii="Tahoma" w:hAnsi="Tahoma" w:cs="Tahoma"/>
          <w:b/>
          <w:bCs/>
          <w:u w:val="single"/>
        </w:rPr>
        <w:t xml:space="preserve"> data</w:t>
      </w:r>
    </w:p>
    <w:p w14:paraId="76F9AEE0" w14:textId="5129427A" w:rsidR="00F51D36" w:rsidRDefault="002F7994" w:rsidP="00F51D36">
      <w:pPr>
        <w:spacing w:after="0" w:line="240" w:lineRule="auto"/>
        <w:rPr>
          <w:rFonts w:ascii="Tahoma" w:hAnsi="Tahoma" w:cs="Tahoma"/>
        </w:rPr>
      </w:pPr>
      <w:r>
        <w:rPr>
          <w:rFonts w:ascii="Tahoma" w:hAnsi="Tahoma" w:cs="Tahoma"/>
        </w:rPr>
        <w:lastRenderedPageBreak/>
        <w:t xml:space="preserve">Kent Police maintains a focus on the offences that have the most impact on road deaths, commonly known as the ‘Fatal Four’ which are speed, not wearing seatbelts, driving whilst impaired, and use of mobile phones.  </w:t>
      </w:r>
      <w:r w:rsidR="00F51D36">
        <w:rPr>
          <w:rFonts w:ascii="Tahoma" w:hAnsi="Tahoma" w:cs="Tahoma"/>
        </w:rPr>
        <w:t>D</w:t>
      </w:r>
      <w:r>
        <w:rPr>
          <w:rFonts w:ascii="Tahoma" w:hAnsi="Tahoma" w:cs="Tahoma"/>
        </w:rPr>
        <w:t>uring the reporting period, the below table shows the enforcement undertaken by way of automated and mobile cameras, and roadside Traffic Offence Reports, across these four areas:</w:t>
      </w:r>
    </w:p>
    <w:tbl>
      <w:tblPr>
        <w:tblStyle w:val="TableGrid"/>
        <w:tblW w:w="9351" w:type="dxa"/>
        <w:tblLayout w:type="fixed"/>
        <w:tblLook w:val="04A0" w:firstRow="1" w:lastRow="0" w:firstColumn="1" w:lastColumn="0" w:noHBand="0" w:noVBand="1"/>
      </w:tblPr>
      <w:tblGrid>
        <w:gridCol w:w="2405"/>
        <w:gridCol w:w="1701"/>
        <w:gridCol w:w="1843"/>
        <w:gridCol w:w="1701"/>
        <w:gridCol w:w="1701"/>
      </w:tblGrid>
      <w:tr w:rsidR="00990E63" w14:paraId="158072D9" w14:textId="77777777" w:rsidTr="00990E63">
        <w:tc>
          <w:tcPr>
            <w:tcW w:w="2405" w:type="dxa"/>
          </w:tcPr>
          <w:p w14:paraId="2B16D296" w14:textId="77777777" w:rsidR="00B51B1D" w:rsidRDefault="00B51B1D" w:rsidP="00F51D36">
            <w:pPr>
              <w:rPr>
                <w:rFonts w:ascii="Tahoma" w:hAnsi="Tahoma" w:cs="Tahoma"/>
              </w:rPr>
            </w:pPr>
          </w:p>
        </w:tc>
        <w:tc>
          <w:tcPr>
            <w:tcW w:w="1701" w:type="dxa"/>
            <w:shd w:val="clear" w:color="auto" w:fill="D9D9D9" w:themeFill="background1" w:themeFillShade="D9"/>
          </w:tcPr>
          <w:p w14:paraId="25998B9A" w14:textId="45E4F7FF" w:rsidR="00B51B1D" w:rsidRPr="00B51B1D" w:rsidRDefault="00B51B1D" w:rsidP="00B51B1D">
            <w:pPr>
              <w:jc w:val="center"/>
              <w:rPr>
                <w:rFonts w:ascii="Tahoma" w:hAnsi="Tahoma" w:cs="Tahoma"/>
                <w:b/>
                <w:bCs/>
              </w:rPr>
            </w:pPr>
            <w:r w:rsidRPr="00B51B1D">
              <w:rPr>
                <w:rFonts w:ascii="Tahoma" w:hAnsi="Tahoma" w:cs="Tahoma"/>
                <w:b/>
                <w:bCs/>
              </w:rPr>
              <w:t>Speed Enforcement</w:t>
            </w:r>
          </w:p>
        </w:tc>
        <w:tc>
          <w:tcPr>
            <w:tcW w:w="1843" w:type="dxa"/>
            <w:shd w:val="clear" w:color="auto" w:fill="D9D9D9" w:themeFill="background1" w:themeFillShade="D9"/>
          </w:tcPr>
          <w:p w14:paraId="0E8D54E3" w14:textId="7EBEC636" w:rsidR="00B51B1D" w:rsidRPr="00B51B1D" w:rsidRDefault="00B51B1D" w:rsidP="00B51B1D">
            <w:pPr>
              <w:jc w:val="center"/>
              <w:rPr>
                <w:rFonts w:ascii="Tahoma" w:hAnsi="Tahoma" w:cs="Tahoma"/>
                <w:b/>
                <w:bCs/>
              </w:rPr>
            </w:pPr>
            <w:r w:rsidRPr="00B51B1D">
              <w:rPr>
                <w:rFonts w:ascii="Tahoma" w:hAnsi="Tahoma" w:cs="Tahoma"/>
                <w:b/>
                <w:bCs/>
              </w:rPr>
              <w:t>Mobile Phone Enforcement</w:t>
            </w:r>
          </w:p>
        </w:tc>
        <w:tc>
          <w:tcPr>
            <w:tcW w:w="1701" w:type="dxa"/>
            <w:shd w:val="clear" w:color="auto" w:fill="D9D9D9" w:themeFill="background1" w:themeFillShade="D9"/>
          </w:tcPr>
          <w:p w14:paraId="5EFE35F2" w14:textId="2AD40B6B" w:rsidR="00B51B1D" w:rsidRPr="00B51B1D" w:rsidRDefault="00B51B1D" w:rsidP="00B51B1D">
            <w:pPr>
              <w:jc w:val="center"/>
              <w:rPr>
                <w:rFonts w:ascii="Tahoma" w:hAnsi="Tahoma" w:cs="Tahoma"/>
                <w:b/>
                <w:bCs/>
              </w:rPr>
            </w:pPr>
            <w:r w:rsidRPr="00B51B1D">
              <w:rPr>
                <w:rFonts w:ascii="Tahoma" w:hAnsi="Tahoma" w:cs="Tahoma"/>
                <w:b/>
                <w:bCs/>
              </w:rPr>
              <w:t>Seatbelt Enforcement</w:t>
            </w:r>
          </w:p>
        </w:tc>
        <w:tc>
          <w:tcPr>
            <w:tcW w:w="1701" w:type="dxa"/>
            <w:shd w:val="clear" w:color="auto" w:fill="D9D9D9" w:themeFill="background1" w:themeFillShade="D9"/>
          </w:tcPr>
          <w:p w14:paraId="59686891" w14:textId="31D7F0ED" w:rsidR="00B51B1D" w:rsidRPr="00B51B1D" w:rsidRDefault="00B51B1D" w:rsidP="00B51B1D">
            <w:pPr>
              <w:jc w:val="center"/>
              <w:rPr>
                <w:rFonts w:ascii="Tahoma" w:hAnsi="Tahoma" w:cs="Tahoma"/>
                <w:b/>
                <w:bCs/>
              </w:rPr>
            </w:pPr>
            <w:r w:rsidRPr="00B51B1D">
              <w:rPr>
                <w:rFonts w:ascii="Tahoma" w:hAnsi="Tahoma" w:cs="Tahoma"/>
                <w:b/>
                <w:bCs/>
              </w:rPr>
              <w:t>Drink/Drug Drive Arrests</w:t>
            </w:r>
          </w:p>
        </w:tc>
      </w:tr>
      <w:tr w:rsidR="00990E63" w14:paraId="08D5B943" w14:textId="77777777" w:rsidTr="00990E63">
        <w:tc>
          <w:tcPr>
            <w:tcW w:w="2405" w:type="dxa"/>
          </w:tcPr>
          <w:p w14:paraId="7BC29F15" w14:textId="7B793B86" w:rsidR="00B51B1D" w:rsidRDefault="00B51B1D" w:rsidP="00F51D36">
            <w:pPr>
              <w:rPr>
                <w:rFonts w:ascii="Tahoma" w:hAnsi="Tahoma" w:cs="Tahoma"/>
              </w:rPr>
            </w:pPr>
            <w:r>
              <w:rPr>
                <w:rFonts w:ascii="Tahoma" w:hAnsi="Tahoma" w:cs="Tahoma"/>
              </w:rPr>
              <w:t>April 21 – March 22</w:t>
            </w:r>
          </w:p>
        </w:tc>
        <w:tc>
          <w:tcPr>
            <w:tcW w:w="1701" w:type="dxa"/>
          </w:tcPr>
          <w:p w14:paraId="745DE7EE" w14:textId="13379FA9" w:rsidR="00B51B1D" w:rsidRDefault="00B51B1D" w:rsidP="00F51D36">
            <w:pPr>
              <w:rPr>
                <w:rFonts w:ascii="Tahoma" w:hAnsi="Tahoma" w:cs="Tahoma"/>
              </w:rPr>
            </w:pPr>
            <w:r>
              <w:rPr>
                <w:rFonts w:ascii="Tahoma" w:hAnsi="Tahoma" w:cs="Tahoma"/>
              </w:rPr>
              <w:t>79,613</w:t>
            </w:r>
          </w:p>
        </w:tc>
        <w:tc>
          <w:tcPr>
            <w:tcW w:w="1843" w:type="dxa"/>
          </w:tcPr>
          <w:p w14:paraId="519786AD" w14:textId="632BD1B3" w:rsidR="00B51B1D" w:rsidRDefault="00B51B1D" w:rsidP="00F51D36">
            <w:pPr>
              <w:rPr>
                <w:rFonts w:ascii="Tahoma" w:hAnsi="Tahoma" w:cs="Tahoma"/>
              </w:rPr>
            </w:pPr>
            <w:r>
              <w:rPr>
                <w:rFonts w:ascii="Tahoma" w:hAnsi="Tahoma" w:cs="Tahoma"/>
              </w:rPr>
              <w:t>947</w:t>
            </w:r>
          </w:p>
        </w:tc>
        <w:tc>
          <w:tcPr>
            <w:tcW w:w="1701" w:type="dxa"/>
          </w:tcPr>
          <w:p w14:paraId="3D16865F" w14:textId="3133FCC7" w:rsidR="00B51B1D" w:rsidRDefault="00B51B1D" w:rsidP="00F51D36">
            <w:pPr>
              <w:rPr>
                <w:rFonts w:ascii="Tahoma" w:hAnsi="Tahoma" w:cs="Tahoma"/>
              </w:rPr>
            </w:pPr>
            <w:r>
              <w:rPr>
                <w:rFonts w:ascii="Tahoma" w:hAnsi="Tahoma" w:cs="Tahoma"/>
              </w:rPr>
              <w:t>1,819</w:t>
            </w:r>
          </w:p>
        </w:tc>
        <w:tc>
          <w:tcPr>
            <w:tcW w:w="1701" w:type="dxa"/>
          </w:tcPr>
          <w:p w14:paraId="242DB717" w14:textId="19888FA5" w:rsidR="00B51B1D" w:rsidRDefault="00B51B1D" w:rsidP="00F51D36">
            <w:pPr>
              <w:rPr>
                <w:rFonts w:ascii="Tahoma" w:hAnsi="Tahoma" w:cs="Tahoma"/>
              </w:rPr>
            </w:pPr>
            <w:r>
              <w:rPr>
                <w:rFonts w:ascii="Tahoma" w:hAnsi="Tahoma" w:cs="Tahoma"/>
              </w:rPr>
              <w:t>3,347</w:t>
            </w:r>
          </w:p>
        </w:tc>
      </w:tr>
      <w:tr w:rsidR="00990E63" w14:paraId="22727F67" w14:textId="77777777" w:rsidTr="00990E63">
        <w:tc>
          <w:tcPr>
            <w:tcW w:w="2405" w:type="dxa"/>
          </w:tcPr>
          <w:p w14:paraId="0A30F2E5" w14:textId="31E6B901" w:rsidR="00B51B1D" w:rsidRDefault="00B51B1D" w:rsidP="00F51D36">
            <w:pPr>
              <w:rPr>
                <w:rFonts w:ascii="Tahoma" w:hAnsi="Tahoma" w:cs="Tahoma"/>
              </w:rPr>
            </w:pPr>
            <w:r>
              <w:rPr>
                <w:rFonts w:ascii="Tahoma" w:hAnsi="Tahoma" w:cs="Tahoma"/>
              </w:rPr>
              <w:t>April 22 – March 23</w:t>
            </w:r>
          </w:p>
        </w:tc>
        <w:tc>
          <w:tcPr>
            <w:tcW w:w="1701" w:type="dxa"/>
          </w:tcPr>
          <w:p w14:paraId="12E2ED79" w14:textId="39E9AB2A" w:rsidR="00B51B1D" w:rsidRDefault="00B51B1D" w:rsidP="00F51D36">
            <w:pPr>
              <w:rPr>
                <w:rFonts w:ascii="Tahoma" w:hAnsi="Tahoma" w:cs="Tahoma"/>
              </w:rPr>
            </w:pPr>
            <w:r>
              <w:rPr>
                <w:rFonts w:ascii="Tahoma" w:hAnsi="Tahoma" w:cs="Tahoma"/>
              </w:rPr>
              <w:t>66,093*</w:t>
            </w:r>
          </w:p>
        </w:tc>
        <w:tc>
          <w:tcPr>
            <w:tcW w:w="1843" w:type="dxa"/>
          </w:tcPr>
          <w:p w14:paraId="26BCE9DD" w14:textId="366A9142" w:rsidR="00B51B1D" w:rsidRDefault="00B51B1D" w:rsidP="00F51D36">
            <w:pPr>
              <w:rPr>
                <w:rFonts w:ascii="Tahoma" w:hAnsi="Tahoma" w:cs="Tahoma"/>
              </w:rPr>
            </w:pPr>
            <w:r>
              <w:rPr>
                <w:rFonts w:ascii="Tahoma" w:hAnsi="Tahoma" w:cs="Tahoma"/>
              </w:rPr>
              <w:t>1,938*</w:t>
            </w:r>
          </w:p>
        </w:tc>
        <w:tc>
          <w:tcPr>
            <w:tcW w:w="1701" w:type="dxa"/>
          </w:tcPr>
          <w:p w14:paraId="386491E3" w14:textId="0B3FA922" w:rsidR="00B51B1D" w:rsidRDefault="00B51B1D" w:rsidP="00F51D36">
            <w:pPr>
              <w:rPr>
                <w:rFonts w:ascii="Tahoma" w:hAnsi="Tahoma" w:cs="Tahoma"/>
              </w:rPr>
            </w:pPr>
            <w:r>
              <w:rPr>
                <w:rFonts w:ascii="Tahoma" w:hAnsi="Tahoma" w:cs="Tahoma"/>
              </w:rPr>
              <w:t>2,086*</w:t>
            </w:r>
          </w:p>
        </w:tc>
        <w:tc>
          <w:tcPr>
            <w:tcW w:w="1701" w:type="dxa"/>
          </w:tcPr>
          <w:p w14:paraId="053D79B3" w14:textId="4EEB4D5E" w:rsidR="00B51B1D" w:rsidRDefault="00B51B1D" w:rsidP="00F51D36">
            <w:pPr>
              <w:rPr>
                <w:rFonts w:ascii="Tahoma" w:hAnsi="Tahoma" w:cs="Tahoma"/>
              </w:rPr>
            </w:pPr>
            <w:r>
              <w:rPr>
                <w:rFonts w:ascii="Tahoma" w:hAnsi="Tahoma" w:cs="Tahoma"/>
              </w:rPr>
              <w:t>3,502</w:t>
            </w:r>
          </w:p>
        </w:tc>
      </w:tr>
      <w:tr w:rsidR="00990E63" w14:paraId="0398CFD3" w14:textId="77777777" w:rsidTr="00990E63">
        <w:tc>
          <w:tcPr>
            <w:tcW w:w="2405" w:type="dxa"/>
          </w:tcPr>
          <w:p w14:paraId="1D8E4ED0" w14:textId="00FCF4D5" w:rsidR="00B51B1D" w:rsidRDefault="00B51B1D" w:rsidP="00F51D36">
            <w:pPr>
              <w:rPr>
                <w:rFonts w:ascii="Tahoma" w:hAnsi="Tahoma" w:cs="Tahoma"/>
              </w:rPr>
            </w:pPr>
            <w:r>
              <w:rPr>
                <w:rFonts w:ascii="Tahoma" w:hAnsi="Tahoma" w:cs="Tahoma"/>
              </w:rPr>
              <w:t>April 23 – March 24</w:t>
            </w:r>
          </w:p>
        </w:tc>
        <w:tc>
          <w:tcPr>
            <w:tcW w:w="1701" w:type="dxa"/>
          </w:tcPr>
          <w:p w14:paraId="77724478" w14:textId="45328E33" w:rsidR="00B51B1D" w:rsidRDefault="00B51B1D" w:rsidP="00F51D36">
            <w:pPr>
              <w:rPr>
                <w:rFonts w:ascii="Tahoma" w:hAnsi="Tahoma" w:cs="Tahoma"/>
              </w:rPr>
            </w:pPr>
            <w:r>
              <w:rPr>
                <w:rFonts w:ascii="Tahoma" w:hAnsi="Tahoma" w:cs="Tahoma"/>
              </w:rPr>
              <w:t>80,877</w:t>
            </w:r>
          </w:p>
        </w:tc>
        <w:tc>
          <w:tcPr>
            <w:tcW w:w="1843" w:type="dxa"/>
          </w:tcPr>
          <w:p w14:paraId="75B9B7A9" w14:textId="342F1230" w:rsidR="00B51B1D" w:rsidRDefault="00B51B1D" w:rsidP="00F51D36">
            <w:pPr>
              <w:rPr>
                <w:rFonts w:ascii="Tahoma" w:hAnsi="Tahoma" w:cs="Tahoma"/>
              </w:rPr>
            </w:pPr>
            <w:r>
              <w:rPr>
                <w:rFonts w:ascii="Tahoma" w:hAnsi="Tahoma" w:cs="Tahoma"/>
              </w:rPr>
              <w:t>1,718</w:t>
            </w:r>
          </w:p>
        </w:tc>
        <w:tc>
          <w:tcPr>
            <w:tcW w:w="1701" w:type="dxa"/>
          </w:tcPr>
          <w:p w14:paraId="70C7C933" w14:textId="39DD97BF" w:rsidR="00B51B1D" w:rsidRDefault="00B51B1D" w:rsidP="00F51D36">
            <w:pPr>
              <w:rPr>
                <w:rFonts w:ascii="Tahoma" w:hAnsi="Tahoma" w:cs="Tahoma"/>
              </w:rPr>
            </w:pPr>
            <w:r>
              <w:rPr>
                <w:rFonts w:ascii="Tahoma" w:hAnsi="Tahoma" w:cs="Tahoma"/>
              </w:rPr>
              <w:t>2,449</w:t>
            </w:r>
          </w:p>
        </w:tc>
        <w:tc>
          <w:tcPr>
            <w:tcW w:w="1701" w:type="dxa"/>
          </w:tcPr>
          <w:p w14:paraId="3B7E9EA4" w14:textId="3C7BADF9" w:rsidR="00B51B1D" w:rsidRDefault="00B51B1D" w:rsidP="00F51D36">
            <w:pPr>
              <w:rPr>
                <w:rFonts w:ascii="Tahoma" w:hAnsi="Tahoma" w:cs="Tahoma"/>
              </w:rPr>
            </w:pPr>
            <w:r>
              <w:rPr>
                <w:rFonts w:ascii="Tahoma" w:hAnsi="Tahoma" w:cs="Tahoma"/>
              </w:rPr>
              <w:t>3,650</w:t>
            </w:r>
          </w:p>
        </w:tc>
      </w:tr>
      <w:tr w:rsidR="00990E63" w14:paraId="383C763A" w14:textId="77777777" w:rsidTr="00990E63">
        <w:tc>
          <w:tcPr>
            <w:tcW w:w="2405" w:type="dxa"/>
          </w:tcPr>
          <w:p w14:paraId="186987C1" w14:textId="72BFCE59" w:rsidR="00B51B1D" w:rsidRDefault="00B51B1D" w:rsidP="00F51D36">
            <w:pPr>
              <w:rPr>
                <w:rFonts w:ascii="Tahoma" w:hAnsi="Tahoma" w:cs="Tahoma"/>
              </w:rPr>
            </w:pPr>
            <w:r>
              <w:rPr>
                <w:rFonts w:ascii="Tahoma" w:hAnsi="Tahoma" w:cs="Tahoma"/>
              </w:rPr>
              <w:t>April 24 – March 25</w:t>
            </w:r>
            <w:r w:rsidR="00990E63">
              <w:rPr>
                <w:rFonts w:ascii="Tahoma" w:hAnsi="Tahoma" w:cs="Tahoma"/>
              </w:rPr>
              <w:t>**</w:t>
            </w:r>
          </w:p>
        </w:tc>
        <w:tc>
          <w:tcPr>
            <w:tcW w:w="1701" w:type="dxa"/>
          </w:tcPr>
          <w:p w14:paraId="2389B023" w14:textId="69AE3D94" w:rsidR="00B51B1D" w:rsidRDefault="00B51B1D" w:rsidP="00F51D36">
            <w:pPr>
              <w:rPr>
                <w:rFonts w:ascii="Tahoma" w:hAnsi="Tahoma" w:cs="Tahoma"/>
              </w:rPr>
            </w:pPr>
            <w:r>
              <w:rPr>
                <w:rFonts w:ascii="Tahoma" w:hAnsi="Tahoma" w:cs="Tahoma"/>
              </w:rPr>
              <w:t>72,857</w:t>
            </w:r>
          </w:p>
        </w:tc>
        <w:tc>
          <w:tcPr>
            <w:tcW w:w="1843" w:type="dxa"/>
          </w:tcPr>
          <w:p w14:paraId="7436EAF4" w14:textId="7AD73634" w:rsidR="00B51B1D" w:rsidRDefault="00B51B1D" w:rsidP="00F51D36">
            <w:pPr>
              <w:rPr>
                <w:rFonts w:ascii="Tahoma" w:hAnsi="Tahoma" w:cs="Tahoma"/>
              </w:rPr>
            </w:pPr>
            <w:r>
              <w:rPr>
                <w:rFonts w:ascii="Tahoma" w:hAnsi="Tahoma" w:cs="Tahoma"/>
              </w:rPr>
              <w:t>565</w:t>
            </w:r>
          </w:p>
        </w:tc>
        <w:tc>
          <w:tcPr>
            <w:tcW w:w="1701" w:type="dxa"/>
          </w:tcPr>
          <w:p w14:paraId="79E09457" w14:textId="4E79AA6F" w:rsidR="00B51B1D" w:rsidRDefault="00B51B1D" w:rsidP="00F51D36">
            <w:pPr>
              <w:rPr>
                <w:rFonts w:ascii="Tahoma" w:hAnsi="Tahoma" w:cs="Tahoma"/>
              </w:rPr>
            </w:pPr>
            <w:r>
              <w:rPr>
                <w:rFonts w:ascii="Tahoma" w:hAnsi="Tahoma" w:cs="Tahoma"/>
              </w:rPr>
              <w:t>33</w:t>
            </w:r>
          </w:p>
        </w:tc>
        <w:tc>
          <w:tcPr>
            <w:tcW w:w="1701" w:type="dxa"/>
          </w:tcPr>
          <w:p w14:paraId="37A7B7A1" w14:textId="5E82D436" w:rsidR="00B51B1D" w:rsidRDefault="00B51B1D" w:rsidP="00F51D36">
            <w:pPr>
              <w:rPr>
                <w:rFonts w:ascii="Tahoma" w:hAnsi="Tahoma" w:cs="Tahoma"/>
              </w:rPr>
            </w:pPr>
            <w:r>
              <w:rPr>
                <w:rFonts w:ascii="Tahoma" w:hAnsi="Tahoma" w:cs="Tahoma"/>
              </w:rPr>
              <w:t>3,406</w:t>
            </w:r>
          </w:p>
        </w:tc>
      </w:tr>
    </w:tbl>
    <w:p w14:paraId="02952E27" w14:textId="698F8C41" w:rsidR="002F7994" w:rsidRPr="00990E63" w:rsidRDefault="002F7994" w:rsidP="001C3DB0">
      <w:pPr>
        <w:spacing w:after="0" w:line="240" w:lineRule="auto"/>
        <w:rPr>
          <w:rFonts w:ascii="Tahoma" w:hAnsi="Tahoma" w:cs="Tahoma"/>
          <w:i/>
          <w:iCs/>
          <w:sz w:val="20"/>
          <w:szCs w:val="20"/>
        </w:rPr>
      </w:pPr>
      <w:r w:rsidRPr="002F7994">
        <w:rPr>
          <w:rFonts w:ascii="Tahoma" w:hAnsi="Tahoma" w:cs="Tahoma"/>
          <w:i/>
          <w:iCs/>
        </w:rPr>
        <w:t>*</w:t>
      </w:r>
      <w:r w:rsidRPr="00990E63">
        <w:rPr>
          <w:rFonts w:ascii="Tahoma" w:hAnsi="Tahoma" w:cs="Tahoma"/>
          <w:i/>
          <w:iCs/>
          <w:sz w:val="20"/>
          <w:szCs w:val="20"/>
        </w:rPr>
        <w:t>Excludes data from October and November 2022</w:t>
      </w:r>
    </w:p>
    <w:p w14:paraId="4477F591" w14:textId="29794252" w:rsidR="002F7994" w:rsidRPr="00990E63" w:rsidRDefault="00990E63" w:rsidP="001C3DB0">
      <w:pPr>
        <w:spacing w:after="0" w:line="240" w:lineRule="auto"/>
        <w:rPr>
          <w:rFonts w:ascii="Tahoma" w:hAnsi="Tahoma" w:cs="Tahoma"/>
          <w:i/>
          <w:iCs/>
          <w:sz w:val="20"/>
          <w:szCs w:val="20"/>
        </w:rPr>
      </w:pPr>
      <w:r>
        <w:rPr>
          <w:rFonts w:ascii="Tahoma" w:hAnsi="Tahoma" w:cs="Tahoma"/>
          <w:i/>
          <w:iCs/>
          <w:sz w:val="20"/>
          <w:szCs w:val="20"/>
        </w:rPr>
        <w:t>**</w:t>
      </w:r>
      <w:r w:rsidR="002F7994" w:rsidRPr="00990E63">
        <w:rPr>
          <w:rFonts w:ascii="Tahoma" w:hAnsi="Tahoma" w:cs="Tahoma"/>
          <w:i/>
          <w:iCs/>
          <w:sz w:val="20"/>
          <w:szCs w:val="20"/>
        </w:rPr>
        <w:t xml:space="preserve">2024/25 data is currently incomplete with data still working through the system. </w:t>
      </w:r>
    </w:p>
    <w:p w14:paraId="0CF14EDB" w14:textId="77777777" w:rsidR="001C3DB0" w:rsidRDefault="001C3DB0" w:rsidP="001C3DB0">
      <w:pPr>
        <w:spacing w:after="0" w:line="240" w:lineRule="auto"/>
        <w:rPr>
          <w:rFonts w:ascii="Tahoma" w:hAnsi="Tahoma" w:cs="Tahoma"/>
        </w:rPr>
      </w:pPr>
    </w:p>
    <w:p w14:paraId="3F08FE75" w14:textId="3451EFB4" w:rsidR="002F7994" w:rsidRDefault="00990E63" w:rsidP="001C3DB0">
      <w:pPr>
        <w:spacing w:after="0" w:line="240" w:lineRule="auto"/>
        <w:rPr>
          <w:rFonts w:ascii="Tahoma" w:hAnsi="Tahoma" w:cs="Tahoma"/>
        </w:rPr>
      </w:pPr>
      <w:r>
        <w:rPr>
          <w:rFonts w:ascii="Tahoma" w:hAnsi="Tahoma" w:cs="Tahoma"/>
        </w:rPr>
        <w:t>Working alongside Divisional teams, t</w:t>
      </w:r>
      <w:r w:rsidR="002F7994">
        <w:rPr>
          <w:rFonts w:ascii="Tahoma" w:hAnsi="Tahoma" w:cs="Tahoma"/>
        </w:rPr>
        <w:t>he Force has dedicated functions in this area, in the form of the Roads Policing Unit, the Road Safety Unit, and a Special Constabulary Roads Policing Unit</w:t>
      </w:r>
      <w:r>
        <w:rPr>
          <w:rFonts w:ascii="Tahoma" w:hAnsi="Tahoma" w:cs="Tahoma"/>
        </w:rPr>
        <w:t xml:space="preserve">; </w:t>
      </w:r>
      <w:r w:rsidR="002F7994">
        <w:rPr>
          <w:rFonts w:ascii="Tahoma" w:hAnsi="Tahoma" w:cs="Tahoma"/>
        </w:rPr>
        <w:t xml:space="preserve">all of whom work to the Force’s priorities and support Vision Zero and national campaigns.  </w:t>
      </w:r>
      <w:r w:rsidR="001C3DB0">
        <w:rPr>
          <w:rFonts w:ascii="Tahoma" w:hAnsi="Tahoma" w:cs="Tahoma"/>
        </w:rPr>
        <w:t xml:space="preserve">The teams continue to </w:t>
      </w:r>
      <w:r>
        <w:rPr>
          <w:rFonts w:ascii="Tahoma" w:hAnsi="Tahoma" w:cs="Tahoma"/>
        </w:rPr>
        <w:t>use</w:t>
      </w:r>
      <w:r w:rsidR="001C3DB0">
        <w:rPr>
          <w:rFonts w:ascii="Tahoma" w:hAnsi="Tahoma" w:cs="Tahoma"/>
        </w:rPr>
        <w:t xml:space="preserve"> a number of proactive tactics and operations to educate, prevent and enforce road safety, and the number of officers training in Tru Cam enforcement, which can detect multiple offences at one time, has also increased.  </w:t>
      </w:r>
    </w:p>
    <w:p w14:paraId="0A7C27EA" w14:textId="77777777" w:rsidR="00BB67F8" w:rsidRDefault="00BB67F8" w:rsidP="00725EDF">
      <w:pPr>
        <w:pStyle w:val="ListParagraph"/>
        <w:spacing w:after="0" w:line="240" w:lineRule="auto"/>
        <w:ind w:left="0"/>
        <w:rPr>
          <w:rFonts w:ascii="Tahoma" w:hAnsi="Tahoma" w:cs="Tahoma"/>
          <w:b/>
          <w:bCs/>
          <w:color w:val="000000" w:themeColor="text1"/>
          <w:u w:val="single"/>
        </w:rPr>
      </w:pPr>
    </w:p>
    <w:p w14:paraId="3011EA08" w14:textId="17DD9E51" w:rsidR="00B04509" w:rsidRPr="00725EDF" w:rsidRDefault="00B04509" w:rsidP="00B04509">
      <w:pPr>
        <w:shd w:val="clear" w:color="auto" w:fill="FFFF00"/>
        <w:spacing w:after="0" w:line="240" w:lineRule="auto"/>
        <w:rPr>
          <w:rFonts w:ascii="Tahoma" w:hAnsi="Tahoma" w:cs="Tahoma"/>
          <w:b/>
          <w:bCs/>
          <w:color w:val="000000" w:themeColor="text1"/>
        </w:rPr>
      </w:pPr>
      <w:r w:rsidRPr="00725EDF">
        <w:rPr>
          <w:rFonts w:ascii="Tahoma" w:hAnsi="Tahoma" w:cs="Tahoma"/>
          <w:b/>
          <w:bCs/>
          <w:color w:val="000000" w:themeColor="text1"/>
        </w:rPr>
        <w:t xml:space="preserve">Priority: </w:t>
      </w:r>
      <w:r>
        <w:rPr>
          <w:rFonts w:ascii="Tahoma" w:hAnsi="Tahoma" w:cs="Tahoma"/>
          <w:b/>
          <w:bCs/>
          <w:color w:val="000000" w:themeColor="text1"/>
        </w:rPr>
        <w:t>Protect Young People and Provide Opportunities</w:t>
      </w:r>
    </w:p>
    <w:p w14:paraId="39C40097" w14:textId="77777777" w:rsidR="00B04509" w:rsidRDefault="00B04509" w:rsidP="00725EDF">
      <w:pPr>
        <w:pStyle w:val="ListParagraph"/>
        <w:spacing w:after="0" w:line="240" w:lineRule="auto"/>
        <w:ind w:left="0"/>
        <w:rPr>
          <w:rFonts w:ascii="Tahoma" w:hAnsi="Tahoma" w:cs="Tahoma"/>
          <w:b/>
          <w:bCs/>
          <w:color w:val="000000" w:themeColor="text1"/>
          <w:u w:val="single"/>
        </w:rPr>
      </w:pPr>
    </w:p>
    <w:p w14:paraId="70E682C2" w14:textId="29A18791" w:rsidR="00FB35E1" w:rsidRPr="002F60E9" w:rsidRDefault="00FB35E1" w:rsidP="003B1CA5">
      <w:pPr>
        <w:pStyle w:val="ListParagraph"/>
        <w:spacing w:after="0" w:line="240" w:lineRule="auto"/>
        <w:ind w:left="0"/>
        <w:rPr>
          <w:rFonts w:ascii="Tahoma" w:hAnsi="Tahoma" w:cs="Tahoma"/>
          <w:b/>
          <w:bCs/>
          <w:u w:val="single"/>
        </w:rPr>
      </w:pPr>
      <w:r w:rsidRPr="002F60E9">
        <w:rPr>
          <w:rFonts w:ascii="Tahoma" w:hAnsi="Tahoma" w:cs="Tahoma"/>
          <w:b/>
          <w:bCs/>
          <w:u w:val="single"/>
        </w:rPr>
        <w:t>Child Protection</w:t>
      </w:r>
    </w:p>
    <w:p w14:paraId="297242B4" w14:textId="77777777" w:rsidR="003B1CA5" w:rsidRPr="007979B4" w:rsidRDefault="003B1CA5" w:rsidP="003B1CA5">
      <w:pPr>
        <w:pStyle w:val="ListParagraph"/>
        <w:spacing w:after="0" w:line="240" w:lineRule="auto"/>
        <w:ind w:left="0"/>
        <w:rPr>
          <w:rFonts w:ascii="Tahoma" w:hAnsi="Tahoma" w:cs="Tahoma"/>
          <w:b/>
          <w:bCs/>
        </w:rPr>
      </w:pPr>
    </w:p>
    <w:tbl>
      <w:tblPr>
        <w:tblW w:w="9277" w:type="dxa"/>
        <w:jc w:val="center"/>
        <w:tblLayout w:type="fixed"/>
        <w:tblLook w:val="04A0" w:firstRow="1" w:lastRow="0" w:firstColumn="1" w:lastColumn="0" w:noHBand="0" w:noVBand="1"/>
      </w:tblPr>
      <w:tblGrid>
        <w:gridCol w:w="2830"/>
        <w:gridCol w:w="2149"/>
        <w:gridCol w:w="2149"/>
        <w:gridCol w:w="2149"/>
      </w:tblGrid>
      <w:tr w:rsidR="00AE2870" w:rsidRPr="007979B4" w14:paraId="360008CE" w14:textId="77777777" w:rsidTr="004F4D6F">
        <w:trPr>
          <w:trHeight w:val="556"/>
          <w:jc w:val="center"/>
        </w:trPr>
        <w:tc>
          <w:tcPr>
            <w:tcW w:w="2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1DF562" w14:textId="77777777" w:rsidR="00AE2870" w:rsidRPr="007979B4" w:rsidRDefault="00AE2870" w:rsidP="00725EDF">
            <w:pPr>
              <w:spacing w:after="0" w:line="240" w:lineRule="auto"/>
              <w:rPr>
                <w:rFonts w:ascii="Tahoma" w:hAnsi="Tahoma" w:cs="Tahoma"/>
              </w:rPr>
            </w:pPr>
            <w:r w:rsidRPr="007979B4">
              <w:rPr>
                <w:rFonts w:ascii="Tahoma" w:hAnsi="Tahoma" w:cs="Tahoma"/>
              </w:rPr>
              <w:t>FY Period</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55B6D37" w14:textId="77777777" w:rsidR="00AE2870" w:rsidRPr="007979B4" w:rsidRDefault="00AE2870" w:rsidP="00725EDF">
            <w:pPr>
              <w:spacing w:after="0" w:line="240" w:lineRule="auto"/>
              <w:rPr>
                <w:rFonts w:ascii="Tahoma" w:hAnsi="Tahoma" w:cs="Tahoma"/>
              </w:rPr>
            </w:pPr>
            <w:r w:rsidRPr="007979B4">
              <w:rPr>
                <w:rFonts w:ascii="Tahoma" w:hAnsi="Tahoma" w:cs="Tahoma"/>
              </w:rPr>
              <w:t>Recorded Crime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F79D528" w14:textId="77777777" w:rsidR="00AE2870" w:rsidRPr="007979B4" w:rsidRDefault="00AE2870" w:rsidP="00725EDF">
            <w:pPr>
              <w:spacing w:after="0" w:line="240" w:lineRule="auto"/>
              <w:rPr>
                <w:rFonts w:ascii="Tahoma" w:hAnsi="Tahoma" w:cs="Tahoma"/>
              </w:rPr>
            </w:pPr>
            <w:r w:rsidRPr="007979B4">
              <w:rPr>
                <w:rFonts w:ascii="Tahoma" w:hAnsi="Tahoma" w:cs="Tahoma"/>
              </w:rPr>
              <w:t>% Change</w:t>
            </w:r>
          </w:p>
        </w:tc>
        <w:tc>
          <w:tcPr>
            <w:tcW w:w="21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FF35B3C" w14:textId="77777777" w:rsidR="00AE2870" w:rsidRPr="007979B4" w:rsidRDefault="00AE2870" w:rsidP="00725EDF">
            <w:pPr>
              <w:spacing w:after="0" w:line="240" w:lineRule="auto"/>
              <w:rPr>
                <w:rFonts w:ascii="Tahoma" w:hAnsi="Tahoma" w:cs="Tahoma"/>
              </w:rPr>
            </w:pPr>
            <w:r w:rsidRPr="007979B4">
              <w:rPr>
                <w:rFonts w:ascii="Tahoma" w:hAnsi="Tahoma" w:cs="Tahoma"/>
              </w:rPr>
              <w:t>Number change</w:t>
            </w:r>
          </w:p>
        </w:tc>
      </w:tr>
      <w:tr w:rsidR="00FC0C2F" w:rsidRPr="007979B4" w14:paraId="6B36329C"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hideMark/>
          </w:tcPr>
          <w:p w14:paraId="3A5E91FD" w14:textId="77777777" w:rsidR="00FC0C2F" w:rsidRPr="007979B4" w:rsidRDefault="00FC0C2F" w:rsidP="00725EDF">
            <w:pPr>
              <w:spacing w:after="0" w:line="240" w:lineRule="auto"/>
              <w:rPr>
                <w:rFonts w:ascii="Tahoma" w:hAnsi="Tahoma" w:cs="Tahoma"/>
              </w:rPr>
            </w:pPr>
            <w:r w:rsidRPr="007979B4">
              <w:rPr>
                <w:rFonts w:ascii="Tahoma" w:hAnsi="Tahoma" w:cs="Tahoma"/>
              </w:rPr>
              <w:t>April 2021 - March 2022</w:t>
            </w:r>
          </w:p>
        </w:tc>
        <w:tc>
          <w:tcPr>
            <w:tcW w:w="2149" w:type="dxa"/>
            <w:tcBorders>
              <w:top w:val="nil"/>
              <w:left w:val="nil"/>
              <w:bottom w:val="single" w:sz="8" w:space="0" w:color="auto"/>
              <w:right w:val="single" w:sz="8" w:space="0" w:color="auto"/>
            </w:tcBorders>
            <w:shd w:val="clear" w:color="auto" w:fill="auto"/>
            <w:vAlign w:val="center"/>
          </w:tcPr>
          <w:p w14:paraId="591377DE" w14:textId="42C74EB1" w:rsidR="00FC0C2F" w:rsidRPr="007979B4" w:rsidRDefault="00FC0C2F" w:rsidP="00725EDF">
            <w:pPr>
              <w:spacing w:after="0" w:line="240" w:lineRule="auto"/>
              <w:rPr>
                <w:rFonts w:ascii="Tahoma" w:hAnsi="Tahoma" w:cs="Tahoma"/>
                <w:color w:val="FF0000"/>
              </w:rPr>
            </w:pPr>
            <w:r w:rsidRPr="007979B4">
              <w:rPr>
                <w:rFonts w:ascii="Tahoma" w:hAnsi="Tahoma" w:cs="Tahoma"/>
                <w:color w:val="000000"/>
              </w:rPr>
              <w:t>11999</w:t>
            </w:r>
          </w:p>
        </w:tc>
        <w:tc>
          <w:tcPr>
            <w:tcW w:w="2149" w:type="dxa"/>
            <w:tcBorders>
              <w:top w:val="nil"/>
              <w:left w:val="nil"/>
              <w:bottom w:val="single" w:sz="8" w:space="0" w:color="auto"/>
              <w:right w:val="single" w:sz="8" w:space="0" w:color="auto"/>
            </w:tcBorders>
            <w:shd w:val="clear" w:color="auto" w:fill="auto"/>
            <w:noWrap/>
            <w:vAlign w:val="center"/>
          </w:tcPr>
          <w:p w14:paraId="5AEA5B22" w14:textId="13D24A5A" w:rsidR="00FC0C2F" w:rsidRPr="007979B4" w:rsidRDefault="00FC0C2F" w:rsidP="00725EDF">
            <w:pPr>
              <w:spacing w:after="0" w:line="240" w:lineRule="auto"/>
              <w:rPr>
                <w:rFonts w:ascii="Tahoma" w:hAnsi="Tahoma" w:cs="Tahoma"/>
                <w:color w:val="FF0000"/>
              </w:rPr>
            </w:pPr>
            <w:r w:rsidRPr="007979B4">
              <w:rPr>
                <w:rFonts w:ascii="Tahoma" w:hAnsi="Tahoma" w:cs="Tahoma"/>
                <w:color w:val="000000"/>
              </w:rPr>
              <w:t>42.1%</w:t>
            </w:r>
          </w:p>
        </w:tc>
        <w:tc>
          <w:tcPr>
            <w:tcW w:w="2149" w:type="dxa"/>
            <w:tcBorders>
              <w:top w:val="nil"/>
              <w:left w:val="nil"/>
              <w:bottom w:val="single" w:sz="8" w:space="0" w:color="auto"/>
              <w:right w:val="single" w:sz="8" w:space="0" w:color="auto"/>
            </w:tcBorders>
            <w:shd w:val="clear" w:color="auto" w:fill="auto"/>
            <w:noWrap/>
            <w:vAlign w:val="center"/>
          </w:tcPr>
          <w:p w14:paraId="6BB71F3C" w14:textId="5D0D784F" w:rsidR="00FC0C2F" w:rsidRPr="007979B4" w:rsidRDefault="00FC0C2F" w:rsidP="00725EDF">
            <w:pPr>
              <w:spacing w:after="0" w:line="240" w:lineRule="auto"/>
              <w:rPr>
                <w:rFonts w:ascii="Tahoma" w:hAnsi="Tahoma" w:cs="Tahoma"/>
                <w:color w:val="FF0000"/>
              </w:rPr>
            </w:pPr>
            <w:r w:rsidRPr="007979B4">
              <w:rPr>
                <w:rFonts w:ascii="Tahoma" w:hAnsi="Tahoma" w:cs="Tahoma"/>
                <w:color w:val="000000"/>
              </w:rPr>
              <w:t>3554</w:t>
            </w:r>
          </w:p>
        </w:tc>
      </w:tr>
      <w:tr w:rsidR="00FC0C2F" w:rsidRPr="007979B4" w14:paraId="618D1B8A"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19408794" w14:textId="77777777" w:rsidR="00FC0C2F" w:rsidRPr="007979B4" w:rsidRDefault="00FC0C2F" w:rsidP="00725EDF">
            <w:pPr>
              <w:spacing w:after="0" w:line="240" w:lineRule="auto"/>
              <w:rPr>
                <w:rFonts w:ascii="Tahoma" w:hAnsi="Tahoma" w:cs="Tahoma"/>
              </w:rPr>
            </w:pPr>
            <w:r w:rsidRPr="007979B4">
              <w:rPr>
                <w:rFonts w:ascii="Tahoma" w:hAnsi="Tahoma" w:cs="Tahoma"/>
              </w:rPr>
              <w:t>April 2022 - March 2023</w:t>
            </w:r>
          </w:p>
        </w:tc>
        <w:tc>
          <w:tcPr>
            <w:tcW w:w="2149" w:type="dxa"/>
            <w:tcBorders>
              <w:top w:val="nil"/>
              <w:left w:val="nil"/>
              <w:bottom w:val="single" w:sz="8" w:space="0" w:color="auto"/>
              <w:right w:val="single" w:sz="8" w:space="0" w:color="auto"/>
            </w:tcBorders>
            <w:shd w:val="clear" w:color="auto" w:fill="auto"/>
            <w:noWrap/>
            <w:vAlign w:val="center"/>
          </w:tcPr>
          <w:p w14:paraId="5B9E0AD0" w14:textId="2B4FAF29" w:rsidR="00FC0C2F" w:rsidRPr="007979B4" w:rsidRDefault="00FC0C2F" w:rsidP="00725EDF">
            <w:pPr>
              <w:spacing w:after="0" w:line="240" w:lineRule="auto"/>
              <w:rPr>
                <w:rFonts w:ascii="Tahoma" w:hAnsi="Tahoma" w:cs="Tahoma"/>
                <w:color w:val="FF0000"/>
              </w:rPr>
            </w:pPr>
            <w:r w:rsidRPr="007979B4">
              <w:rPr>
                <w:rFonts w:ascii="Tahoma" w:hAnsi="Tahoma" w:cs="Tahoma"/>
                <w:color w:val="000000"/>
              </w:rPr>
              <w:t>11963</w:t>
            </w:r>
          </w:p>
        </w:tc>
        <w:tc>
          <w:tcPr>
            <w:tcW w:w="2149" w:type="dxa"/>
            <w:tcBorders>
              <w:top w:val="nil"/>
              <w:left w:val="nil"/>
              <w:bottom w:val="single" w:sz="8" w:space="0" w:color="auto"/>
              <w:right w:val="single" w:sz="8" w:space="0" w:color="auto"/>
            </w:tcBorders>
            <w:shd w:val="clear" w:color="auto" w:fill="auto"/>
            <w:noWrap/>
            <w:vAlign w:val="center"/>
          </w:tcPr>
          <w:p w14:paraId="5911A36E" w14:textId="292AAF1C" w:rsidR="00FC0C2F" w:rsidRPr="007979B4" w:rsidRDefault="00FC0C2F" w:rsidP="00725EDF">
            <w:pPr>
              <w:spacing w:after="0" w:line="240" w:lineRule="auto"/>
              <w:rPr>
                <w:rFonts w:ascii="Tahoma" w:hAnsi="Tahoma" w:cs="Tahoma"/>
                <w:color w:val="FF0000"/>
              </w:rPr>
            </w:pPr>
            <w:r w:rsidRPr="007979B4">
              <w:rPr>
                <w:rFonts w:ascii="Tahoma" w:hAnsi="Tahoma" w:cs="Tahoma"/>
                <w:color w:val="000000"/>
              </w:rPr>
              <w:t>-0.3%</w:t>
            </w:r>
          </w:p>
        </w:tc>
        <w:tc>
          <w:tcPr>
            <w:tcW w:w="2149" w:type="dxa"/>
            <w:tcBorders>
              <w:top w:val="nil"/>
              <w:left w:val="nil"/>
              <w:bottom w:val="single" w:sz="8" w:space="0" w:color="auto"/>
              <w:right w:val="single" w:sz="8" w:space="0" w:color="auto"/>
            </w:tcBorders>
            <w:shd w:val="clear" w:color="auto" w:fill="auto"/>
            <w:noWrap/>
            <w:vAlign w:val="center"/>
          </w:tcPr>
          <w:p w14:paraId="14B792F2" w14:textId="5B6FEDC8" w:rsidR="00FC0C2F" w:rsidRPr="007979B4" w:rsidRDefault="00FC0C2F" w:rsidP="00725EDF">
            <w:pPr>
              <w:spacing w:after="0" w:line="240" w:lineRule="auto"/>
              <w:rPr>
                <w:rFonts w:ascii="Tahoma" w:hAnsi="Tahoma" w:cs="Tahoma"/>
                <w:color w:val="FF0000"/>
              </w:rPr>
            </w:pPr>
            <w:r w:rsidRPr="007979B4">
              <w:rPr>
                <w:rFonts w:ascii="Tahoma" w:hAnsi="Tahoma" w:cs="Tahoma"/>
                <w:color w:val="000000"/>
              </w:rPr>
              <w:t>-36</w:t>
            </w:r>
          </w:p>
        </w:tc>
      </w:tr>
      <w:tr w:rsidR="00FC0C2F" w:rsidRPr="007979B4" w14:paraId="1FD9B8B7" w14:textId="77777777" w:rsidTr="004F4D6F">
        <w:trPr>
          <w:trHeight w:val="210"/>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7D665DDD" w14:textId="77777777" w:rsidR="00FC0C2F" w:rsidRPr="007979B4" w:rsidRDefault="00FC0C2F" w:rsidP="00725EDF">
            <w:pPr>
              <w:spacing w:after="0" w:line="240" w:lineRule="auto"/>
              <w:rPr>
                <w:rFonts w:ascii="Tahoma" w:hAnsi="Tahoma" w:cs="Tahoma"/>
              </w:rPr>
            </w:pPr>
            <w:r w:rsidRPr="007979B4">
              <w:rPr>
                <w:rFonts w:ascii="Tahoma" w:hAnsi="Tahoma" w:cs="Tahoma"/>
              </w:rPr>
              <w:t>April 2023 - March 2024</w:t>
            </w:r>
          </w:p>
        </w:tc>
        <w:tc>
          <w:tcPr>
            <w:tcW w:w="2149" w:type="dxa"/>
            <w:tcBorders>
              <w:top w:val="nil"/>
              <w:left w:val="nil"/>
              <w:bottom w:val="single" w:sz="8" w:space="0" w:color="auto"/>
              <w:right w:val="single" w:sz="8" w:space="0" w:color="auto"/>
            </w:tcBorders>
            <w:shd w:val="clear" w:color="auto" w:fill="auto"/>
            <w:noWrap/>
            <w:vAlign w:val="center"/>
          </w:tcPr>
          <w:p w14:paraId="5B2BD43B" w14:textId="17FB930C" w:rsidR="00FC0C2F" w:rsidRPr="007979B4" w:rsidRDefault="00FC0C2F" w:rsidP="00725EDF">
            <w:pPr>
              <w:spacing w:after="0" w:line="240" w:lineRule="auto"/>
              <w:rPr>
                <w:rFonts w:ascii="Tahoma" w:hAnsi="Tahoma" w:cs="Tahoma"/>
                <w:color w:val="FF0000"/>
              </w:rPr>
            </w:pPr>
            <w:r w:rsidRPr="007979B4">
              <w:rPr>
                <w:rFonts w:ascii="Tahoma" w:hAnsi="Tahoma" w:cs="Tahoma"/>
                <w:color w:val="000000"/>
              </w:rPr>
              <w:t>12339</w:t>
            </w:r>
          </w:p>
        </w:tc>
        <w:tc>
          <w:tcPr>
            <w:tcW w:w="2149" w:type="dxa"/>
            <w:tcBorders>
              <w:top w:val="nil"/>
              <w:left w:val="nil"/>
              <w:bottom w:val="single" w:sz="8" w:space="0" w:color="auto"/>
              <w:right w:val="single" w:sz="8" w:space="0" w:color="auto"/>
            </w:tcBorders>
            <w:shd w:val="clear" w:color="auto" w:fill="auto"/>
            <w:noWrap/>
            <w:vAlign w:val="center"/>
          </w:tcPr>
          <w:p w14:paraId="3B79B978" w14:textId="56F04807" w:rsidR="00FC0C2F" w:rsidRPr="007979B4" w:rsidRDefault="00FC0C2F" w:rsidP="00725EDF">
            <w:pPr>
              <w:spacing w:after="0" w:line="240" w:lineRule="auto"/>
              <w:rPr>
                <w:rFonts w:ascii="Tahoma" w:hAnsi="Tahoma" w:cs="Tahoma"/>
                <w:color w:val="FF0000"/>
              </w:rPr>
            </w:pPr>
            <w:r w:rsidRPr="007979B4">
              <w:rPr>
                <w:rFonts w:ascii="Tahoma" w:hAnsi="Tahoma" w:cs="Tahoma"/>
                <w:color w:val="000000"/>
              </w:rPr>
              <w:t>3.1%</w:t>
            </w:r>
          </w:p>
        </w:tc>
        <w:tc>
          <w:tcPr>
            <w:tcW w:w="2149" w:type="dxa"/>
            <w:tcBorders>
              <w:top w:val="nil"/>
              <w:left w:val="nil"/>
              <w:bottom w:val="single" w:sz="8" w:space="0" w:color="auto"/>
              <w:right w:val="single" w:sz="8" w:space="0" w:color="auto"/>
            </w:tcBorders>
            <w:shd w:val="clear" w:color="auto" w:fill="auto"/>
            <w:noWrap/>
            <w:vAlign w:val="center"/>
          </w:tcPr>
          <w:p w14:paraId="47CD08DC" w14:textId="62A32EAA" w:rsidR="00FC0C2F" w:rsidRPr="007979B4" w:rsidRDefault="00FC0C2F" w:rsidP="00725EDF">
            <w:pPr>
              <w:spacing w:after="0" w:line="240" w:lineRule="auto"/>
              <w:rPr>
                <w:rFonts w:ascii="Tahoma" w:hAnsi="Tahoma" w:cs="Tahoma"/>
                <w:color w:val="FF0000"/>
              </w:rPr>
            </w:pPr>
            <w:r w:rsidRPr="007979B4">
              <w:rPr>
                <w:rFonts w:ascii="Tahoma" w:hAnsi="Tahoma" w:cs="Tahoma"/>
                <w:color w:val="000000"/>
              </w:rPr>
              <w:t>376</w:t>
            </w:r>
          </w:p>
        </w:tc>
      </w:tr>
      <w:tr w:rsidR="00FC0C2F" w:rsidRPr="007979B4" w14:paraId="7C93C39A" w14:textId="77777777" w:rsidTr="004F4D6F">
        <w:trPr>
          <w:trHeight w:val="2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7E900152" w14:textId="77777777" w:rsidR="00FC0C2F" w:rsidRPr="007979B4" w:rsidRDefault="00FC0C2F" w:rsidP="00725EDF">
            <w:pPr>
              <w:spacing w:after="0" w:line="240" w:lineRule="auto"/>
              <w:rPr>
                <w:rFonts w:ascii="Tahoma" w:hAnsi="Tahoma" w:cs="Tahoma"/>
              </w:rPr>
            </w:pPr>
            <w:r w:rsidRPr="007979B4">
              <w:rPr>
                <w:rFonts w:ascii="Tahoma" w:hAnsi="Tahoma" w:cs="Tahoma"/>
              </w:rPr>
              <w:t>April 2024 - March 2025</w:t>
            </w:r>
          </w:p>
        </w:tc>
        <w:tc>
          <w:tcPr>
            <w:tcW w:w="2149" w:type="dxa"/>
            <w:tcBorders>
              <w:top w:val="nil"/>
              <w:left w:val="nil"/>
              <w:bottom w:val="single" w:sz="8" w:space="0" w:color="auto"/>
              <w:right w:val="single" w:sz="8" w:space="0" w:color="auto"/>
            </w:tcBorders>
            <w:shd w:val="clear" w:color="auto" w:fill="auto"/>
            <w:noWrap/>
            <w:vAlign w:val="center"/>
          </w:tcPr>
          <w:p w14:paraId="758F9382" w14:textId="66F2732E" w:rsidR="00FC0C2F" w:rsidRPr="007979B4" w:rsidRDefault="00FC0C2F" w:rsidP="00725EDF">
            <w:pPr>
              <w:spacing w:after="0" w:line="240" w:lineRule="auto"/>
              <w:rPr>
                <w:rFonts w:ascii="Tahoma" w:hAnsi="Tahoma" w:cs="Tahoma"/>
                <w:color w:val="FF0000"/>
              </w:rPr>
            </w:pPr>
            <w:r w:rsidRPr="007979B4">
              <w:rPr>
                <w:rFonts w:ascii="Tahoma" w:hAnsi="Tahoma" w:cs="Tahoma"/>
                <w:color w:val="000000"/>
              </w:rPr>
              <w:t>12321</w:t>
            </w:r>
          </w:p>
        </w:tc>
        <w:tc>
          <w:tcPr>
            <w:tcW w:w="2149" w:type="dxa"/>
            <w:tcBorders>
              <w:top w:val="nil"/>
              <w:left w:val="nil"/>
              <w:bottom w:val="single" w:sz="8" w:space="0" w:color="auto"/>
              <w:right w:val="single" w:sz="8" w:space="0" w:color="auto"/>
            </w:tcBorders>
            <w:shd w:val="clear" w:color="auto" w:fill="auto"/>
            <w:noWrap/>
            <w:vAlign w:val="center"/>
          </w:tcPr>
          <w:p w14:paraId="201AD1A6" w14:textId="046B4E5C" w:rsidR="00FC0C2F" w:rsidRPr="007979B4" w:rsidRDefault="00FC0C2F" w:rsidP="00725EDF">
            <w:pPr>
              <w:spacing w:after="0" w:line="240" w:lineRule="auto"/>
              <w:rPr>
                <w:rFonts w:ascii="Tahoma" w:hAnsi="Tahoma" w:cs="Tahoma"/>
                <w:color w:val="FF0000"/>
              </w:rPr>
            </w:pPr>
            <w:r w:rsidRPr="007979B4">
              <w:rPr>
                <w:rFonts w:ascii="Tahoma" w:hAnsi="Tahoma" w:cs="Tahoma"/>
                <w:color w:val="000000"/>
              </w:rPr>
              <w:t>-0.1%</w:t>
            </w:r>
          </w:p>
        </w:tc>
        <w:tc>
          <w:tcPr>
            <w:tcW w:w="2149" w:type="dxa"/>
            <w:tcBorders>
              <w:top w:val="nil"/>
              <w:left w:val="nil"/>
              <w:bottom w:val="single" w:sz="8" w:space="0" w:color="auto"/>
              <w:right w:val="single" w:sz="8" w:space="0" w:color="auto"/>
            </w:tcBorders>
            <w:shd w:val="clear" w:color="auto" w:fill="auto"/>
            <w:noWrap/>
            <w:vAlign w:val="center"/>
          </w:tcPr>
          <w:p w14:paraId="3FE984AD" w14:textId="4243B34D" w:rsidR="00FC0C2F" w:rsidRPr="007979B4" w:rsidRDefault="00FC0C2F" w:rsidP="00725EDF">
            <w:pPr>
              <w:spacing w:after="0" w:line="240" w:lineRule="auto"/>
              <w:rPr>
                <w:rFonts w:ascii="Tahoma" w:hAnsi="Tahoma" w:cs="Tahoma"/>
                <w:color w:val="FF0000"/>
              </w:rPr>
            </w:pPr>
            <w:r w:rsidRPr="007979B4">
              <w:rPr>
                <w:rFonts w:ascii="Tahoma" w:hAnsi="Tahoma" w:cs="Tahoma"/>
                <w:color w:val="000000"/>
              </w:rPr>
              <w:t>-18</w:t>
            </w:r>
          </w:p>
        </w:tc>
      </w:tr>
      <w:tr w:rsidR="00AE2870" w:rsidRPr="007979B4" w14:paraId="6DAE7402" w14:textId="77777777" w:rsidTr="004F4D6F">
        <w:trPr>
          <w:trHeight w:val="70"/>
          <w:jc w:val="center"/>
        </w:trPr>
        <w:tc>
          <w:tcPr>
            <w:tcW w:w="28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noWrap/>
          </w:tcPr>
          <w:p w14:paraId="4BC3D438" w14:textId="77777777" w:rsidR="00AE2870" w:rsidRPr="007979B4" w:rsidRDefault="00AE2870" w:rsidP="00725ED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nil"/>
              <w:right w:val="single" w:sz="4" w:space="0" w:color="FFFFFF" w:themeColor="background1"/>
            </w:tcBorders>
            <w:shd w:val="clear" w:color="auto" w:fill="FFFFFF" w:themeFill="background1"/>
            <w:noWrap/>
          </w:tcPr>
          <w:p w14:paraId="32B14A20" w14:textId="77777777" w:rsidR="00AE2870" w:rsidRPr="007979B4" w:rsidRDefault="00AE2870" w:rsidP="00725ED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56758909" w14:textId="77777777" w:rsidR="00AE2870" w:rsidRPr="007979B4" w:rsidRDefault="00AE2870" w:rsidP="00725EDF">
            <w:pPr>
              <w:spacing w:after="0" w:line="240" w:lineRule="auto"/>
              <w:rPr>
                <w:rFonts w:ascii="Tahoma" w:hAnsi="Tahoma" w:cs="Tahoma"/>
                <w:color w:val="FF0000"/>
              </w:rPr>
            </w:pPr>
          </w:p>
        </w:tc>
        <w:tc>
          <w:tcPr>
            <w:tcW w:w="21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tcPr>
          <w:p w14:paraId="76170F2F" w14:textId="77777777" w:rsidR="00AE2870" w:rsidRPr="007979B4" w:rsidRDefault="00AE2870" w:rsidP="00725EDF">
            <w:pPr>
              <w:spacing w:after="0" w:line="240" w:lineRule="auto"/>
              <w:rPr>
                <w:rFonts w:ascii="Tahoma" w:hAnsi="Tahoma" w:cs="Tahoma"/>
                <w:color w:val="FF0000"/>
              </w:rPr>
            </w:pPr>
          </w:p>
        </w:tc>
      </w:tr>
      <w:tr w:rsidR="00AE2870" w:rsidRPr="007979B4" w14:paraId="5DC3C068" w14:textId="77777777" w:rsidTr="004F4D6F">
        <w:trPr>
          <w:trHeight w:val="210"/>
          <w:jc w:val="center"/>
        </w:trPr>
        <w:tc>
          <w:tcPr>
            <w:tcW w:w="4979"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noWrap/>
          </w:tcPr>
          <w:p w14:paraId="58A56D55" w14:textId="3CFEDCA2" w:rsidR="00AE2870" w:rsidRPr="003B1CA5" w:rsidRDefault="00AE2870" w:rsidP="00725EDF">
            <w:pPr>
              <w:spacing w:after="0" w:line="240" w:lineRule="auto"/>
              <w:rPr>
                <w:rFonts w:ascii="Tahoma" w:hAnsi="Tahoma" w:cs="Tahoma"/>
                <w:b/>
                <w:bCs/>
                <w:color w:val="FF0000"/>
              </w:rPr>
            </w:pPr>
            <w:r w:rsidRPr="003B1CA5">
              <w:rPr>
                <w:rFonts w:ascii="Tahoma" w:hAnsi="Tahoma" w:cs="Tahoma"/>
                <w:b/>
                <w:bCs/>
              </w:rPr>
              <w:t>4 year</w:t>
            </w:r>
            <w:r w:rsidR="003B1CA5" w:rsidRPr="003B1CA5">
              <w:rPr>
                <w:rFonts w:ascii="Tahoma" w:hAnsi="Tahoma" w:cs="Tahoma"/>
                <w:b/>
                <w:bCs/>
              </w:rPr>
              <w:t>s’</w:t>
            </w:r>
            <w:r w:rsidRPr="003B1CA5">
              <w:rPr>
                <w:rFonts w:ascii="Tahoma" w:hAnsi="Tahoma" w:cs="Tahoma"/>
                <w:b/>
                <w:bCs/>
              </w:rPr>
              <w:t xml:space="preserve"> difference</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5D60326A" w14:textId="0D2AF934" w:rsidR="00AE2870" w:rsidRPr="003B1CA5" w:rsidRDefault="00FC0C2F" w:rsidP="00725EDF">
            <w:pPr>
              <w:spacing w:after="0" w:line="240" w:lineRule="auto"/>
              <w:rPr>
                <w:rFonts w:ascii="Tahoma" w:hAnsi="Tahoma" w:cs="Tahoma"/>
                <w:b/>
                <w:bCs/>
              </w:rPr>
            </w:pPr>
            <w:r w:rsidRPr="003B1CA5">
              <w:rPr>
                <w:rFonts w:ascii="Tahoma" w:hAnsi="Tahoma" w:cs="Tahoma"/>
                <w:b/>
                <w:bCs/>
              </w:rPr>
              <w:t>2.7</w:t>
            </w:r>
            <w:r w:rsidR="00AE2870" w:rsidRPr="003B1CA5">
              <w:rPr>
                <w:rFonts w:ascii="Tahoma" w:hAnsi="Tahoma" w:cs="Tahoma"/>
                <w:b/>
                <w:bCs/>
              </w:rPr>
              <w:t>%</w:t>
            </w:r>
          </w:p>
        </w:tc>
        <w:tc>
          <w:tcPr>
            <w:tcW w:w="2149" w:type="dxa"/>
            <w:tcBorders>
              <w:top w:val="single" w:sz="4" w:space="0" w:color="auto"/>
              <w:left w:val="single" w:sz="4" w:space="0" w:color="auto"/>
              <w:bottom w:val="single" w:sz="4" w:space="0" w:color="auto"/>
              <w:right w:val="single" w:sz="4" w:space="0" w:color="auto"/>
            </w:tcBorders>
            <w:shd w:val="clear" w:color="auto" w:fill="auto"/>
            <w:noWrap/>
          </w:tcPr>
          <w:p w14:paraId="4E7AF2DC" w14:textId="38FAAE14" w:rsidR="00AE2870" w:rsidRPr="003B1CA5" w:rsidRDefault="00FC0C2F" w:rsidP="00725EDF">
            <w:pPr>
              <w:spacing w:after="0" w:line="240" w:lineRule="auto"/>
              <w:rPr>
                <w:rFonts w:ascii="Tahoma" w:hAnsi="Tahoma" w:cs="Tahoma"/>
                <w:b/>
                <w:bCs/>
              </w:rPr>
            </w:pPr>
            <w:r w:rsidRPr="003B1CA5">
              <w:rPr>
                <w:rFonts w:ascii="Tahoma" w:hAnsi="Tahoma" w:cs="Tahoma"/>
                <w:b/>
                <w:bCs/>
              </w:rPr>
              <w:t>322</w:t>
            </w:r>
          </w:p>
        </w:tc>
      </w:tr>
    </w:tbl>
    <w:p w14:paraId="4B474198" w14:textId="77777777" w:rsidR="007D7C6F" w:rsidRPr="007979B4" w:rsidRDefault="007D7C6F" w:rsidP="00725EDF">
      <w:pPr>
        <w:spacing w:after="0" w:line="240" w:lineRule="auto"/>
        <w:rPr>
          <w:rFonts w:ascii="Tahoma" w:hAnsi="Tahoma" w:cs="Tahoma"/>
          <w:color w:val="FF0000"/>
        </w:rPr>
      </w:pPr>
    </w:p>
    <w:p w14:paraId="602B1C38" w14:textId="1D8325A1" w:rsidR="00FB35E1" w:rsidRPr="007979B4" w:rsidRDefault="007D7C6F" w:rsidP="00725EDF">
      <w:pPr>
        <w:spacing w:after="0" w:line="240" w:lineRule="auto"/>
        <w:rPr>
          <w:rFonts w:ascii="Tahoma" w:hAnsi="Tahoma" w:cs="Tahoma"/>
          <w:color w:val="FF0000"/>
        </w:rPr>
      </w:pPr>
      <w:r w:rsidRPr="007979B4">
        <w:rPr>
          <w:rFonts w:ascii="Tahoma" w:hAnsi="Tahoma" w:cs="Tahoma"/>
          <w:noProof/>
          <w:color w:val="FF0000"/>
        </w:rPr>
        <w:drawing>
          <wp:inline distT="0" distB="0" distL="0" distR="0" wp14:anchorId="6FDA7CE9" wp14:editId="38DBA0C0">
            <wp:extent cx="5721350" cy="2101850"/>
            <wp:effectExtent l="0" t="0" r="0" b="0"/>
            <wp:docPr id="21271773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1350" cy="2101850"/>
                    </a:xfrm>
                    <a:prstGeom prst="rect">
                      <a:avLst/>
                    </a:prstGeom>
                    <a:noFill/>
                  </pic:spPr>
                </pic:pic>
              </a:graphicData>
            </a:graphic>
          </wp:inline>
        </w:drawing>
      </w:r>
    </w:p>
    <w:p w14:paraId="102D6E21" w14:textId="77777777" w:rsidR="00BC0128" w:rsidRPr="007979B4" w:rsidRDefault="00BC0128" w:rsidP="00725EDF">
      <w:pPr>
        <w:spacing w:after="0" w:line="240" w:lineRule="auto"/>
        <w:rPr>
          <w:rFonts w:ascii="Tahoma" w:hAnsi="Tahoma" w:cs="Tahoma"/>
          <w:color w:val="FF0000"/>
        </w:rPr>
      </w:pPr>
    </w:p>
    <w:p w14:paraId="4C45A369" w14:textId="29F84712" w:rsidR="000A77A9" w:rsidRPr="007979B4" w:rsidRDefault="6FD00B9B" w:rsidP="00725EDF">
      <w:pPr>
        <w:spacing w:after="0" w:line="240" w:lineRule="auto"/>
        <w:rPr>
          <w:rFonts w:ascii="Tahoma" w:hAnsi="Tahoma" w:cs="Tahoma"/>
        </w:rPr>
      </w:pPr>
      <w:r w:rsidRPr="1D7D8BE7">
        <w:rPr>
          <w:rFonts w:ascii="Tahoma" w:hAnsi="Tahoma" w:cs="Tahoma"/>
        </w:rPr>
        <w:t xml:space="preserve">Child </w:t>
      </w:r>
      <w:r w:rsidR="38FDED03" w:rsidRPr="1D7D8BE7">
        <w:rPr>
          <w:rFonts w:ascii="Tahoma" w:hAnsi="Tahoma" w:cs="Tahoma"/>
        </w:rPr>
        <w:t>P</w:t>
      </w:r>
      <w:r w:rsidRPr="1D7D8BE7">
        <w:rPr>
          <w:rFonts w:ascii="Tahoma" w:hAnsi="Tahoma" w:cs="Tahoma"/>
        </w:rPr>
        <w:t xml:space="preserve">rotection related offences have experienced </w:t>
      </w:r>
      <w:r w:rsidR="0AC615FA" w:rsidRPr="1D7D8BE7">
        <w:rPr>
          <w:rFonts w:ascii="Tahoma" w:hAnsi="Tahoma" w:cs="Tahoma"/>
        </w:rPr>
        <w:t>a</w:t>
      </w:r>
      <w:r w:rsidR="0DDC746D" w:rsidRPr="1D7D8BE7">
        <w:rPr>
          <w:rFonts w:ascii="Tahoma" w:hAnsi="Tahoma" w:cs="Tahoma"/>
        </w:rPr>
        <w:t>n in</w:t>
      </w:r>
      <w:r w:rsidRPr="1D7D8BE7">
        <w:rPr>
          <w:rFonts w:ascii="Tahoma" w:hAnsi="Tahoma" w:cs="Tahoma"/>
        </w:rPr>
        <w:t xml:space="preserve">crease of </w:t>
      </w:r>
      <w:r w:rsidR="4D70E801" w:rsidRPr="1D7D8BE7">
        <w:rPr>
          <w:rFonts w:ascii="Tahoma" w:hAnsi="Tahoma" w:cs="Tahoma"/>
        </w:rPr>
        <w:t>2.7</w:t>
      </w:r>
      <w:r w:rsidRPr="1D7D8BE7">
        <w:rPr>
          <w:rFonts w:ascii="Tahoma" w:hAnsi="Tahoma" w:cs="Tahoma"/>
        </w:rPr>
        <w:t xml:space="preserve">% </w:t>
      </w:r>
      <w:r w:rsidR="38FDED03" w:rsidRPr="1D7D8BE7">
        <w:rPr>
          <w:rFonts w:ascii="Tahoma" w:hAnsi="Tahoma" w:cs="Tahoma"/>
        </w:rPr>
        <w:t>(</w:t>
      </w:r>
      <w:r w:rsidR="4D70E801" w:rsidRPr="1D7D8BE7">
        <w:rPr>
          <w:rFonts w:ascii="Tahoma" w:hAnsi="Tahoma" w:cs="Tahoma"/>
        </w:rPr>
        <w:t>322</w:t>
      </w:r>
      <w:r w:rsidR="0DDC746D" w:rsidRPr="1D7D8BE7">
        <w:rPr>
          <w:rFonts w:ascii="Tahoma" w:hAnsi="Tahoma" w:cs="Tahoma"/>
        </w:rPr>
        <w:t xml:space="preserve"> more </w:t>
      </w:r>
      <w:r w:rsidR="0AC615FA" w:rsidRPr="1D7D8BE7">
        <w:rPr>
          <w:rFonts w:ascii="Tahoma" w:hAnsi="Tahoma" w:cs="Tahoma"/>
        </w:rPr>
        <w:t>offences</w:t>
      </w:r>
      <w:r w:rsidR="38FDED03" w:rsidRPr="1D7D8BE7">
        <w:rPr>
          <w:rFonts w:ascii="Tahoma" w:hAnsi="Tahoma" w:cs="Tahoma"/>
        </w:rPr>
        <w:t>)</w:t>
      </w:r>
      <w:r w:rsidR="78FAA3BB" w:rsidRPr="1D7D8BE7">
        <w:rPr>
          <w:rFonts w:ascii="Tahoma" w:hAnsi="Tahoma" w:cs="Tahoma"/>
        </w:rPr>
        <w:t xml:space="preserve"> </w:t>
      </w:r>
      <w:r w:rsidR="4D70E801" w:rsidRPr="1D7D8BE7">
        <w:rPr>
          <w:rFonts w:ascii="Tahoma" w:hAnsi="Tahoma" w:cs="Tahoma"/>
        </w:rPr>
        <w:t>over the 4 year</w:t>
      </w:r>
      <w:r w:rsidR="38FDED03" w:rsidRPr="1D7D8BE7">
        <w:rPr>
          <w:rFonts w:ascii="Tahoma" w:hAnsi="Tahoma" w:cs="Tahoma"/>
        </w:rPr>
        <w:t>s’</w:t>
      </w:r>
      <w:r w:rsidR="4D70E801" w:rsidRPr="1D7D8BE7">
        <w:rPr>
          <w:rFonts w:ascii="Tahoma" w:hAnsi="Tahoma" w:cs="Tahoma"/>
        </w:rPr>
        <w:t xml:space="preserve"> period</w:t>
      </w:r>
      <w:r w:rsidR="0DA1BA8A" w:rsidRPr="1D7D8BE7">
        <w:rPr>
          <w:rFonts w:ascii="Tahoma" w:hAnsi="Tahoma" w:cs="Tahoma"/>
        </w:rPr>
        <w:t>.</w:t>
      </w:r>
      <w:r w:rsidR="38FDED03" w:rsidRPr="1D7D8BE7">
        <w:rPr>
          <w:rFonts w:ascii="Tahoma" w:hAnsi="Tahoma" w:cs="Tahoma"/>
        </w:rPr>
        <w:t xml:space="preserve">  During 2024/25, there was</w:t>
      </w:r>
      <w:r w:rsidR="4D70E801" w:rsidRPr="1D7D8BE7">
        <w:rPr>
          <w:rFonts w:ascii="Tahoma" w:hAnsi="Tahoma" w:cs="Tahoma"/>
        </w:rPr>
        <w:t xml:space="preserve"> a -0.1% decrease</w:t>
      </w:r>
      <w:r w:rsidR="38FDED03" w:rsidRPr="1D7D8BE7">
        <w:rPr>
          <w:rFonts w:ascii="Tahoma" w:hAnsi="Tahoma" w:cs="Tahoma"/>
        </w:rPr>
        <w:t xml:space="preserve"> (</w:t>
      </w:r>
      <w:r w:rsidR="7A0714B8" w:rsidRPr="1D7D8BE7">
        <w:rPr>
          <w:rFonts w:ascii="Tahoma" w:hAnsi="Tahoma" w:cs="Tahoma"/>
        </w:rPr>
        <w:t>18 less offences</w:t>
      </w:r>
      <w:r w:rsidR="38FDED03" w:rsidRPr="1D7D8BE7">
        <w:rPr>
          <w:rFonts w:ascii="Tahoma" w:hAnsi="Tahoma" w:cs="Tahoma"/>
        </w:rPr>
        <w:t>)</w:t>
      </w:r>
      <w:r w:rsidR="7A0714B8" w:rsidRPr="1D7D8BE7">
        <w:rPr>
          <w:rFonts w:ascii="Tahoma" w:hAnsi="Tahoma" w:cs="Tahoma"/>
        </w:rPr>
        <w:t xml:space="preserve"> compared to the previous year.</w:t>
      </w:r>
      <w:r w:rsidR="38FDED03" w:rsidRPr="1D7D8BE7">
        <w:rPr>
          <w:rFonts w:ascii="Tahoma" w:hAnsi="Tahoma" w:cs="Tahoma"/>
        </w:rPr>
        <w:t xml:space="preserve">  The h</w:t>
      </w:r>
      <w:r w:rsidR="173ACE4B" w:rsidRPr="1D7D8BE7">
        <w:rPr>
          <w:rFonts w:ascii="Tahoma" w:hAnsi="Tahoma" w:cs="Tahoma"/>
        </w:rPr>
        <w:t>ighest volumes are in April to June each year</w:t>
      </w:r>
      <w:r w:rsidR="38FDED03" w:rsidRPr="1D7D8BE7">
        <w:rPr>
          <w:rFonts w:ascii="Tahoma" w:hAnsi="Tahoma" w:cs="Tahoma"/>
        </w:rPr>
        <w:t>,</w:t>
      </w:r>
      <w:r w:rsidR="173ACE4B" w:rsidRPr="1D7D8BE7">
        <w:rPr>
          <w:rFonts w:ascii="Tahoma" w:hAnsi="Tahoma" w:cs="Tahoma"/>
        </w:rPr>
        <w:t xml:space="preserve"> with July to September accounting for the lowest volumes.</w:t>
      </w:r>
      <w:r w:rsidR="493CD05F" w:rsidRPr="1D7D8BE7">
        <w:rPr>
          <w:rFonts w:ascii="Tahoma" w:hAnsi="Tahoma" w:cs="Tahoma"/>
        </w:rPr>
        <w:t xml:space="preserve"> This is likely attributable to the long </w:t>
      </w:r>
      <w:r w:rsidR="493CD05F" w:rsidRPr="1D7D8BE7">
        <w:rPr>
          <w:rFonts w:ascii="Tahoma" w:hAnsi="Tahoma" w:cs="Tahoma"/>
        </w:rPr>
        <w:lastRenderedPageBreak/>
        <w:t>school holidays over the summer.</w:t>
      </w:r>
      <w:r w:rsidR="0A22F68E" w:rsidRPr="1D7D8BE7">
        <w:rPr>
          <w:rFonts w:ascii="Tahoma" w:hAnsi="Tahoma" w:cs="Tahoma"/>
        </w:rPr>
        <w:t xml:space="preserve">  </w:t>
      </w:r>
      <w:r w:rsidR="48A324BF" w:rsidRPr="1D7D8BE7">
        <w:rPr>
          <w:rFonts w:ascii="Tahoma" w:hAnsi="Tahoma" w:cs="Tahoma"/>
        </w:rPr>
        <w:t xml:space="preserve">Whilst most </w:t>
      </w:r>
      <w:r w:rsidR="05E47B97" w:rsidRPr="1D7D8BE7">
        <w:rPr>
          <w:rFonts w:ascii="Tahoma" w:hAnsi="Tahoma" w:cs="Tahoma"/>
        </w:rPr>
        <w:t xml:space="preserve">notifiable offences have experienced reductions, </w:t>
      </w:r>
      <w:r w:rsidR="38FDED03" w:rsidRPr="1D7D8BE7">
        <w:rPr>
          <w:rFonts w:ascii="Tahoma" w:hAnsi="Tahoma" w:cs="Tahoma"/>
        </w:rPr>
        <w:t xml:space="preserve">Stalking and Harassment </w:t>
      </w:r>
      <w:r w:rsidR="05E47B97" w:rsidRPr="1D7D8BE7">
        <w:rPr>
          <w:rFonts w:ascii="Tahoma" w:hAnsi="Tahoma" w:cs="Tahoma"/>
        </w:rPr>
        <w:t xml:space="preserve">and </w:t>
      </w:r>
      <w:r w:rsidR="38FDED03" w:rsidRPr="1D7D8BE7">
        <w:rPr>
          <w:rFonts w:ascii="Tahoma" w:hAnsi="Tahoma" w:cs="Tahoma"/>
        </w:rPr>
        <w:t xml:space="preserve">Sexual Offences </w:t>
      </w:r>
      <w:r w:rsidR="05E47B97" w:rsidRPr="1D7D8BE7">
        <w:rPr>
          <w:rFonts w:ascii="Tahoma" w:hAnsi="Tahoma" w:cs="Tahoma"/>
        </w:rPr>
        <w:t>have seen increases.</w:t>
      </w:r>
    </w:p>
    <w:p w14:paraId="628D2AD0" w14:textId="77777777" w:rsidR="00F9012D" w:rsidRPr="007979B4" w:rsidRDefault="00F9012D" w:rsidP="00725EDF">
      <w:pPr>
        <w:spacing w:after="0" w:line="240" w:lineRule="auto"/>
        <w:rPr>
          <w:rFonts w:ascii="Tahoma" w:hAnsi="Tahoma" w:cs="Tahoma"/>
        </w:rPr>
      </w:pPr>
    </w:p>
    <w:p w14:paraId="73569913" w14:textId="7CA7DB13" w:rsidR="00F9012D" w:rsidRDefault="003B1CA5" w:rsidP="00725EDF">
      <w:pPr>
        <w:spacing w:after="0" w:line="240" w:lineRule="auto"/>
        <w:rPr>
          <w:rFonts w:ascii="Tahoma" w:hAnsi="Tahoma" w:cs="Tahoma"/>
        </w:rPr>
      </w:pPr>
      <w:r>
        <w:rPr>
          <w:rFonts w:ascii="Tahoma" w:hAnsi="Tahoma" w:cs="Tahoma"/>
        </w:rPr>
        <w:t>During the reporting period, there has been</w:t>
      </w:r>
      <w:r w:rsidR="000C5796" w:rsidRPr="007979B4">
        <w:rPr>
          <w:rFonts w:ascii="Tahoma" w:hAnsi="Tahoma" w:cs="Tahoma"/>
        </w:rPr>
        <w:t xml:space="preserve"> a 15.2% (+496) increase in sus</w:t>
      </w:r>
      <w:r w:rsidR="00D14C95" w:rsidRPr="007979B4">
        <w:rPr>
          <w:rFonts w:ascii="Tahoma" w:hAnsi="Tahoma" w:cs="Tahoma"/>
        </w:rPr>
        <w:t>pects arrested and interviewed</w:t>
      </w:r>
      <w:r>
        <w:rPr>
          <w:rFonts w:ascii="Tahoma" w:hAnsi="Tahoma" w:cs="Tahoma"/>
        </w:rPr>
        <w:t xml:space="preserve"> for Child Protection offences</w:t>
      </w:r>
      <w:r w:rsidR="00D14C95" w:rsidRPr="007979B4">
        <w:rPr>
          <w:rFonts w:ascii="Tahoma" w:hAnsi="Tahoma" w:cs="Tahoma"/>
        </w:rPr>
        <w:t>.</w:t>
      </w:r>
      <w:r>
        <w:rPr>
          <w:rFonts w:ascii="Tahoma" w:hAnsi="Tahoma" w:cs="Tahoma"/>
        </w:rPr>
        <w:t xml:space="preserve">  The </w:t>
      </w:r>
      <w:r w:rsidR="00B32A70" w:rsidRPr="007979B4">
        <w:rPr>
          <w:rFonts w:ascii="Tahoma" w:hAnsi="Tahoma" w:cs="Tahoma"/>
        </w:rPr>
        <w:t xml:space="preserve">Solved Rate for </w:t>
      </w:r>
      <w:r>
        <w:rPr>
          <w:rFonts w:ascii="Tahoma" w:hAnsi="Tahoma" w:cs="Tahoma"/>
        </w:rPr>
        <w:t>2024/25</w:t>
      </w:r>
      <w:r w:rsidR="00B32A70" w:rsidRPr="007979B4">
        <w:rPr>
          <w:rFonts w:ascii="Tahoma" w:hAnsi="Tahoma" w:cs="Tahoma"/>
        </w:rPr>
        <w:t xml:space="preserve"> is 8.8%</w:t>
      </w:r>
      <w:r w:rsidR="00990E63">
        <w:rPr>
          <w:rFonts w:ascii="Tahoma" w:hAnsi="Tahoma" w:cs="Tahoma"/>
        </w:rPr>
        <w:t>;</w:t>
      </w:r>
      <w:r w:rsidR="004B34DC">
        <w:rPr>
          <w:rFonts w:ascii="Tahoma" w:hAnsi="Tahoma" w:cs="Tahoma"/>
        </w:rPr>
        <w:t xml:space="preserve"> an increase of 2</w:t>
      </w:r>
      <w:r w:rsidR="00B32A70" w:rsidRPr="007979B4">
        <w:rPr>
          <w:rFonts w:ascii="Tahoma" w:hAnsi="Tahoma" w:cs="Tahoma"/>
        </w:rPr>
        <w:t>.5</w:t>
      </w:r>
      <w:r w:rsidR="004B34DC">
        <w:rPr>
          <w:rFonts w:ascii="Tahoma" w:hAnsi="Tahoma" w:cs="Tahoma"/>
        </w:rPr>
        <w:t>%</w:t>
      </w:r>
      <w:r w:rsidR="00B32A70" w:rsidRPr="007979B4">
        <w:rPr>
          <w:rFonts w:ascii="Tahoma" w:hAnsi="Tahoma" w:cs="Tahoma"/>
        </w:rPr>
        <w:t xml:space="preserve"> compared to the previous year.</w:t>
      </w:r>
      <w:r w:rsidR="004B34DC">
        <w:rPr>
          <w:rFonts w:ascii="Tahoma" w:hAnsi="Tahoma" w:cs="Tahoma"/>
        </w:rPr>
        <w:t xml:space="preserve">  </w:t>
      </w:r>
      <w:r w:rsidR="00D14C95" w:rsidRPr="007979B4">
        <w:rPr>
          <w:rFonts w:ascii="Tahoma" w:hAnsi="Tahoma" w:cs="Tahoma"/>
        </w:rPr>
        <w:t>Charges have experienced a 35.4%</w:t>
      </w:r>
      <w:r w:rsidR="0096697C" w:rsidRPr="007979B4">
        <w:rPr>
          <w:rFonts w:ascii="Tahoma" w:hAnsi="Tahoma" w:cs="Tahoma"/>
        </w:rPr>
        <w:t xml:space="preserve"> </w:t>
      </w:r>
      <w:r w:rsidR="004B34DC" w:rsidRPr="007979B4">
        <w:rPr>
          <w:rFonts w:ascii="Tahoma" w:hAnsi="Tahoma" w:cs="Tahoma"/>
        </w:rPr>
        <w:t xml:space="preserve">increase </w:t>
      </w:r>
      <w:r w:rsidR="0096697C" w:rsidRPr="007979B4">
        <w:rPr>
          <w:rFonts w:ascii="Tahoma" w:hAnsi="Tahoma" w:cs="Tahoma"/>
        </w:rPr>
        <w:t>(+194 charges)</w:t>
      </w:r>
      <w:r w:rsidR="00D14C95" w:rsidRPr="007979B4">
        <w:rPr>
          <w:rFonts w:ascii="Tahoma" w:hAnsi="Tahoma" w:cs="Tahoma"/>
        </w:rPr>
        <w:t xml:space="preserve"> </w:t>
      </w:r>
      <w:r w:rsidR="00FA0EE7" w:rsidRPr="007979B4">
        <w:rPr>
          <w:rFonts w:ascii="Tahoma" w:hAnsi="Tahoma" w:cs="Tahoma"/>
        </w:rPr>
        <w:t>to 742</w:t>
      </w:r>
      <w:r w:rsidR="00990E63">
        <w:rPr>
          <w:rFonts w:ascii="Tahoma" w:hAnsi="Tahoma" w:cs="Tahoma"/>
        </w:rPr>
        <w:t>,</w:t>
      </w:r>
      <w:r w:rsidR="00D14C95" w:rsidRPr="007979B4">
        <w:rPr>
          <w:rFonts w:ascii="Tahoma" w:hAnsi="Tahoma" w:cs="Tahoma"/>
        </w:rPr>
        <w:t xml:space="preserve"> </w:t>
      </w:r>
      <w:r w:rsidR="0096697C" w:rsidRPr="007979B4">
        <w:rPr>
          <w:rFonts w:ascii="Tahoma" w:hAnsi="Tahoma" w:cs="Tahoma"/>
        </w:rPr>
        <w:t xml:space="preserve">with </w:t>
      </w:r>
      <w:r w:rsidR="004B34DC">
        <w:rPr>
          <w:rFonts w:ascii="Tahoma" w:hAnsi="Tahoma" w:cs="Tahoma"/>
        </w:rPr>
        <w:t>CRs</w:t>
      </w:r>
      <w:r w:rsidR="0096697C" w:rsidRPr="007979B4">
        <w:rPr>
          <w:rFonts w:ascii="Tahoma" w:hAnsi="Tahoma" w:cs="Tahoma"/>
        </w:rPr>
        <w:t xml:space="preserve"> </w:t>
      </w:r>
      <w:r w:rsidR="004D4B76" w:rsidRPr="007979B4">
        <w:rPr>
          <w:rFonts w:ascii="Tahoma" w:hAnsi="Tahoma" w:cs="Tahoma"/>
        </w:rPr>
        <w:t xml:space="preserve">increasing </w:t>
      </w:r>
      <w:r w:rsidR="008C434A" w:rsidRPr="007979B4">
        <w:rPr>
          <w:rFonts w:ascii="Tahoma" w:hAnsi="Tahoma" w:cs="Tahoma"/>
        </w:rPr>
        <w:t>by 97.4% (+113) to 229.</w:t>
      </w:r>
      <w:r w:rsidR="004B34DC">
        <w:rPr>
          <w:rFonts w:ascii="Tahoma" w:hAnsi="Tahoma" w:cs="Tahoma"/>
        </w:rPr>
        <w:t xml:space="preserve">  </w:t>
      </w:r>
      <w:r w:rsidR="00FA0EE7" w:rsidRPr="007979B4">
        <w:rPr>
          <w:rFonts w:ascii="Tahoma" w:hAnsi="Tahoma" w:cs="Tahoma"/>
        </w:rPr>
        <w:t xml:space="preserve">An additional 7 Adult Cautions </w:t>
      </w:r>
      <w:r w:rsidR="00990E63">
        <w:rPr>
          <w:rFonts w:ascii="Tahoma" w:hAnsi="Tahoma" w:cs="Tahoma"/>
        </w:rPr>
        <w:t>were</w:t>
      </w:r>
      <w:r w:rsidR="00FA0EE7" w:rsidRPr="007979B4">
        <w:rPr>
          <w:rFonts w:ascii="Tahoma" w:hAnsi="Tahoma" w:cs="Tahoma"/>
        </w:rPr>
        <w:t xml:space="preserve"> administered </w:t>
      </w:r>
      <w:r w:rsidR="004B34DC">
        <w:rPr>
          <w:rFonts w:ascii="Tahoma" w:hAnsi="Tahoma" w:cs="Tahoma"/>
        </w:rPr>
        <w:t>during 2024/25,</w:t>
      </w:r>
      <w:r w:rsidR="00FA0EE7" w:rsidRPr="007979B4">
        <w:rPr>
          <w:rFonts w:ascii="Tahoma" w:hAnsi="Tahoma" w:cs="Tahoma"/>
        </w:rPr>
        <w:t xml:space="preserve"> with 8 less Youth Cautions compared to the previous financial yea</w:t>
      </w:r>
      <w:r w:rsidR="004B34DC">
        <w:rPr>
          <w:rFonts w:ascii="Tahoma" w:hAnsi="Tahoma" w:cs="Tahoma"/>
        </w:rPr>
        <w:t xml:space="preserve">r.  </w:t>
      </w:r>
    </w:p>
    <w:p w14:paraId="019912E2" w14:textId="77777777" w:rsidR="00990E63" w:rsidRDefault="00990E63" w:rsidP="00055471">
      <w:pPr>
        <w:spacing w:after="0" w:line="240" w:lineRule="auto"/>
        <w:rPr>
          <w:rFonts w:ascii="Tahoma" w:hAnsi="Tahoma" w:cs="Tahoma"/>
          <w:b/>
          <w:bCs/>
          <w:u w:val="single"/>
        </w:rPr>
      </w:pPr>
    </w:p>
    <w:p w14:paraId="465D26E2" w14:textId="0052BFEA" w:rsidR="00055471" w:rsidRDefault="00055471" w:rsidP="00055471">
      <w:pPr>
        <w:spacing w:after="0" w:line="240" w:lineRule="auto"/>
        <w:rPr>
          <w:rFonts w:ascii="Tahoma" w:hAnsi="Tahoma" w:cs="Tahoma"/>
          <w:b/>
          <w:bCs/>
          <w:u w:val="single"/>
        </w:rPr>
      </w:pPr>
      <w:r w:rsidRPr="00C74036">
        <w:rPr>
          <w:rFonts w:ascii="Tahoma" w:hAnsi="Tahoma" w:cs="Tahoma"/>
          <w:b/>
          <w:bCs/>
          <w:u w:val="single"/>
        </w:rPr>
        <w:t>Cadets and Mini Cadets</w:t>
      </w:r>
    </w:p>
    <w:p w14:paraId="4D98761E" w14:textId="77777777" w:rsidR="00990E63" w:rsidRDefault="00990E63" w:rsidP="00055471">
      <w:pPr>
        <w:spacing w:after="0" w:line="240" w:lineRule="auto"/>
        <w:rPr>
          <w:rFonts w:ascii="Tahoma" w:hAnsi="Tahoma" w:cs="Tahoma"/>
        </w:rPr>
      </w:pPr>
    </w:p>
    <w:p w14:paraId="10CE6550" w14:textId="5CB2ACB5" w:rsidR="00490B25" w:rsidRDefault="007C2BF6" w:rsidP="00055471">
      <w:pPr>
        <w:spacing w:after="0" w:line="240" w:lineRule="auto"/>
        <w:rPr>
          <w:rFonts w:ascii="Tahoma" w:hAnsi="Tahoma" w:cs="Tahoma"/>
        </w:rPr>
      </w:pPr>
      <w:r>
        <w:rPr>
          <w:rFonts w:ascii="Tahoma" w:hAnsi="Tahoma" w:cs="Tahoma"/>
        </w:rPr>
        <w:t>The Cadet Programme in Kent has evolved significantly since its inception, with schemes for Junior Cadets, Senior Cadets and Mini Cadets all fully established.  Such has been their success, that the Scheme was awarded The King’s Award for Voluntary Service in 2024.  The award is the highest recognition a voluntary group can receive in the UK and is the equivalent to a collective MBE.  This followed an intensive year-long assessment process involving local and national assessors who examine policies, processes, results and community impact of volunteer groups, as well as conducting int</w:t>
      </w:r>
      <w:r w:rsidR="007C6DC6">
        <w:rPr>
          <w:rFonts w:ascii="Tahoma" w:hAnsi="Tahoma" w:cs="Tahoma"/>
        </w:rPr>
        <w:t>e</w:t>
      </w:r>
      <w:r>
        <w:rPr>
          <w:rFonts w:ascii="Tahoma" w:hAnsi="Tahoma" w:cs="Tahoma"/>
        </w:rPr>
        <w:t xml:space="preserve">rviews and surveys.  </w:t>
      </w:r>
    </w:p>
    <w:p w14:paraId="37ACCB58" w14:textId="0ADB48E8" w:rsidR="007C2BF6" w:rsidRDefault="007C2BF6" w:rsidP="00055471">
      <w:pPr>
        <w:spacing w:after="0" w:line="240" w:lineRule="auto"/>
        <w:rPr>
          <w:rFonts w:ascii="Tahoma" w:hAnsi="Tahoma" w:cs="Tahoma"/>
        </w:rPr>
      </w:pPr>
    </w:p>
    <w:p w14:paraId="3CA91D0C" w14:textId="68762C47" w:rsidR="007C2BF6" w:rsidRPr="007C2BF6" w:rsidRDefault="007C2BF6" w:rsidP="00055471">
      <w:pPr>
        <w:spacing w:after="0" w:line="240" w:lineRule="auto"/>
        <w:rPr>
          <w:rFonts w:ascii="Tahoma" w:hAnsi="Tahoma" w:cs="Tahoma"/>
        </w:rPr>
      </w:pPr>
      <w:r>
        <w:rPr>
          <w:rFonts w:ascii="Tahoma" w:hAnsi="Tahoma" w:cs="Tahoma"/>
        </w:rPr>
        <w:t>This is the second time Kent Police has been recognised for the exceptional quality of its volunteering programmes, having had the Kent Special Constabulary awarded with the Queen’s Award for Voluntary Service back in 2014 as aforementioned.  Kent Police is the only organisation in the UK to have been awarded both.  The numbers of Cadets for the reporting period are shown in the below table:</w:t>
      </w:r>
    </w:p>
    <w:p w14:paraId="7EA9771A" w14:textId="77777777" w:rsidR="00055471" w:rsidRPr="00C74036" w:rsidRDefault="00055471" w:rsidP="00055471">
      <w:pPr>
        <w:spacing w:after="0" w:line="240" w:lineRule="auto"/>
        <w:rPr>
          <w:rFonts w:ascii="Tahoma" w:hAnsi="Tahoma" w:cs="Tahoma"/>
          <w:b/>
          <w:bCs/>
          <w:u w:val="single"/>
        </w:rPr>
      </w:pPr>
    </w:p>
    <w:tbl>
      <w:tblPr>
        <w:tblW w:w="7503" w:type="dxa"/>
        <w:tblCellMar>
          <w:left w:w="0" w:type="dxa"/>
          <w:right w:w="0" w:type="dxa"/>
        </w:tblCellMar>
        <w:tblLook w:val="04A0" w:firstRow="1" w:lastRow="0" w:firstColumn="1" w:lastColumn="0" w:noHBand="0" w:noVBand="1"/>
      </w:tblPr>
      <w:tblGrid>
        <w:gridCol w:w="1550"/>
        <w:gridCol w:w="1984"/>
        <w:gridCol w:w="1985"/>
        <w:gridCol w:w="1984"/>
      </w:tblGrid>
      <w:tr w:rsidR="00055471" w:rsidRPr="00C74036" w14:paraId="5A6031A4" w14:textId="77777777" w:rsidTr="007C2BF6">
        <w:trPr>
          <w:trHeight w:val="290"/>
        </w:trPr>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4B19D4" w14:textId="77777777" w:rsidR="00055471" w:rsidRPr="00C74036" w:rsidRDefault="00055471" w:rsidP="00055471">
            <w:pPr>
              <w:spacing w:after="0" w:line="240" w:lineRule="auto"/>
              <w:rPr>
                <w:rFonts w:ascii="Tahoma" w:hAnsi="Tahoma" w:cs="Tahoma"/>
                <w:color w:val="000000"/>
                <w:lang w:eastAsia="en-GB"/>
              </w:rPr>
            </w:pP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4A2ABDBF" w14:textId="77777777" w:rsidR="00055471" w:rsidRPr="007C2BF6" w:rsidRDefault="00055471" w:rsidP="00055471">
            <w:pPr>
              <w:spacing w:after="0" w:line="240" w:lineRule="auto"/>
              <w:rPr>
                <w:rFonts w:ascii="Tahoma" w:hAnsi="Tahoma" w:cs="Tahoma"/>
                <w:b/>
                <w:bCs/>
                <w:color w:val="000000"/>
                <w:lang w:eastAsia="en-GB"/>
              </w:rPr>
            </w:pPr>
            <w:r w:rsidRPr="007C2BF6">
              <w:rPr>
                <w:rFonts w:ascii="Tahoma" w:hAnsi="Tahoma" w:cs="Tahoma"/>
                <w:b/>
                <w:bCs/>
                <w:color w:val="000000"/>
                <w:lang w:eastAsia="en-GB"/>
              </w:rPr>
              <w:t>Senior Cadets</w:t>
            </w:r>
          </w:p>
        </w:tc>
        <w:tc>
          <w:tcPr>
            <w:tcW w:w="198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64BE1928" w14:textId="77777777" w:rsidR="00055471" w:rsidRPr="007C2BF6" w:rsidRDefault="00055471" w:rsidP="00055471">
            <w:pPr>
              <w:spacing w:after="0" w:line="240" w:lineRule="auto"/>
              <w:rPr>
                <w:rFonts w:ascii="Tahoma" w:hAnsi="Tahoma" w:cs="Tahoma"/>
                <w:b/>
                <w:bCs/>
                <w:color w:val="000000"/>
                <w:lang w:eastAsia="en-GB"/>
              </w:rPr>
            </w:pPr>
            <w:r w:rsidRPr="007C2BF6">
              <w:rPr>
                <w:rFonts w:ascii="Tahoma" w:hAnsi="Tahoma" w:cs="Tahoma"/>
                <w:b/>
                <w:bCs/>
                <w:color w:val="000000"/>
                <w:lang w:eastAsia="en-GB"/>
              </w:rPr>
              <w:t>Junior Cadets</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6BD80C63" w14:textId="77777777" w:rsidR="00055471" w:rsidRPr="007C2BF6" w:rsidRDefault="00055471" w:rsidP="00055471">
            <w:pPr>
              <w:spacing w:after="0" w:line="240" w:lineRule="auto"/>
              <w:rPr>
                <w:rFonts w:ascii="Tahoma" w:hAnsi="Tahoma" w:cs="Tahoma"/>
                <w:b/>
                <w:bCs/>
                <w:color w:val="000000"/>
                <w:lang w:eastAsia="en-GB"/>
              </w:rPr>
            </w:pPr>
            <w:r w:rsidRPr="007C2BF6">
              <w:rPr>
                <w:rFonts w:ascii="Tahoma" w:hAnsi="Tahoma" w:cs="Tahoma"/>
                <w:b/>
                <w:bCs/>
                <w:color w:val="000000"/>
                <w:lang w:eastAsia="en-GB"/>
              </w:rPr>
              <w:t>Mini Cadets</w:t>
            </w:r>
          </w:p>
        </w:tc>
      </w:tr>
      <w:tr w:rsidR="00055471" w:rsidRPr="00C74036" w14:paraId="36B02678" w14:textId="77777777" w:rsidTr="007C2BF6">
        <w:trPr>
          <w:trHeight w:val="290"/>
        </w:trPr>
        <w:tc>
          <w:tcPr>
            <w:tcW w:w="15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5D4E33"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Apr</w:t>
            </w:r>
            <w:r>
              <w:rPr>
                <w:rFonts w:ascii="Tahoma" w:hAnsi="Tahoma" w:cs="Tahoma"/>
                <w:color w:val="000000"/>
                <w:lang w:eastAsia="en-GB"/>
              </w:rPr>
              <w:t>il 2021</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8DCA67"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311</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A9D06"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86AD38"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12*</w:t>
            </w:r>
          </w:p>
        </w:tc>
      </w:tr>
      <w:tr w:rsidR="00055471" w:rsidRPr="00C74036" w14:paraId="31D7406E" w14:textId="77777777" w:rsidTr="007C2BF6">
        <w:trPr>
          <w:trHeight w:val="290"/>
        </w:trPr>
        <w:tc>
          <w:tcPr>
            <w:tcW w:w="15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C09D5E"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Apr</w:t>
            </w:r>
            <w:r>
              <w:rPr>
                <w:rFonts w:ascii="Tahoma" w:hAnsi="Tahoma" w:cs="Tahoma"/>
                <w:color w:val="000000"/>
                <w:lang w:eastAsia="en-GB"/>
              </w:rPr>
              <w:t>il 2022</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61D578"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368</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4750E1"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F6C458"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89</w:t>
            </w:r>
          </w:p>
        </w:tc>
      </w:tr>
      <w:tr w:rsidR="00055471" w:rsidRPr="00C74036" w14:paraId="0AB1575F" w14:textId="77777777" w:rsidTr="007C2BF6">
        <w:trPr>
          <w:trHeight w:val="290"/>
        </w:trPr>
        <w:tc>
          <w:tcPr>
            <w:tcW w:w="15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CF9B59"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Apr</w:t>
            </w:r>
            <w:r>
              <w:rPr>
                <w:rFonts w:ascii="Tahoma" w:hAnsi="Tahoma" w:cs="Tahoma"/>
                <w:color w:val="000000"/>
                <w:lang w:eastAsia="en-GB"/>
              </w:rPr>
              <w:t>il 2023</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876194"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408</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B71FBE"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13</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497F9B"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31**</w:t>
            </w:r>
          </w:p>
        </w:tc>
      </w:tr>
      <w:tr w:rsidR="00055471" w:rsidRPr="00C74036" w14:paraId="25844CF5" w14:textId="77777777" w:rsidTr="007C2BF6">
        <w:trPr>
          <w:trHeight w:val="290"/>
        </w:trPr>
        <w:tc>
          <w:tcPr>
            <w:tcW w:w="15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7186DE"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Apr</w:t>
            </w:r>
            <w:r>
              <w:rPr>
                <w:rFonts w:ascii="Tahoma" w:hAnsi="Tahoma" w:cs="Tahoma"/>
                <w:color w:val="000000"/>
                <w:lang w:eastAsia="en-GB"/>
              </w:rPr>
              <w:t>il 2024</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4FC4B2"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360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9B688"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40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1C5F63"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113</w:t>
            </w:r>
          </w:p>
        </w:tc>
      </w:tr>
      <w:tr w:rsidR="00055471" w:rsidRPr="00C74036" w14:paraId="377B7C10" w14:textId="77777777" w:rsidTr="007C2BF6">
        <w:trPr>
          <w:trHeight w:val="290"/>
        </w:trPr>
        <w:tc>
          <w:tcPr>
            <w:tcW w:w="15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90D5F" w14:textId="77777777" w:rsidR="00055471" w:rsidRPr="00C74036" w:rsidRDefault="00055471" w:rsidP="00055471">
            <w:pPr>
              <w:spacing w:after="0" w:line="240" w:lineRule="auto"/>
              <w:rPr>
                <w:rFonts w:ascii="Tahoma" w:hAnsi="Tahoma" w:cs="Tahoma"/>
                <w:color w:val="000000"/>
                <w:lang w:eastAsia="en-GB"/>
              </w:rPr>
            </w:pPr>
            <w:r>
              <w:rPr>
                <w:rFonts w:ascii="Tahoma" w:hAnsi="Tahoma" w:cs="Tahoma"/>
                <w:color w:val="000000"/>
                <w:lang w:eastAsia="en-GB"/>
              </w:rPr>
              <w:t>March 2025</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D2E276"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388</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468063"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35</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B846A9" w14:textId="77777777" w:rsidR="00055471" w:rsidRPr="00C74036" w:rsidRDefault="00055471" w:rsidP="00055471">
            <w:pPr>
              <w:spacing w:after="0" w:line="240" w:lineRule="auto"/>
              <w:rPr>
                <w:rFonts w:ascii="Tahoma" w:hAnsi="Tahoma" w:cs="Tahoma"/>
                <w:color w:val="000000"/>
                <w:lang w:eastAsia="en-GB"/>
              </w:rPr>
            </w:pPr>
            <w:r w:rsidRPr="00C74036">
              <w:rPr>
                <w:rFonts w:ascii="Tahoma" w:hAnsi="Tahoma" w:cs="Tahoma"/>
                <w:color w:val="000000"/>
                <w:lang w:eastAsia="en-GB"/>
              </w:rPr>
              <w:t>140</w:t>
            </w:r>
          </w:p>
        </w:tc>
      </w:tr>
    </w:tbl>
    <w:p w14:paraId="72D4A877" w14:textId="75C19733" w:rsidR="00055471" w:rsidRPr="00990E63" w:rsidRDefault="00055471" w:rsidP="00055471">
      <w:pPr>
        <w:spacing w:after="0" w:line="240" w:lineRule="auto"/>
        <w:rPr>
          <w:rFonts w:ascii="Tahoma" w:hAnsi="Tahoma" w:cs="Tahoma"/>
          <w:i/>
          <w:iCs/>
          <w:sz w:val="20"/>
          <w:szCs w:val="20"/>
        </w:rPr>
      </w:pPr>
      <w:r w:rsidRPr="00990E63">
        <w:rPr>
          <w:rFonts w:ascii="Tahoma" w:hAnsi="Tahoma" w:cs="Tahoma"/>
          <w:i/>
          <w:iCs/>
          <w:sz w:val="20"/>
          <w:szCs w:val="20"/>
        </w:rPr>
        <w:t>*</w:t>
      </w:r>
      <w:r w:rsidR="007C2BF6" w:rsidRPr="00990E63">
        <w:rPr>
          <w:rFonts w:ascii="Tahoma" w:hAnsi="Tahoma" w:cs="Tahoma"/>
          <w:i/>
          <w:iCs/>
          <w:sz w:val="20"/>
          <w:szCs w:val="20"/>
        </w:rPr>
        <w:t xml:space="preserve"> First </w:t>
      </w:r>
      <w:r w:rsidRPr="00990E63">
        <w:rPr>
          <w:rFonts w:ascii="Tahoma" w:hAnsi="Tahoma" w:cs="Tahoma"/>
          <w:i/>
          <w:iCs/>
          <w:sz w:val="20"/>
          <w:szCs w:val="20"/>
        </w:rPr>
        <w:t>Mini Cadet pilot</w:t>
      </w:r>
    </w:p>
    <w:p w14:paraId="634FCF6B" w14:textId="789ABF39" w:rsidR="00055471" w:rsidRPr="00990E63" w:rsidRDefault="00055471" w:rsidP="00055471">
      <w:pPr>
        <w:spacing w:after="0" w:line="240" w:lineRule="auto"/>
        <w:rPr>
          <w:rFonts w:ascii="Tahoma" w:hAnsi="Tahoma" w:cs="Tahoma"/>
          <w:i/>
          <w:iCs/>
          <w:sz w:val="20"/>
          <w:szCs w:val="20"/>
        </w:rPr>
      </w:pPr>
      <w:r w:rsidRPr="00990E63">
        <w:rPr>
          <w:rFonts w:ascii="Tahoma" w:hAnsi="Tahoma" w:cs="Tahoma"/>
          <w:i/>
          <w:iCs/>
          <w:sz w:val="20"/>
          <w:szCs w:val="20"/>
        </w:rPr>
        <w:t xml:space="preserve">** </w:t>
      </w:r>
      <w:r w:rsidR="007C2BF6" w:rsidRPr="00990E63">
        <w:rPr>
          <w:rFonts w:ascii="Tahoma" w:hAnsi="Tahoma" w:cs="Tahoma"/>
          <w:i/>
          <w:iCs/>
          <w:sz w:val="20"/>
          <w:szCs w:val="20"/>
        </w:rPr>
        <w:t>N</w:t>
      </w:r>
      <w:r w:rsidRPr="00990E63">
        <w:rPr>
          <w:rFonts w:ascii="Tahoma" w:hAnsi="Tahoma" w:cs="Tahoma"/>
          <w:i/>
          <w:iCs/>
          <w:sz w:val="20"/>
          <w:szCs w:val="20"/>
        </w:rPr>
        <w:t>umbers impacted</w:t>
      </w:r>
      <w:r w:rsidR="007C2BF6" w:rsidRPr="00990E63">
        <w:rPr>
          <w:rFonts w:ascii="Tahoma" w:hAnsi="Tahoma" w:cs="Tahoma"/>
          <w:i/>
          <w:iCs/>
          <w:sz w:val="20"/>
          <w:szCs w:val="20"/>
        </w:rPr>
        <w:t xml:space="preserve"> temporarily</w:t>
      </w:r>
      <w:r w:rsidRPr="00990E63">
        <w:rPr>
          <w:rFonts w:ascii="Tahoma" w:hAnsi="Tahoma" w:cs="Tahoma"/>
          <w:i/>
          <w:iCs/>
          <w:sz w:val="20"/>
          <w:szCs w:val="20"/>
        </w:rPr>
        <w:t xml:space="preserve"> by </w:t>
      </w:r>
      <w:r w:rsidR="007C2BF6" w:rsidRPr="00990E63">
        <w:rPr>
          <w:rFonts w:ascii="Tahoma" w:hAnsi="Tahoma" w:cs="Tahoma"/>
          <w:i/>
          <w:iCs/>
          <w:sz w:val="20"/>
          <w:szCs w:val="20"/>
        </w:rPr>
        <w:t>a change in the policing model at that time</w:t>
      </w:r>
    </w:p>
    <w:p w14:paraId="10CFE0AC" w14:textId="77777777" w:rsidR="00055471" w:rsidRPr="00990E63" w:rsidRDefault="00055471" w:rsidP="00055471">
      <w:pPr>
        <w:spacing w:after="0" w:line="240" w:lineRule="auto"/>
        <w:rPr>
          <w:rFonts w:ascii="Tahoma" w:hAnsi="Tahoma" w:cs="Tahoma"/>
          <w:sz w:val="20"/>
          <w:szCs w:val="20"/>
        </w:rPr>
      </w:pPr>
    </w:p>
    <w:p w14:paraId="1CC06B79" w14:textId="26CDF678" w:rsidR="007C6DC6" w:rsidRDefault="007C6DC6" w:rsidP="00055471">
      <w:pPr>
        <w:spacing w:after="0" w:line="240" w:lineRule="auto"/>
        <w:rPr>
          <w:rFonts w:ascii="Tahoma" w:hAnsi="Tahoma" w:cs="Tahoma"/>
        </w:rPr>
      </w:pPr>
      <w:r>
        <w:rPr>
          <w:rFonts w:ascii="Tahoma" w:hAnsi="Tahoma" w:cs="Tahoma"/>
        </w:rPr>
        <w:t xml:space="preserve">The Mini Cadet Programme is the most recent scheme to have been launched, and has proven very popular, enabling Kent Police to engage with 1358 children across 121 schools in the county to date.  The Mini Cadet programme is run by dedicated Kent Police volunteer leaders for primary school aged pupils and supports them to learn about helping people, teamwork, responsible citizenship, respect for others, staying safe at home and school, and how to contact emergency services.  </w:t>
      </w:r>
    </w:p>
    <w:p w14:paraId="1401CE87" w14:textId="77777777" w:rsidR="007C6DC6" w:rsidRDefault="007C6DC6" w:rsidP="00055471">
      <w:pPr>
        <w:spacing w:after="0" w:line="240" w:lineRule="auto"/>
        <w:rPr>
          <w:rFonts w:ascii="Tahoma" w:hAnsi="Tahoma" w:cs="Tahoma"/>
        </w:rPr>
      </w:pPr>
    </w:p>
    <w:p w14:paraId="1611524F" w14:textId="17214CDD" w:rsidR="007C6DC6" w:rsidRDefault="007C6DC6" w:rsidP="00055471">
      <w:pPr>
        <w:spacing w:after="0" w:line="240" w:lineRule="auto"/>
        <w:rPr>
          <w:rFonts w:ascii="Tahoma" w:hAnsi="Tahoma" w:cs="Tahoma"/>
        </w:rPr>
      </w:pPr>
      <w:r>
        <w:rPr>
          <w:rFonts w:ascii="Tahoma" w:hAnsi="Tahoma" w:cs="Tahoma"/>
        </w:rPr>
        <w:t>The Cadet Schemes are run by a team of hugely dedicated and enthusiastic Volunteer Cadet Leaders who work tirelessly to support young people and provide them with opportunities.  The Senior Cadet Programme by way of example, saw the Cadets and the Leaders between October and December 2024 volunteering 2,863 hours in their community, bringing the total of volunteering hours in the year to 13,373</w:t>
      </w:r>
      <w:r w:rsidR="006B46B0">
        <w:rPr>
          <w:rFonts w:ascii="Tahoma" w:hAnsi="Tahoma" w:cs="Tahoma"/>
        </w:rPr>
        <w:t>, and the total overall hours since the inception of the programme to 46,373.</w:t>
      </w:r>
    </w:p>
    <w:p w14:paraId="2EAE6749" w14:textId="77777777" w:rsidR="00160E3A" w:rsidRDefault="00160E3A" w:rsidP="00055471">
      <w:pPr>
        <w:spacing w:after="0" w:line="240" w:lineRule="auto"/>
        <w:rPr>
          <w:rFonts w:ascii="Tahoma" w:hAnsi="Tahoma" w:cs="Tahoma"/>
        </w:rPr>
      </w:pPr>
    </w:p>
    <w:p w14:paraId="37E3B393" w14:textId="5D55B7E9" w:rsidR="00160E3A" w:rsidRPr="00B51B1D" w:rsidRDefault="00160E3A" w:rsidP="00B51B1D">
      <w:pPr>
        <w:pStyle w:val="ListParagraph"/>
        <w:numPr>
          <w:ilvl w:val="0"/>
          <w:numId w:val="8"/>
        </w:numPr>
        <w:spacing w:after="0" w:line="240" w:lineRule="auto"/>
        <w:rPr>
          <w:rFonts w:ascii="Tahoma" w:hAnsi="Tahoma" w:cs="Tahoma"/>
          <w:b/>
          <w:bCs/>
          <w:u w:val="single"/>
        </w:rPr>
      </w:pPr>
      <w:r w:rsidRPr="00B51B1D">
        <w:rPr>
          <w:rFonts w:ascii="Tahoma" w:hAnsi="Tahoma" w:cs="Tahoma"/>
          <w:b/>
          <w:bCs/>
          <w:u w:val="single"/>
        </w:rPr>
        <w:t>Conclusion</w:t>
      </w:r>
    </w:p>
    <w:p w14:paraId="69D2F6CC" w14:textId="5E7FC9C0" w:rsidR="00160E3A" w:rsidRDefault="00160E3A" w:rsidP="00055471">
      <w:pPr>
        <w:spacing w:after="0" w:line="240" w:lineRule="auto"/>
        <w:rPr>
          <w:rFonts w:ascii="Tahoma" w:hAnsi="Tahoma" w:cs="Tahoma"/>
          <w:b/>
          <w:bCs/>
        </w:rPr>
      </w:pPr>
    </w:p>
    <w:p w14:paraId="7DCE9E05" w14:textId="77777777" w:rsidR="00B51B1D" w:rsidRDefault="00160E3A" w:rsidP="00055471">
      <w:pPr>
        <w:spacing w:after="0" w:line="240" w:lineRule="auto"/>
        <w:rPr>
          <w:rFonts w:ascii="Tahoma" w:hAnsi="Tahoma" w:cs="Tahoma"/>
        </w:rPr>
      </w:pPr>
      <w:r>
        <w:rPr>
          <w:rFonts w:ascii="Tahoma" w:hAnsi="Tahoma" w:cs="Tahoma"/>
        </w:rPr>
        <w:lastRenderedPageBreak/>
        <w:t xml:space="preserve">In summary, the Force’s Kent Police Pledge and Control Strategy have continued to work in harmony with the PCC’s Police and Crime Plan, focussing heavily on the areas of vulnerability, exploitation, high harm crime and abuse.  As demonstrated in this paper, the Force continues to deliver positive outcomes for victims against an increasingly complex and challenging policing landscape.  </w:t>
      </w:r>
    </w:p>
    <w:p w14:paraId="2BC2F2B4" w14:textId="77777777" w:rsidR="00B51B1D" w:rsidRDefault="00B51B1D" w:rsidP="00055471">
      <w:pPr>
        <w:spacing w:after="0" w:line="240" w:lineRule="auto"/>
        <w:rPr>
          <w:rFonts w:ascii="Tahoma" w:hAnsi="Tahoma" w:cs="Tahoma"/>
        </w:rPr>
      </w:pPr>
    </w:p>
    <w:p w14:paraId="78AF432D" w14:textId="473180DC" w:rsidR="00D23E11" w:rsidRDefault="00160E3A" w:rsidP="00990E63">
      <w:pPr>
        <w:spacing w:after="0" w:line="240" w:lineRule="auto"/>
        <w:rPr>
          <w:rFonts w:ascii="Tahoma" w:hAnsi="Tahoma" w:cs="Tahoma"/>
        </w:rPr>
      </w:pPr>
      <w:r>
        <w:rPr>
          <w:rFonts w:ascii="Tahoma" w:hAnsi="Tahoma" w:cs="Tahoma"/>
        </w:rPr>
        <w:t>However, the Force is not complacent and absolutely recognises the need to continuously improve and develop, to ensure the trust, confidence and safety of all those who live, work and visit Kent.  The Force is fully supportive of the PCC’s new Police and Crime Plan ‘Cut Crime, Support Victims, Build Trust’ for 2025-29 and will strive to meet the vision and priorities</w:t>
      </w:r>
      <w:r w:rsidR="00461ACC">
        <w:rPr>
          <w:rFonts w:ascii="Tahoma" w:hAnsi="Tahoma" w:cs="Tahoma"/>
        </w:rPr>
        <w:t xml:space="preserve"> </w:t>
      </w:r>
      <w:r>
        <w:rPr>
          <w:rFonts w:ascii="Tahoma" w:hAnsi="Tahoma" w:cs="Tahoma"/>
        </w:rPr>
        <w:t>set out</w:t>
      </w:r>
      <w:r w:rsidR="00461ACC">
        <w:rPr>
          <w:rFonts w:ascii="Tahoma" w:hAnsi="Tahoma" w:cs="Tahoma"/>
        </w:rPr>
        <w:t>, which complement</w:t>
      </w:r>
      <w:r>
        <w:rPr>
          <w:rFonts w:ascii="Tahoma" w:hAnsi="Tahoma" w:cs="Tahoma"/>
        </w:rPr>
        <w:t xml:space="preserve"> our Pledge to provide </w:t>
      </w:r>
      <w:r w:rsidR="00461ACC">
        <w:rPr>
          <w:rFonts w:ascii="Tahoma" w:hAnsi="Tahoma" w:cs="Tahoma"/>
        </w:rPr>
        <w:t xml:space="preserve">a </w:t>
      </w:r>
      <w:r>
        <w:rPr>
          <w:rFonts w:ascii="Tahoma" w:hAnsi="Tahoma" w:cs="Tahoma"/>
        </w:rPr>
        <w:t xml:space="preserve">high-quality policing service with absolute integrity, </w:t>
      </w:r>
      <w:r w:rsidR="00461ACC">
        <w:rPr>
          <w:rFonts w:ascii="Tahoma" w:hAnsi="Tahoma" w:cs="Tahoma"/>
        </w:rPr>
        <w:t xml:space="preserve">to </w:t>
      </w:r>
      <w:r>
        <w:rPr>
          <w:rFonts w:ascii="Tahoma" w:hAnsi="Tahoma" w:cs="Tahoma"/>
        </w:rPr>
        <w:t>support and protect victims</w:t>
      </w:r>
      <w:r w:rsidR="00461ACC">
        <w:rPr>
          <w:rFonts w:ascii="Tahoma" w:hAnsi="Tahoma" w:cs="Tahoma"/>
        </w:rPr>
        <w:t>,</w:t>
      </w:r>
      <w:r>
        <w:rPr>
          <w:rFonts w:ascii="Tahoma" w:hAnsi="Tahoma" w:cs="Tahoma"/>
        </w:rPr>
        <w:t xml:space="preserve"> and</w:t>
      </w:r>
      <w:r w:rsidR="00461ACC">
        <w:rPr>
          <w:rFonts w:ascii="Tahoma" w:hAnsi="Tahoma" w:cs="Tahoma"/>
        </w:rPr>
        <w:t xml:space="preserve"> to</w:t>
      </w:r>
      <w:r>
        <w:rPr>
          <w:rFonts w:ascii="Tahoma" w:hAnsi="Tahoma" w:cs="Tahoma"/>
        </w:rPr>
        <w:t xml:space="preserve"> catch criminals and solve crime.   </w:t>
      </w:r>
      <w:r w:rsidR="00D23E11">
        <w:rPr>
          <w:rFonts w:ascii="Tahoma" w:hAnsi="Tahoma" w:cs="Tahoma"/>
        </w:rPr>
        <w:br w:type="page"/>
      </w:r>
    </w:p>
    <w:p w14:paraId="021339DE" w14:textId="3900CD73" w:rsidR="00D23E11" w:rsidRPr="00B51B1D" w:rsidRDefault="00B51B1D" w:rsidP="00D23E11">
      <w:pPr>
        <w:spacing w:after="0" w:line="240" w:lineRule="auto"/>
        <w:jc w:val="right"/>
        <w:rPr>
          <w:rFonts w:ascii="Tahoma" w:hAnsi="Tahoma" w:cs="Tahoma"/>
          <w:b/>
          <w:bCs/>
          <w:color w:val="FF0000"/>
        </w:rPr>
      </w:pPr>
      <w:r w:rsidRPr="00B51B1D">
        <w:rPr>
          <w:rFonts w:ascii="Tahoma" w:hAnsi="Tahoma" w:cs="Tahoma"/>
          <w:b/>
          <w:bCs/>
          <w:color w:val="FF0000"/>
        </w:rPr>
        <w:lastRenderedPageBreak/>
        <w:t>APPENDIX</w:t>
      </w:r>
      <w:r w:rsidR="00D23E11" w:rsidRPr="00B51B1D">
        <w:rPr>
          <w:rFonts w:ascii="Tahoma" w:hAnsi="Tahoma" w:cs="Tahoma"/>
          <w:b/>
          <w:bCs/>
          <w:color w:val="FF0000"/>
        </w:rPr>
        <w:t xml:space="preserve"> A</w:t>
      </w:r>
    </w:p>
    <w:p w14:paraId="3782ED63" w14:textId="77777777" w:rsidR="00D23E11" w:rsidRDefault="00D23E11" w:rsidP="00D23E11">
      <w:pPr>
        <w:spacing w:after="0" w:line="240" w:lineRule="auto"/>
        <w:rPr>
          <w:rFonts w:ascii="Tahoma" w:hAnsi="Tahoma" w:cs="Tahoma"/>
          <w:b/>
          <w:bCs/>
        </w:rPr>
      </w:pPr>
    </w:p>
    <w:p w14:paraId="745ADCFA" w14:textId="6DA76576" w:rsidR="00D23E11" w:rsidRDefault="00D23E11" w:rsidP="00D23E11">
      <w:pPr>
        <w:spacing w:after="0" w:line="240" w:lineRule="auto"/>
        <w:rPr>
          <w:rFonts w:ascii="Tahoma" w:hAnsi="Tahoma" w:cs="Tahoma"/>
          <w:b/>
          <w:bCs/>
          <w:u w:val="single"/>
        </w:rPr>
      </w:pPr>
      <w:r w:rsidRPr="00D23E11">
        <w:rPr>
          <w:rFonts w:ascii="Tahoma" w:hAnsi="Tahoma" w:cs="Tahoma"/>
          <w:b/>
          <w:bCs/>
          <w:u w:val="single"/>
        </w:rPr>
        <w:t>Beating Crime Plan – National Measures</w:t>
      </w:r>
    </w:p>
    <w:p w14:paraId="150369B3" w14:textId="77777777" w:rsidR="00D23E11" w:rsidRPr="00D23E11" w:rsidRDefault="00D23E11" w:rsidP="00D23E11">
      <w:pPr>
        <w:spacing w:after="0" w:line="240" w:lineRule="auto"/>
        <w:rPr>
          <w:rFonts w:ascii="Tahoma" w:hAnsi="Tahoma" w:cs="Tahoma"/>
          <w:b/>
          <w:bCs/>
          <w:u w:val="single"/>
        </w:rPr>
      </w:pPr>
    </w:p>
    <w:p w14:paraId="324FFD00" w14:textId="77777777" w:rsidR="00D23E11" w:rsidRDefault="00D23E11" w:rsidP="00D23E11">
      <w:pPr>
        <w:spacing w:after="0" w:line="240" w:lineRule="auto"/>
        <w:rPr>
          <w:rFonts w:ascii="Tahoma" w:hAnsi="Tahoma" w:cs="Tahoma"/>
        </w:rPr>
      </w:pPr>
      <w:r w:rsidRPr="001E0703">
        <w:rPr>
          <w:rFonts w:ascii="Tahoma" w:hAnsi="Tahoma" w:cs="Tahoma"/>
        </w:rPr>
        <w:t xml:space="preserve">The following information is taken from the Digital Crime and Policing Pack produced by the Home Office, </w:t>
      </w:r>
      <w:r>
        <w:rPr>
          <w:rFonts w:ascii="Tahoma" w:hAnsi="Tahoma" w:cs="Tahoma"/>
        </w:rPr>
        <w:t xml:space="preserve">and therefore </w:t>
      </w:r>
      <w:r w:rsidRPr="001E0703">
        <w:rPr>
          <w:rFonts w:ascii="Tahoma" w:hAnsi="Tahoma" w:cs="Tahoma"/>
        </w:rPr>
        <w:t>the date periods may differ for crime types</w:t>
      </w:r>
      <w:r>
        <w:rPr>
          <w:rFonts w:ascii="Tahoma" w:hAnsi="Tahoma" w:cs="Tahoma"/>
        </w:rPr>
        <w:t>.</w:t>
      </w:r>
    </w:p>
    <w:p w14:paraId="5CDC5B9A" w14:textId="3EFAB073" w:rsidR="00D23E11" w:rsidRPr="001E0703" w:rsidRDefault="00D23E11" w:rsidP="00D23E11">
      <w:pPr>
        <w:spacing w:after="0" w:line="240" w:lineRule="auto"/>
        <w:rPr>
          <w:rFonts w:ascii="Tahoma" w:hAnsi="Tahoma" w:cs="Tahoma"/>
        </w:rPr>
      </w:pPr>
      <w:r>
        <w:rPr>
          <w:rFonts w:ascii="Tahoma" w:hAnsi="Tahoma" w:cs="Tahoma"/>
        </w:rPr>
        <w:t xml:space="preserve">  </w:t>
      </w:r>
    </w:p>
    <w:p w14:paraId="0CB31BA9" w14:textId="65C8651E" w:rsidR="00D23E11" w:rsidRDefault="00D23E11" w:rsidP="00461ACC">
      <w:pPr>
        <w:pStyle w:val="ListParagraph"/>
        <w:numPr>
          <w:ilvl w:val="0"/>
          <w:numId w:val="5"/>
        </w:numPr>
        <w:spacing w:after="0" w:line="240" w:lineRule="auto"/>
        <w:rPr>
          <w:rFonts w:ascii="Tahoma" w:hAnsi="Tahoma" w:cs="Tahoma"/>
          <w:b/>
          <w:bCs/>
        </w:rPr>
      </w:pPr>
      <w:r w:rsidRPr="00D23E11">
        <w:rPr>
          <w:rFonts w:ascii="Tahoma" w:hAnsi="Tahoma" w:cs="Tahoma"/>
          <w:b/>
          <w:bCs/>
        </w:rPr>
        <w:t>Neighbourhood Crime</w:t>
      </w:r>
    </w:p>
    <w:p w14:paraId="280F0A81" w14:textId="77777777" w:rsidR="00D23E11" w:rsidRPr="00D23E11" w:rsidRDefault="00D23E11" w:rsidP="00D23E11">
      <w:pPr>
        <w:pStyle w:val="ListParagraph"/>
        <w:spacing w:after="0" w:line="240" w:lineRule="auto"/>
        <w:ind w:left="0"/>
        <w:rPr>
          <w:rFonts w:ascii="Tahoma" w:hAnsi="Tahoma" w:cs="Tahoma"/>
          <w:b/>
          <w:bCs/>
        </w:rPr>
      </w:pPr>
    </w:p>
    <w:tbl>
      <w:tblPr>
        <w:tblW w:w="9140" w:type="dxa"/>
        <w:jc w:val="center"/>
        <w:tblLayout w:type="fixed"/>
        <w:tblLook w:val="04A0" w:firstRow="1" w:lastRow="0" w:firstColumn="1" w:lastColumn="0" w:noHBand="0" w:noVBand="1"/>
      </w:tblPr>
      <w:tblGrid>
        <w:gridCol w:w="3397"/>
        <w:gridCol w:w="2268"/>
        <w:gridCol w:w="1843"/>
        <w:gridCol w:w="1632"/>
      </w:tblGrid>
      <w:tr w:rsidR="00D23E11" w:rsidRPr="001E0703" w14:paraId="6EE5449D" w14:textId="77777777" w:rsidTr="004F4D6F">
        <w:trPr>
          <w:trHeight w:val="556"/>
          <w:jc w:val="center"/>
        </w:trPr>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38C769"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Date Period</w:t>
            </w:r>
          </w:p>
        </w:tc>
        <w:tc>
          <w:tcPr>
            <w:tcW w:w="226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346D6A4"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Recorded Crime</w:t>
            </w:r>
          </w:p>
        </w:tc>
        <w:tc>
          <w:tcPr>
            <w:tcW w:w="18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FA54710"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 Change</w:t>
            </w:r>
          </w:p>
        </w:tc>
        <w:tc>
          <w:tcPr>
            <w:tcW w:w="163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2A429D3"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Number change</w:t>
            </w:r>
          </w:p>
        </w:tc>
      </w:tr>
      <w:tr w:rsidR="00D23E11" w:rsidRPr="001E0703" w14:paraId="037B0DEF"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hideMark/>
          </w:tcPr>
          <w:p w14:paraId="6C862762"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January 2021 - December 2021</w:t>
            </w:r>
          </w:p>
        </w:tc>
        <w:tc>
          <w:tcPr>
            <w:tcW w:w="2268" w:type="dxa"/>
            <w:tcBorders>
              <w:top w:val="nil"/>
              <w:left w:val="nil"/>
              <w:bottom w:val="single" w:sz="4" w:space="0" w:color="auto"/>
              <w:right w:val="single" w:sz="4" w:space="0" w:color="auto"/>
            </w:tcBorders>
            <w:shd w:val="clear" w:color="auto" w:fill="auto"/>
            <w:vAlign w:val="center"/>
          </w:tcPr>
          <w:p w14:paraId="71A1BE2E"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15332</w:t>
            </w:r>
          </w:p>
        </w:tc>
        <w:tc>
          <w:tcPr>
            <w:tcW w:w="1843" w:type="dxa"/>
            <w:tcBorders>
              <w:top w:val="nil"/>
              <w:left w:val="nil"/>
              <w:bottom w:val="single" w:sz="4" w:space="0" w:color="auto"/>
              <w:right w:val="single" w:sz="4" w:space="0" w:color="auto"/>
            </w:tcBorders>
            <w:shd w:val="clear" w:color="auto" w:fill="auto"/>
            <w:noWrap/>
            <w:vAlign w:val="center"/>
          </w:tcPr>
          <w:p w14:paraId="6509D3FC"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-14.5%</w:t>
            </w:r>
          </w:p>
        </w:tc>
        <w:tc>
          <w:tcPr>
            <w:tcW w:w="1632" w:type="dxa"/>
            <w:tcBorders>
              <w:top w:val="nil"/>
              <w:left w:val="nil"/>
              <w:bottom w:val="single" w:sz="4" w:space="0" w:color="auto"/>
              <w:right w:val="single" w:sz="4" w:space="0" w:color="auto"/>
            </w:tcBorders>
            <w:shd w:val="clear" w:color="auto" w:fill="auto"/>
            <w:noWrap/>
            <w:vAlign w:val="center"/>
          </w:tcPr>
          <w:p w14:paraId="45164C54"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-2606</w:t>
            </w:r>
          </w:p>
        </w:tc>
      </w:tr>
      <w:tr w:rsidR="00D23E11" w:rsidRPr="001E0703" w14:paraId="64999628"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hideMark/>
          </w:tcPr>
          <w:p w14:paraId="22D22E04"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January 2022 - December 2022</w:t>
            </w:r>
          </w:p>
        </w:tc>
        <w:tc>
          <w:tcPr>
            <w:tcW w:w="2268" w:type="dxa"/>
            <w:tcBorders>
              <w:top w:val="nil"/>
              <w:left w:val="nil"/>
              <w:bottom w:val="single" w:sz="4" w:space="0" w:color="auto"/>
              <w:right w:val="single" w:sz="4" w:space="0" w:color="auto"/>
            </w:tcBorders>
            <w:shd w:val="clear" w:color="auto" w:fill="auto"/>
            <w:noWrap/>
            <w:vAlign w:val="center"/>
          </w:tcPr>
          <w:p w14:paraId="743C1F06"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16812</w:t>
            </w:r>
          </w:p>
        </w:tc>
        <w:tc>
          <w:tcPr>
            <w:tcW w:w="1843" w:type="dxa"/>
            <w:tcBorders>
              <w:top w:val="nil"/>
              <w:left w:val="nil"/>
              <w:bottom w:val="single" w:sz="4" w:space="0" w:color="auto"/>
              <w:right w:val="single" w:sz="4" w:space="0" w:color="auto"/>
            </w:tcBorders>
            <w:shd w:val="clear" w:color="auto" w:fill="auto"/>
            <w:noWrap/>
            <w:vAlign w:val="center"/>
          </w:tcPr>
          <w:p w14:paraId="417F25A3"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9.7%</w:t>
            </w:r>
          </w:p>
        </w:tc>
        <w:tc>
          <w:tcPr>
            <w:tcW w:w="1632" w:type="dxa"/>
            <w:tcBorders>
              <w:top w:val="nil"/>
              <w:left w:val="nil"/>
              <w:bottom w:val="single" w:sz="4" w:space="0" w:color="auto"/>
              <w:right w:val="single" w:sz="4" w:space="0" w:color="auto"/>
            </w:tcBorders>
            <w:shd w:val="clear" w:color="auto" w:fill="auto"/>
            <w:noWrap/>
            <w:vAlign w:val="center"/>
          </w:tcPr>
          <w:p w14:paraId="45D3ACD1"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1480</w:t>
            </w:r>
          </w:p>
        </w:tc>
      </w:tr>
      <w:tr w:rsidR="00D23E11" w:rsidRPr="001E0703" w14:paraId="08B59E3B"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hideMark/>
          </w:tcPr>
          <w:p w14:paraId="73225A44"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January 2023 - December 2023</w:t>
            </w:r>
          </w:p>
        </w:tc>
        <w:tc>
          <w:tcPr>
            <w:tcW w:w="2268" w:type="dxa"/>
            <w:tcBorders>
              <w:top w:val="nil"/>
              <w:left w:val="nil"/>
              <w:bottom w:val="single" w:sz="4" w:space="0" w:color="auto"/>
              <w:right w:val="single" w:sz="4" w:space="0" w:color="auto"/>
            </w:tcBorders>
            <w:shd w:val="clear" w:color="auto" w:fill="auto"/>
            <w:noWrap/>
            <w:vAlign w:val="center"/>
          </w:tcPr>
          <w:p w14:paraId="07EDC576"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15918</w:t>
            </w:r>
          </w:p>
        </w:tc>
        <w:tc>
          <w:tcPr>
            <w:tcW w:w="1843" w:type="dxa"/>
            <w:tcBorders>
              <w:top w:val="nil"/>
              <w:left w:val="nil"/>
              <w:bottom w:val="single" w:sz="4" w:space="0" w:color="auto"/>
              <w:right w:val="single" w:sz="4" w:space="0" w:color="auto"/>
            </w:tcBorders>
            <w:shd w:val="clear" w:color="auto" w:fill="auto"/>
            <w:noWrap/>
            <w:vAlign w:val="center"/>
          </w:tcPr>
          <w:p w14:paraId="47BD02EE"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-5.3%</w:t>
            </w:r>
          </w:p>
        </w:tc>
        <w:tc>
          <w:tcPr>
            <w:tcW w:w="1632" w:type="dxa"/>
            <w:tcBorders>
              <w:top w:val="nil"/>
              <w:left w:val="nil"/>
              <w:bottom w:val="single" w:sz="4" w:space="0" w:color="auto"/>
              <w:right w:val="single" w:sz="4" w:space="0" w:color="auto"/>
            </w:tcBorders>
            <w:shd w:val="clear" w:color="auto" w:fill="auto"/>
            <w:noWrap/>
            <w:vAlign w:val="center"/>
          </w:tcPr>
          <w:p w14:paraId="39262DBE"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-894</w:t>
            </w:r>
          </w:p>
        </w:tc>
      </w:tr>
      <w:tr w:rsidR="00D23E11" w:rsidRPr="001E0703" w14:paraId="4C4A8B5F" w14:textId="77777777" w:rsidTr="004F4D6F">
        <w:trPr>
          <w:trHeight w:val="210"/>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3A83E67F"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January 2024 - December 2024</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12E5E4A"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16043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AE43A04"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0.8%</w:t>
            </w:r>
          </w:p>
        </w:tc>
        <w:tc>
          <w:tcPr>
            <w:tcW w:w="1632" w:type="dxa"/>
            <w:tcBorders>
              <w:top w:val="single" w:sz="4" w:space="0" w:color="auto"/>
              <w:left w:val="nil"/>
              <w:bottom w:val="single" w:sz="4" w:space="0" w:color="auto"/>
              <w:right w:val="single" w:sz="4" w:space="0" w:color="auto"/>
            </w:tcBorders>
            <w:shd w:val="clear" w:color="auto" w:fill="auto"/>
            <w:noWrap/>
            <w:vAlign w:val="center"/>
          </w:tcPr>
          <w:p w14:paraId="40926C1E"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125</w:t>
            </w:r>
          </w:p>
        </w:tc>
      </w:tr>
    </w:tbl>
    <w:p w14:paraId="62D1987F" w14:textId="77777777" w:rsidR="00D23E11" w:rsidRPr="001E0703" w:rsidRDefault="00D23E11" w:rsidP="00D23E11">
      <w:pPr>
        <w:spacing w:after="0" w:line="240" w:lineRule="auto"/>
        <w:rPr>
          <w:rFonts w:ascii="Tahoma" w:hAnsi="Tahoma" w:cs="Tahoma"/>
          <w:b/>
          <w:bCs/>
        </w:rPr>
      </w:pPr>
    </w:p>
    <w:p w14:paraId="6F59A1F1" w14:textId="1BE0B388" w:rsidR="00D23E11" w:rsidRPr="001E0703" w:rsidRDefault="00D23E11" w:rsidP="00D23E11">
      <w:pPr>
        <w:spacing w:after="0" w:line="240" w:lineRule="auto"/>
        <w:rPr>
          <w:rFonts w:ascii="Tahoma" w:hAnsi="Tahoma" w:cs="Tahoma"/>
        </w:rPr>
      </w:pPr>
      <w:r w:rsidRPr="001E0703">
        <w:rPr>
          <w:rFonts w:ascii="Tahoma" w:hAnsi="Tahoma" w:cs="Tahoma"/>
        </w:rPr>
        <w:t xml:space="preserve">Although </w:t>
      </w:r>
      <w:r>
        <w:rPr>
          <w:rFonts w:ascii="Tahoma" w:hAnsi="Tahoma" w:cs="Tahoma"/>
        </w:rPr>
        <w:t>t</w:t>
      </w:r>
      <w:r w:rsidRPr="001E0703">
        <w:rPr>
          <w:rFonts w:ascii="Tahoma" w:hAnsi="Tahoma" w:cs="Tahoma"/>
        </w:rPr>
        <w:t xml:space="preserve">otal Neighbourhood crime is currently on a 0.8% increase, with 125 more crimes on the previous year, compared to the baseline data of January 2019 to December 2019, Kent is seeing an overall decrease of -36% (-8908 crimes). There are 4 crime types under Neighbourhood Crime (NHC), Personal Robbery, Theft from the Person, Vehicle Crime and Residential Burglary. </w:t>
      </w:r>
      <w:r w:rsidR="00160E3A">
        <w:rPr>
          <w:rFonts w:ascii="Tahoma" w:hAnsi="Tahoma" w:cs="Tahoma"/>
        </w:rPr>
        <w:t xml:space="preserve"> </w:t>
      </w:r>
      <w:r w:rsidRPr="001E0703">
        <w:rPr>
          <w:rFonts w:ascii="Tahoma" w:hAnsi="Tahoma" w:cs="Tahoma"/>
        </w:rPr>
        <w:t>For the 12 months ending December 2024:</w:t>
      </w:r>
    </w:p>
    <w:p w14:paraId="5CA69EDF" w14:textId="77777777" w:rsidR="00D23E11" w:rsidRPr="00D23E11" w:rsidRDefault="00D23E11" w:rsidP="00461ACC">
      <w:pPr>
        <w:pStyle w:val="ListParagraph"/>
        <w:numPr>
          <w:ilvl w:val="0"/>
          <w:numId w:val="6"/>
        </w:numPr>
        <w:spacing w:after="0" w:line="240" w:lineRule="auto"/>
        <w:rPr>
          <w:rFonts w:ascii="Tahoma" w:hAnsi="Tahoma" w:cs="Tahoma"/>
        </w:rPr>
      </w:pPr>
      <w:r w:rsidRPr="00D23E11">
        <w:rPr>
          <w:rFonts w:ascii="Tahoma" w:hAnsi="Tahoma" w:cs="Tahoma"/>
        </w:rPr>
        <w:t>Vehicle crime has seen a 3.6% increase (+339 crimes) on previous 12 months but below the December 2019 baseline (-30%, -4202)</w:t>
      </w:r>
    </w:p>
    <w:p w14:paraId="7F29C8D2" w14:textId="77777777" w:rsidR="00D23E11" w:rsidRPr="00D23E11" w:rsidRDefault="00D23E11" w:rsidP="00461ACC">
      <w:pPr>
        <w:pStyle w:val="ListParagraph"/>
        <w:numPr>
          <w:ilvl w:val="0"/>
          <w:numId w:val="6"/>
        </w:numPr>
        <w:spacing w:after="0" w:line="240" w:lineRule="auto"/>
        <w:rPr>
          <w:rFonts w:ascii="Tahoma" w:hAnsi="Tahoma" w:cs="Tahoma"/>
        </w:rPr>
      </w:pPr>
      <w:r w:rsidRPr="00D23E11">
        <w:rPr>
          <w:rFonts w:ascii="Tahoma" w:hAnsi="Tahoma" w:cs="Tahoma"/>
        </w:rPr>
        <w:t>Personal robbery has seen a -6.8% decrease (-71 crimes) on previous 12 months and below the December 2019 baseline (-46%, -815)</w:t>
      </w:r>
    </w:p>
    <w:p w14:paraId="010A0B24" w14:textId="77777777" w:rsidR="00D23E11" w:rsidRPr="00D23E11" w:rsidRDefault="00D23E11" w:rsidP="00461ACC">
      <w:pPr>
        <w:pStyle w:val="ListParagraph"/>
        <w:numPr>
          <w:ilvl w:val="0"/>
          <w:numId w:val="6"/>
        </w:numPr>
        <w:spacing w:after="0" w:line="240" w:lineRule="auto"/>
        <w:rPr>
          <w:rFonts w:ascii="Tahoma" w:hAnsi="Tahoma" w:cs="Tahoma"/>
        </w:rPr>
      </w:pPr>
      <w:r w:rsidRPr="00D23E11">
        <w:rPr>
          <w:rFonts w:ascii="Tahoma" w:hAnsi="Tahoma" w:cs="Tahoma"/>
        </w:rPr>
        <w:t>Burglary Residential has seen a -3.1% decrease (- 140 crimes) on previous 12 months and below the December 2019 baseline (-45%, -3541)</w:t>
      </w:r>
    </w:p>
    <w:p w14:paraId="795A1873" w14:textId="77777777" w:rsidR="00D23E11" w:rsidRPr="00D23E11" w:rsidRDefault="00D23E11" w:rsidP="00461ACC">
      <w:pPr>
        <w:pStyle w:val="ListParagraph"/>
        <w:numPr>
          <w:ilvl w:val="0"/>
          <w:numId w:val="6"/>
        </w:numPr>
        <w:spacing w:after="0" w:line="240" w:lineRule="auto"/>
        <w:rPr>
          <w:rFonts w:ascii="Tahoma" w:hAnsi="Tahoma" w:cs="Tahoma"/>
        </w:rPr>
      </w:pPr>
      <w:r w:rsidRPr="00D23E11">
        <w:rPr>
          <w:rFonts w:ascii="Tahoma" w:hAnsi="Tahoma" w:cs="Tahoma"/>
        </w:rPr>
        <w:t>Theft from the Person has seen an -0.3% decrease (-3 crimes) on previous 12 months and below the December 2019 baseline (-25%, -350)</w:t>
      </w:r>
    </w:p>
    <w:p w14:paraId="22F7A2EA" w14:textId="77777777" w:rsidR="00D23E11" w:rsidRDefault="00D23E11" w:rsidP="00D23E11">
      <w:pPr>
        <w:spacing w:after="0" w:line="240" w:lineRule="auto"/>
        <w:rPr>
          <w:rFonts w:ascii="Tahoma" w:hAnsi="Tahoma" w:cs="Tahoma"/>
          <w:b/>
          <w:bCs/>
          <w:u w:val="single"/>
        </w:rPr>
      </w:pPr>
    </w:p>
    <w:p w14:paraId="1068F2B6" w14:textId="54DA254A" w:rsidR="00D23E11" w:rsidRPr="00D23E11" w:rsidRDefault="00D23E11" w:rsidP="00461ACC">
      <w:pPr>
        <w:pStyle w:val="ListParagraph"/>
        <w:numPr>
          <w:ilvl w:val="0"/>
          <w:numId w:val="5"/>
        </w:numPr>
        <w:spacing w:after="0" w:line="240" w:lineRule="auto"/>
        <w:rPr>
          <w:rFonts w:ascii="Tahoma" w:hAnsi="Tahoma" w:cs="Tahoma"/>
          <w:b/>
          <w:bCs/>
          <w:u w:val="single"/>
        </w:rPr>
      </w:pPr>
      <w:r w:rsidRPr="00D23E11">
        <w:rPr>
          <w:rFonts w:ascii="Tahoma" w:hAnsi="Tahoma" w:cs="Tahoma"/>
          <w:b/>
          <w:bCs/>
          <w:u w:val="single"/>
        </w:rPr>
        <w:t>Serious Violence</w:t>
      </w:r>
      <w:r w:rsidR="00160E3A">
        <w:rPr>
          <w:rFonts w:ascii="Tahoma" w:hAnsi="Tahoma" w:cs="Tahoma"/>
          <w:b/>
          <w:bCs/>
          <w:u w:val="single"/>
        </w:rPr>
        <w:t xml:space="preserve"> Measures</w:t>
      </w:r>
    </w:p>
    <w:p w14:paraId="4443DF22" w14:textId="77777777" w:rsidR="00D23E11" w:rsidRPr="00D23E11" w:rsidRDefault="00D23E11" w:rsidP="00D23E11">
      <w:pPr>
        <w:spacing w:after="0" w:line="240" w:lineRule="auto"/>
        <w:rPr>
          <w:rFonts w:ascii="Tahoma" w:hAnsi="Tahoma" w:cs="Tahoma"/>
          <w:b/>
          <w:bCs/>
          <w:u w:val="single"/>
        </w:rPr>
      </w:pPr>
    </w:p>
    <w:p w14:paraId="52AF0FE4" w14:textId="77777777" w:rsidR="00D23E11" w:rsidRPr="001E0703" w:rsidRDefault="00D23E11" w:rsidP="00D23E11">
      <w:pPr>
        <w:spacing w:after="0" w:line="240" w:lineRule="auto"/>
        <w:rPr>
          <w:rFonts w:ascii="Tahoma" w:hAnsi="Tahoma" w:cs="Tahoma"/>
          <w:b/>
          <w:bCs/>
        </w:rPr>
      </w:pPr>
      <w:r w:rsidRPr="001E0703">
        <w:rPr>
          <w:rFonts w:ascii="Tahoma" w:hAnsi="Tahoma" w:cs="Tahoma"/>
          <w:b/>
          <w:bCs/>
        </w:rPr>
        <w:t>Offences involving firearms</w:t>
      </w:r>
    </w:p>
    <w:tbl>
      <w:tblPr>
        <w:tblW w:w="9140" w:type="dxa"/>
        <w:jc w:val="center"/>
        <w:tblLayout w:type="fixed"/>
        <w:tblLook w:val="04A0" w:firstRow="1" w:lastRow="0" w:firstColumn="1" w:lastColumn="0" w:noHBand="0" w:noVBand="1"/>
      </w:tblPr>
      <w:tblGrid>
        <w:gridCol w:w="3397"/>
        <w:gridCol w:w="2268"/>
        <w:gridCol w:w="1843"/>
        <w:gridCol w:w="1632"/>
      </w:tblGrid>
      <w:tr w:rsidR="00D23E11" w:rsidRPr="001E0703" w14:paraId="54C7C217" w14:textId="77777777" w:rsidTr="004F4D6F">
        <w:trPr>
          <w:trHeight w:val="556"/>
          <w:jc w:val="center"/>
        </w:trPr>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017738"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Date Period</w:t>
            </w:r>
          </w:p>
        </w:tc>
        <w:tc>
          <w:tcPr>
            <w:tcW w:w="226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0476D91"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Recorded Crime</w:t>
            </w:r>
          </w:p>
        </w:tc>
        <w:tc>
          <w:tcPr>
            <w:tcW w:w="18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F4345CA"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 Change</w:t>
            </w:r>
          </w:p>
        </w:tc>
        <w:tc>
          <w:tcPr>
            <w:tcW w:w="163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2D948B9"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Number change</w:t>
            </w:r>
          </w:p>
        </w:tc>
      </w:tr>
      <w:tr w:rsidR="00D23E11" w:rsidRPr="001E0703" w14:paraId="4B558065"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hideMark/>
          </w:tcPr>
          <w:p w14:paraId="0E6DC0E1"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October 2020 - September 2021</w:t>
            </w:r>
          </w:p>
        </w:tc>
        <w:tc>
          <w:tcPr>
            <w:tcW w:w="2268" w:type="dxa"/>
            <w:tcBorders>
              <w:top w:val="nil"/>
              <w:left w:val="nil"/>
              <w:bottom w:val="single" w:sz="4" w:space="0" w:color="auto"/>
              <w:right w:val="single" w:sz="4" w:space="0" w:color="auto"/>
            </w:tcBorders>
            <w:shd w:val="clear" w:color="auto" w:fill="auto"/>
          </w:tcPr>
          <w:p w14:paraId="238D2705"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136</w:t>
            </w:r>
          </w:p>
        </w:tc>
        <w:tc>
          <w:tcPr>
            <w:tcW w:w="1843" w:type="dxa"/>
            <w:tcBorders>
              <w:top w:val="nil"/>
              <w:left w:val="nil"/>
              <w:bottom w:val="single" w:sz="4" w:space="0" w:color="auto"/>
              <w:right w:val="single" w:sz="4" w:space="0" w:color="auto"/>
            </w:tcBorders>
            <w:shd w:val="clear" w:color="auto" w:fill="auto"/>
            <w:noWrap/>
          </w:tcPr>
          <w:p w14:paraId="791EB5E4"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30.8%</w:t>
            </w:r>
          </w:p>
        </w:tc>
        <w:tc>
          <w:tcPr>
            <w:tcW w:w="1632" w:type="dxa"/>
            <w:tcBorders>
              <w:top w:val="nil"/>
              <w:left w:val="nil"/>
              <w:bottom w:val="single" w:sz="4" w:space="0" w:color="auto"/>
              <w:right w:val="single" w:sz="4" w:space="0" w:color="auto"/>
            </w:tcBorders>
            <w:shd w:val="clear" w:color="auto" w:fill="auto"/>
            <w:noWrap/>
          </w:tcPr>
          <w:p w14:paraId="2A34EC2F"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32</w:t>
            </w:r>
          </w:p>
        </w:tc>
      </w:tr>
      <w:tr w:rsidR="00D23E11" w:rsidRPr="001E0703" w14:paraId="097C583F"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hideMark/>
          </w:tcPr>
          <w:p w14:paraId="2A2B7ACF"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October 2021 - September 2022</w:t>
            </w:r>
          </w:p>
        </w:tc>
        <w:tc>
          <w:tcPr>
            <w:tcW w:w="2268" w:type="dxa"/>
            <w:tcBorders>
              <w:top w:val="nil"/>
              <w:left w:val="nil"/>
              <w:bottom w:val="single" w:sz="4" w:space="0" w:color="auto"/>
              <w:right w:val="single" w:sz="4" w:space="0" w:color="auto"/>
            </w:tcBorders>
            <w:shd w:val="clear" w:color="auto" w:fill="auto"/>
            <w:noWrap/>
          </w:tcPr>
          <w:p w14:paraId="6113220D"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159</w:t>
            </w:r>
          </w:p>
        </w:tc>
        <w:tc>
          <w:tcPr>
            <w:tcW w:w="1843" w:type="dxa"/>
            <w:tcBorders>
              <w:top w:val="nil"/>
              <w:left w:val="nil"/>
              <w:bottom w:val="single" w:sz="4" w:space="0" w:color="auto"/>
              <w:right w:val="single" w:sz="4" w:space="0" w:color="auto"/>
            </w:tcBorders>
            <w:shd w:val="clear" w:color="auto" w:fill="auto"/>
            <w:noWrap/>
          </w:tcPr>
          <w:p w14:paraId="360E382C"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16.9%</w:t>
            </w:r>
          </w:p>
        </w:tc>
        <w:tc>
          <w:tcPr>
            <w:tcW w:w="1632" w:type="dxa"/>
            <w:tcBorders>
              <w:top w:val="nil"/>
              <w:left w:val="nil"/>
              <w:bottom w:val="single" w:sz="4" w:space="0" w:color="auto"/>
              <w:right w:val="single" w:sz="4" w:space="0" w:color="auto"/>
            </w:tcBorders>
            <w:shd w:val="clear" w:color="auto" w:fill="auto"/>
            <w:noWrap/>
          </w:tcPr>
          <w:p w14:paraId="5A8DB597"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23</w:t>
            </w:r>
          </w:p>
        </w:tc>
      </w:tr>
      <w:tr w:rsidR="00D23E11" w:rsidRPr="001E0703" w14:paraId="69D5FC71"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hideMark/>
          </w:tcPr>
          <w:p w14:paraId="02521C11"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October 2022 - September 2023</w:t>
            </w:r>
          </w:p>
        </w:tc>
        <w:tc>
          <w:tcPr>
            <w:tcW w:w="2268" w:type="dxa"/>
            <w:tcBorders>
              <w:top w:val="nil"/>
              <w:left w:val="nil"/>
              <w:bottom w:val="single" w:sz="4" w:space="0" w:color="auto"/>
              <w:right w:val="single" w:sz="4" w:space="0" w:color="auto"/>
            </w:tcBorders>
            <w:shd w:val="clear" w:color="auto" w:fill="auto"/>
            <w:noWrap/>
          </w:tcPr>
          <w:p w14:paraId="230B6DFA"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98</w:t>
            </w:r>
          </w:p>
        </w:tc>
        <w:tc>
          <w:tcPr>
            <w:tcW w:w="1843" w:type="dxa"/>
            <w:tcBorders>
              <w:top w:val="nil"/>
              <w:left w:val="nil"/>
              <w:bottom w:val="single" w:sz="4" w:space="0" w:color="auto"/>
              <w:right w:val="single" w:sz="4" w:space="0" w:color="auto"/>
            </w:tcBorders>
            <w:shd w:val="clear" w:color="auto" w:fill="auto"/>
            <w:noWrap/>
          </w:tcPr>
          <w:p w14:paraId="0886D356"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-38.4%</w:t>
            </w:r>
          </w:p>
        </w:tc>
        <w:tc>
          <w:tcPr>
            <w:tcW w:w="1632" w:type="dxa"/>
            <w:tcBorders>
              <w:top w:val="nil"/>
              <w:left w:val="nil"/>
              <w:bottom w:val="single" w:sz="4" w:space="0" w:color="auto"/>
              <w:right w:val="single" w:sz="4" w:space="0" w:color="auto"/>
            </w:tcBorders>
            <w:shd w:val="clear" w:color="auto" w:fill="auto"/>
            <w:noWrap/>
          </w:tcPr>
          <w:p w14:paraId="3766479C"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-61</w:t>
            </w:r>
          </w:p>
        </w:tc>
      </w:tr>
      <w:tr w:rsidR="00D23E11" w:rsidRPr="001E0703" w14:paraId="4E428379" w14:textId="77777777" w:rsidTr="004F4D6F">
        <w:trPr>
          <w:trHeight w:val="210"/>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514273E9"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October 2023 - September 2024</w:t>
            </w:r>
          </w:p>
        </w:tc>
        <w:tc>
          <w:tcPr>
            <w:tcW w:w="2268" w:type="dxa"/>
            <w:tcBorders>
              <w:top w:val="single" w:sz="4" w:space="0" w:color="auto"/>
              <w:left w:val="nil"/>
              <w:bottom w:val="single" w:sz="4" w:space="0" w:color="auto"/>
              <w:right w:val="single" w:sz="4" w:space="0" w:color="auto"/>
            </w:tcBorders>
            <w:shd w:val="clear" w:color="auto" w:fill="auto"/>
            <w:noWrap/>
          </w:tcPr>
          <w:p w14:paraId="7D658AF5"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98</w:t>
            </w:r>
          </w:p>
        </w:tc>
        <w:tc>
          <w:tcPr>
            <w:tcW w:w="1843" w:type="dxa"/>
            <w:tcBorders>
              <w:top w:val="single" w:sz="4" w:space="0" w:color="auto"/>
              <w:left w:val="nil"/>
              <w:bottom w:val="single" w:sz="4" w:space="0" w:color="auto"/>
              <w:right w:val="single" w:sz="4" w:space="0" w:color="auto"/>
            </w:tcBorders>
            <w:shd w:val="clear" w:color="auto" w:fill="auto"/>
            <w:noWrap/>
          </w:tcPr>
          <w:p w14:paraId="3B90C6A0"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0.0%</w:t>
            </w:r>
          </w:p>
        </w:tc>
        <w:tc>
          <w:tcPr>
            <w:tcW w:w="1632" w:type="dxa"/>
            <w:tcBorders>
              <w:top w:val="single" w:sz="4" w:space="0" w:color="auto"/>
              <w:left w:val="nil"/>
              <w:bottom w:val="single" w:sz="4" w:space="0" w:color="auto"/>
              <w:right w:val="single" w:sz="4" w:space="0" w:color="auto"/>
            </w:tcBorders>
            <w:shd w:val="clear" w:color="auto" w:fill="auto"/>
            <w:noWrap/>
          </w:tcPr>
          <w:p w14:paraId="3C20B813"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0</w:t>
            </w:r>
          </w:p>
        </w:tc>
      </w:tr>
    </w:tbl>
    <w:p w14:paraId="68BA993D" w14:textId="77777777" w:rsidR="00D23E11" w:rsidRPr="001E0703" w:rsidRDefault="00D23E11" w:rsidP="00D23E11">
      <w:pPr>
        <w:spacing w:after="0" w:line="240" w:lineRule="auto"/>
        <w:rPr>
          <w:rFonts w:ascii="Tahoma" w:hAnsi="Tahoma" w:cs="Tahoma"/>
          <w:b/>
          <w:bCs/>
        </w:rPr>
      </w:pPr>
    </w:p>
    <w:p w14:paraId="5C8DFDA4" w14:textId="67251F5E" w:rsidR="00D23E11" w:rsidRDefault="00D23E11" w:rsidP="00D23E11">
      <w:pPr>
        <w:spacing w:after="0" w:line="240" w:lineRule="auto"/>
        <w:rPr>
          <w:rFonts w:ascii="Tahoma" w:hAnsi="Tahoma" w:cs="Tahoma"/>
        </w:rPr>
      </w:pPr>
      <w:r w:rsidRPr="001E0703">
        <w:rPr>
          <w:rFonts w:ascii="Tahoma" w:hAnsi="Tahoma" w:cs="Tahoma"/>
        </w:rPr>
        <w:t>For the current 12 month</w:t>
      </w:r>
      <w:r>
        <w:rPr>
          <w:rFonts w:ascii="Tahoma" w:hAnsi="Tahoma" w:cs="Tahoma"/>
        </w:rPr>
        <w:t>s’</w:t>
      </w:r>
      <w:r w:rsidRPr="001E0703">
        <w:rPr>
          <w:rFonts w:ascii="Tahoma" w:hAnsi="Tahoma" w:cs="Tahoma"/>
        </w:rPr>
        <w:t xml:space="preserve"> period, offences involving firearms remains stable on the previous 12 months with 98 offences record and is below the December 2019 baseline (-11%, -12).</w:t>
      </w:r>
    </w:p>
    <w:p w14:paraId="4E486B06" w14:textId="77777777" w:rsidR="00D23E11" w:rsidRDefault="00D23E11" w:rsidP="00D23E11">
      <w:pPr>
        <w:spacing w:after="0" w:line="240" w:lineRule="auto"/>
        <w:rPr>
          <w:rFonts w:ascii="Tahoma" w:hAnsi="Tahoma" w:cs="Tahoma"/>
          <w:b/>
          <w:bCs/>
        </w:rPr>
      </w:pPr>
    </w:p>
    <w:p w14:paraId="5F81FE8B" w14:textId="4FD56E4F" w:rsidR="00160E3A" w:rsidRPr="001E0703" w:rsidRDefault="00D23E11" w:rsidP="00D23E11">
      <w:pPr>
        <w:spacing w:after="0" w:line="240" w:lineRule="auto"/>
        <w:rPr>
          <w:rFonts w:ascii="Tahoma" w:hAnsi="Tahoma" w:cs="Tahoma"/>
          <w:b/>
          <w:bCs/>
        </w:rPr>
      </w:pPr>
      <w:r w:rsidRPr="001E0703">
        <w:rPr>
          <w:rFonts w:ascii="Tahoma" w:hAnsi="Tahoma" w:cs="Tahoma"/>
          <w:b/>
          <w:bCs/>
        </w:rPr>
        <w:t>Violence with Injury</w:t>
      </w:r>
    </w:p>
    <w:tbl>
      <w:tblPr>
        <w:tblW w:w="9140" w:type="dxa"/>
        <w:jc w:val="center"/>
        <w:tblLayout w:type="fixed"/>
        <w:tblLook w:val="04A0" w:firstRow="1" w:lastRow="0" w:firstColumn="1" w:lastColumn="0" w:noHBand="0" w:noVBand="1"/>
      </w:tblPr>
      <w:tblGrid>
        <w:gridCol w:w="3397"/>
        <w:gridCol w:w="2268"/>
        <w:gridCol w:w="1843"/>
        <w:gridCol w:w="1632"/>
      </w:tblGrid>
      <w:tr w:rsidR="00D23E11" w:rsidRPr="001E0703" w14:paraId="77FBD32B" w14:textId="77777777" w:rsidTr="004F4D6F">
        <w:trPr>
          <w:trHeight w:val="556"/>
          <w:jc w:val="center"/>
        </w:trPr>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E625D2"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Date Period</w:t>
            </w:r>
          </w:p>
        </w:tc>
        <w:tc>
          <w:tcPr>
            <w:tcW w:w="226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A45AB74"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Recorded Crime</w:t>
            </w:r>
          </w:p>
        </w:tc>
        <w:tc>
          <w:tcPr>
            <w:tcW w:w="18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DCF4387"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 Change</w:t>
            </w:r>
          </w:p>
        </w:tc>
        <w:tc>
          <w:tcPr>
            <w:tcW w:w="163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35E6956"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Number change</w:t>
            </w:r>
          </w:p>
        </w:tc>
      </w:tr>
      <w:tr w:rsidR="00D23E11" w:rsidRPr="001E0703" w14:paraId="26A7FC45"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hideMark/>
          </w:tcPr>
          <w:p w14:paraId="12E10B0A"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February 2021 - January 2022</w:t>
            </w:r>
          </w:p>
        </w:tc>
        <w:tc>
          <w:tcPr>
            <w:tcW w:w="2268" w:type="dxa"/>
            <w:tcBorders>
              <w:top w:val="nil"/>
              <w:left w:val="nil"/>
              <w:bottom w:val="single" w:sz="4" w:space="0" w:color="auto"/>
              <w:right w:val="single" w:sz="4" w:space="0" w:color="auto"/>
            </w:tcBorders>
            <w:shd w:val="clear" w:color="auto" w:fill="auto"/>
          </w:tcPr>
          <w:p w14:paraId="5E714032"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17982</w:t>
            </w:r>
          </w:p>
        </w:tc>
        <w:tc>
          <w:tcPr>
            <w:tcW w:w="1843" w:type="dxa"/>
            <w:tcBorders>
              <w:top w:val="nil"/>
              <w:left w:val="nil"/>
              <w:bottom w:val="single" w:sz="4" w:space="0" w:color="auto"/>
              <w:right w:val="single" w:sz="4" w:space="0" w:color="auto"/>
            </w:tcBorders>
            <w:shd w:val="clear" w:color="auto" w:fill="auto"/>
            <w:noWrap/>
          </w:tcPr>
          <w:p w14:paraId="39B89588"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5.6%</w:t>
            </w:r>
          </w:p>
        </w:tc>
        <w:tc>
          <w:tcPr>
            <w:tcW w:w="1632" w:type="dxa"/>
            <w:tcBorders>
              <w:top w:val="nil"/>
              <w:left w:val="nil"/>
              <w:bottom w:val="single" w:sz="4" w:space="0" w:color="auto"/>
              <w:right w:val="single" w:sz="4" w:space="0" w:color="auto"/>
            </w:tcBorders>
            <w:shd w:val="clear" w:color="auto" w:fill="auto"/>
            <w:noWrap/>
          </w:tcPr>
          <w:p w14:paraId="794D544D"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960</w:t>
            </w:r>
          </w:p>
        </w:tc>
      </w:tr>
      <w:tr w:rsidR="00D23E11" w:rsidRPr="001E0703" w14:paraId="0977AA07"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hideMark/>
          </w:tcPr>
          <w:p w14:paraId="1585A4EE"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February 2022 - January 2023</w:t>
            </w:r>
          </w:p>
        </w:tc>
        <w:tc>
          <w:tcPr>
            <w:tcW w:w="2268" w:type="dxa"/>
            <w:tcBorders>
              <w:top w:val="nil"/>
              <w:left w:val="nil"/>
              <w:bottom w:val="single" w:sz="4" w:space="0" w:color="auto"/>
              <w:right w:val="single" w:sz="4" w:space="0" w:color="auto"/>
            </w:tcBorders>
            <w:shd w:val="clear" w:color="auto" w:fill="auto"/>
            <w:noWrap/>
          </w:tcPr>
          <w:p w14:paraId="43150B56"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18176</w:t>
            </w:r>
          </w:p>
        </w:tc>
        <w:tc>
          <w:tcPr>
            <w:tcW w:w="1843" w:type="dxa"/>
            <w:tcBorders>
              <w:top w:val="nil"/>
              <w:left w:val="nil"/>
              <w:bottom w:val="single" w:sz="4" w:space="0" w:color="auto"/>
              <w:right w:val="single" w:sz="4" w:space="0" w:color="auto"/>
            </w:tcBorders>
            <w:shd w:val="clear" w:color="auto" w:fill="auto"/>
            <w:noWrap/>
          </w:tcPr>
          <w:p w14:paraId="1960CA05"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1.1%</w:t>
            </w:r>
          </w:p>
        </w:tc>
        <w:tc>
          <w:tcPr>
            <w:tcW w:w="1632" w:type="dxa"/>
            <w:tcBorders>
              <w:top w:val="nil"/>
              <w:left w:val="nil"/>
              <w:bottom w:val="single" w:sz="4" w:space="0" w:color="auto"/>
              <w:right w:val="single" w:sz="4" w:space="0" w:color="auto"/>
            </w:tcBorders>
            <w:shd w:val="clear" w:color="auto" w:fill="auto"/>
            <w:noWrap/>
          </w:tcPr>
          <w:p w14:paraId="3132EB3F"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194</w:t>
            </w:r>
          </w:p>
        </w:tc>
      </w:tr>
      <w:tr w:rsidR="00D23E11" w:rsidRPr="001E0703" w14:paraId="39CDB9D4"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hideMark/>
          </w:tcPr>
          <w:p w14:paraId="4EC295B9"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February 2023 - January 2024</w:t>
            </w:r>
          </w:p>
        </w:tc>
        <w:tc>
          <w:tcPr>
            <w:tcW w:w="2268" w:type="dxa"/>
            <w:tcBorders>
              <w:top w:val="nil"/>
              <w:left w:val="nil"/>
              <w:bottom w:val="single" w:sz="4" w:space="0" w:color="auto"/>
              <w:right w:val="single" w:sz="4" w:space="0" w:color="auto"/>
            </w:tcBorders>
            <w:shd w:val="clear" w:color="auto" w:fill="auto"/>
            <w:noWrap/>
          </w:tcPr>
          <w:p w14:paraId="19F6C97A"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17494</w:t>
            </w:r>
          </w:p>
        </w:tc>
        <w:tc>
          <w:tcPr>
            <w:tcW w:w="1843" w:type="dxa"/>
            <w:tcBorders>
              <w:top w:val="nil"/>
              <w:left w:val="nil"/>
              <w:bottom w:val="single" w:sz="4" w:space="0" w:color="auto"/>
              <w:right w:val="single" w:sz="4" w:space="0" w:color="auto"/>
            </w:tcBorders>
            <w:shd w:val="clear" w:color="auto" w:fill="auto"/>
            <w:noWrap/>
          </w:tcPr>
          <w:p w14:paraId="2B9C1D0C"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-3.8%</w:t>
            </w:r>
          </w:p>
        </w:tc>
        <w:tc>
          <w:tcPr>
            <w:tcW w:w="1632" w:type="dxa"/>
            <w:tcBorders>
              <w:top w:val="nil"/>
              <w:left w:val="nil"/>
              <w:bottom w:val="single" w:sz="4" w:space="0" w:color="auto"/>
              <w:right w:val="single" w:sz="4" w:space="0" w:color="auto"/>
            </w:tcBorders>
            <w:shd w:val="clear" w:color="auto" w:fill="auto"/>
            <w:noWrap/>
          </w:tcPr>
          <w:p w14:paraId="1F131307"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-682</w:t>
            </w:r>
          </w:p>
        </w:tc>
      </w:tr>
      <w:tr w:rsidR="00D23E11" w:rsidRPr="001E0703" w14:paraId="2E10DA27" w14:textId="77777777" w:rsidTr="004F4D6F">
        <w:trPr>
          <w:trHeight w:val="210"/>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245EBC08"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February 2024 - January 2025</w:t>
            </w:r>
          </w:p>
        </w:tc>
        <w:tc>
          <w:tcPr>
            <w:tcW w:w="2268" w:type="dxa"/>
            <w:tcBorders>
              <w:top w:val="single" w:sz="4" w:space="0" w:color="auto"/>
              <w:left w:val="nil"/>
              <w:bottom w:val="single" w:sz="4" w:space="0" w:color="auto"/>
              <w:right w:val="single" w:sz="4" w:space="0" w:color="auto"/>
            </w:tcBorders>
            <w:shd w:val="clear" w:color="auto" w:fill="auto"/>
            <w:noWrap/>
          </w:tcPr>
          <w:p w14:paraId="6160335B"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16205</w:t>
            </w:r>
          </w:p>
        </w:tc>
        <w:tc>
          <w:tcPr>
            <w:tcW w:w="1843" w:type="dxa"/>
            <w:tcBorders>
              <w:top w:val="single" w:sz="4" w:space="0" w:color="auto"/>
              <w:left w:val="nil"/>
              <w:bottom w:val="single" w:sz="4" w:space="0" w:color="auto"/>
              <w:right w:val="single" w:sz="4" w:space="0" w:color="auto"/>
            </w:tcBorders>
            <w:shd w:val="clear" w:color="auto" w:fill="auto"/>
            <w:noWrap/>
          </w:tcPr>
          <w:p w14:paraId="429F0998"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-7.4%</w:t>
            </w:r>
          </w:p>
        </w:tc>
        <w:tc>
          <w:tcPr>
            <w:tcW w:w="1632" w:type="dxa"/>
            <w:tcBorders>
              <w:top w:val="single" w:sz="4" w:space="0" w:color="auto"/>
              <w:left w:val="nil"/>
              <w:bottom w:val="single" w:sz="4" w:space="0" w:color="auto"/>
              <w:right w:val="single" w:sz="4" w:space="0" w:color="auto"/>
            </w:tcBorders>
            <w:shd w:val="clear" w:color="auto" w:fill="auto"/>
            <w:noWrap/>
          </w:tcPr>
          <w:p w14:paraId="6A3FD665"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-1289</w:t>
            </w:r>
          </w:p>
        </w:tc>
      </w:tr>
    </w:tbl>
    <w:p w14:paraId="578DCE80" w14:textId="77777777" w:rsidR="00D23E11" w:rsidRPr="001E0703" w:rsidRDefault="00D23E11" w:rsidP="00D23E11">
      <w:pPr>
        <w:spacing w:after="0" w:line="240" w:lineRule="auto"/>
        <w:rPr>
          <w:rFonts w:ascii="Tahoma" w:hAnsi="Tahoma" w:cs="Tahoma"/>
          <w:b/>
          <w:bCs/>
        </w:rPr>
      </w:pPr>
    </w:p>
    <w:p w14:paraId="7637F783" w14:textId="77777777" w:rsidR="00D23E11" w:rsidRPr="001E0703" w:rsidRDefault="00D23E11" w:rsidP="00D23E11">
      <w:pPr>
        <w:spacing w:after="0" w:line="240" w:lineRule="auto"/>
        <w:rPr>
          <w:rFonts w:ascii="Tahoma" w:hAnsi="Tahoma" w:cs="Tahoma"/>
        </w:rPr>
      </w:pPr>
      <w:r w:rsidRPr="001E0703">
        <w:rPr>
          <w:rFonts w:ascii="Tahoma" w:hAnsi="Tahoma" w:cs="Tahoma"/>
        </w:rPr>
        <w:lastRenderedPageBreak/>
        <w:t>For the 12 months to January 2025, there is a -7.4% decrease with 1289 less crimes, there has been a decrease for two consecutive years. Kent is also below the December 2019 baseline (-19%, -3733).</w:t>
      </w:r>
    </w:p>
    <w:p w14:paraId="6EF10B34" w14:textId="77777777" w:rsidR="00160E3A" w:rsidRDefault="00160E3A" w:rsidP="00D23E11">
      <w:pPr>
        <w:spacing w:after="0" w:line="240" w:lineRule="auto"/>
        <w:rPr>
          <w:rFonts w:ascii="Tahoma" w:hAnsi="Tahoma" w:cs="Tahoma"/>
          <w:b/>
          <w:bCs/>
        </w:rPr>
      </w:pPr>
    </w:p>
    <w:p w14:paraId="5C1F55D3" w14:textId="190EFC48" w:rsidR="00D23E11" w:rsidRPr="001E0703" w:rsidRDefault="00D23E11" w:rsidP="00D23E11">
      <w:pPr>
        <w:spacing w:after="0" w:line="240" w:lineRule="auto"/>
        <w:rPr>
          <w:rFonts w:ascii="Tahoma" w:hAnsi="Tahoma" w:cs="Tahoma"/>
          <w:b/>
          <w:bCs/>
        </w:rPr>
      </w:pPr>
      <w:r w:rsidRPr="001E0703">
        <w:rPr>
          <w:rFonts w:ascii="Tahoma" w:hAnsi="Tahoma" w:cs="Tahoma"/>
          <w:b/>
          <w:bCs/>
        </w:rPr>
        <w:t>Robbery</w:t>
      </w:r>
    </w:p>
    <w:tbl>
      <w:tblPr>
        <w:tblW w:w="9140" w:type="dxa"/>
        <w:jc w:val="center"/>
        <w:tblLayout w:type="fixed"/>
        <w:tblLook w:val="04A0" w:firstRow="1" w:lastRow="0" w:firstColumn="1" w:lastColumn="0" w:noHBand="0" w:noVBand="1"/>
      </w:tblPr>
      <w:tblGrid>
        <w:gridCol w:w="3397"/>
        <w:gridCol w:w="2268"/>
        <w:gridCol w:w="1843"/>
        <w:gridCol w:w="1632"/>
      </w:tblGrid>
      <w:tr w:rsidR="00D23E11" w:rsidRPr="001E0703" w14:paraId="0BA23140" w14:textId="77777777" w:rsidTr="004F4D6F">
        <w:trPr>
          <w:trHeight w:val="556"/>
          <w:jc w:val="center"/>
        </w:trPr>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2C5599"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Date Period</w:t>
            </w:r>
          </w:p>
        </w:tc>
        <w:tc>
          <w:tcPr>
            <w:tcW w:w="226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4DC8F2B"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Recorded Crime</w:t>
            </w:r>
          </w:p>
        </w:tc>
        <w:tc>
          <w:tcPr>
            <w:tcW w:w="18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C6D547D"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 Change</w:t>
            </w:r>
          </w:p>
        </w:tc>
        <w:tc>
          <w:tcPr>
            <w:tcW w:w="163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94F2098"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Number change</w:t>
            </w:r>
          </w:p>
        </w:tc>
      </w:tr>
      <w:tr w:rsidR="00D23E11" w:rsidRPr="001E0703" w14:paraId="25420EA2"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hideMark/>
          </w:tcPr>
          <w:p w14:paraId="68482968"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February 2021 - January 2022</w:t>
            </w:r>
          </w:p>
        </w:tc>
        <w:tc>
          <w:tcPr>
            <w:tcW w:w="2268" w:type="dxa"/>
            <w:tcBorders>
              <w:top w:val="nil"/>
              <w:left w:val="nil"/>
              <w:bottom w:val="single" w:sz="4" w:space="0" w:color="auto"/>
              <w:right w:val="single" w:sz="4" w:space="0" w:color="auto"/>
            </w:tcBorders>
            <w:shd w:val="clear" w:color="auto" w:fill="auto"/>
          </w:tcPr>
          <w:p w14:paraId="33696DB9"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1157</w:t>
            </w:r>
          </w:p>
        </w:tc>
        <w:tc>
          <w:tcPr>
            <w:tcW w:w="1843" w:type="dxa"/>
            <w:tcBorders>
              <w:top w:val="nil"/>
              <w:left w:val="nil"/>
              <w:bottom w:val="single" w:sz="4" w:space="0" w:color="auto"/>
              <w:right w:val="single" w:sz="4" w:space="0" w:color="auto"/>
            </w:tcBorders>
            <w:shd w:val="clear" w:color="auto" w:fill="auto"/>
            <w:noWrap/>
          </w:tcPr>
          <w:p w14:paraId="6EA31E1B"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-13.3%</w:t>
            </w:r>
          </w:p>
        </w:tc>
        <w:tc>
          <w:tcPr>
            <w:tcW w:w="1632" w:type="dxa"/>
            <w:tcBorders>
              <w:top w:val="nil"/>
              <w:left w:val="nil"/>
              <w:bottom w:val="single" w:sz="4" w:space="0" w:color="auto"/>
              <w:right w:val="single" w:sz="4" w:space="0" w:color="auto"/>
            </w:tcBorders>
            <w:shd w:val="clear" w:color="auto" w:fill="auto"/>
            <w:noWrap/>
          </w:tcPr>
          <w:p w14:paraId="02C6F217"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-178</w:t>
            </w:r>
          </w:p>
        </w:tc>
      </w:tr>
      <w:tr w:rsidR="00D23E11" w:rsidRPr="001E0703" w14:paraId="250DE8D1"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hideMark/>
          </w:tcPr>
          <w:p w14:paraId="7238321F"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February 2022 - January 2023</w:t>
            </w:r>
          </w:p>
        </w:tc>
        <w:tc>
          <w:tcPr>
            <w:tcW w:w="2268" w:type="dxa"/>
            <w:tcBorders>
              <w:top w:val="nil"/>
              <w:left w:val="nil"/>
              <w:bottom w:val="single" w:sz="4" w:space="0" w:color="auto"/>
              <w:right w:val="single" w:sz="4" w:space="0" w:color="auto"/>
            </w:tcBorders>
            <w:shd w:val="clear" w:color="auto" w:fill="auto"/>
            <w:noWrap/>
          </w:tcPr>
          <w:p w14:paraId="70E7B4DD"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1287</w:t>
            </w:r>
          </w:p>
        </w:tc>
        <w:tc>
          <w:tcPr>
            <w:tcW w:w="1843" w:type="dxa"/>
            <w:tcBorders>
              <w:top w:val="nil"/>
              <w:left w:val="nil"/>
              <w:bottom w:val="single" w:sz="4" w:space="0" w:color="auto"/>
              <w:right w:val="single" w:sz="4" w:space="0" w:color="auto"/>
            </w:tcBorders>
            <w:shd w:val="clear" w:color="auto" w:fill="auto"/>
            <w:noWrap/>
          </w:tcPr>
          <w:p w14:paraId="041267D1"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11.2%</w:t>
            </w:r>
          </w:p>
        </w:tc>
        <w:tc>
          <w:tcPr>
            <w:tcW w:w="1632" w:type="dxa"/>
            <w:tcBorders>
              <w:top w:val="nil"/>
              <w:left w:val="nil"/>
              <w:bottom w:val="single" w:sz="4" w:space="0" w:color="auto"/>
              <w:right w:val="single" w:sz="4" w:space="0" w:color="auto"/>
            </w:tcBorders>
            <w:shd w:val="clear" w:color="auto" w:fill="auto"/>
            <w:noWrap/>
          </w:tcPr>
          <w:p w14:paraId="51257532"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130</w:t>
            </w:r>
          </w:p>
        </w:tc>
      </w:tr>
      <w:tr w:rsidR="00D23E11" w:rsidRPr="001E0703" w14:paraId="42849C10"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hideMark/>
          </w:tcPr>
          <w:p w14:paraId="21A951C0"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February 2023 - January 2024</w:t>
            </w:r>
          </w:p>
        </w:tc>
        <w:tc>
          <w:tcPr>
            <w:tcW w:w="2268" w:type="dxa"/>
            <w:tcBorders>
              <w:top w:val="nil"/>
              <w:left w:val="nil"/>
              <w:bottom w:val="single" w:sz="4" w:space="0" w:color="auto"/>
              <w:right w:val="single" w:sz="4" w:space="0" w:color="auto"/>
            </w:tcBorders>
            <w:shd w:val="clear" w:color="auto" w:fill="auto"/>
            <w:noWrap/>
          </w:tcPr>
          <w:p w14:paraId="77B1F296"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1090</w:t>
            </w:r>
          </w:p>
        </w:tc>
        <w:tc>
          <w:tcPr>
            <w:tcW w:w="1843" w:type="dxa"/>
            <w:tcBorders>
              <w:top w:val="nil"/>
              <w:left w:val="nil"/>
              <w:bottom w:val="single" w:sz="4" w:space="0" w:color="auto"/>
              <w:right w:val="single" w:sz="4" w:space="0" w:color="auto"/>
            </w:tcBorders>
            <w:shd w:val="clear" w:color="auto" w:fill="auto"/>
            <w:noWrap/>
          </w:tcPr>
          <w:p w14:paraId="00B45B68"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-15.3%</w:t>
            </w:r>
          </w:p>
        </w:tc>
        <w:tc>
          <w:tcPr>
            <w:tcW w:w="1632" w:type="dxa"/>
            <w:tcBorders>
              <w:top w:val="nil"/>
              <w:left w:val="nil"/>
              <w:bottom w:val="single" w:sz="4" w:space="0" w:color="auto"/>
              <w:right w:val="single" w:sz="4" w:space="0" w:color="auto"/>
            </w:tcBorders>
            <w:shd w:val="clear" w:color="auto" w:fill="auto"/>
            <w:noWrap/>
          </w:tcPr>
          <w:p w14:paraId="22236273"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-197</w:t>
            </w:r>
          </w:p>
        </w:tc>
      </w:tr>
      <w:tr w:rsidR="00D23E11" w:rsidRPr="001E0703" w14:paraId="4963A6F0" w14:textId="77777777" w:rsidTr="004F4D6F">
        <w:trPr>
          <w:trHeight w:val="210"/>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7463DF53"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February 2024 - January 2025</w:t>
            </w:r>
          </w:p>
        </w:tc>
        <w:tc>
          <w:tcPr>
            <w:tcW w:w="2268" w:type="dxa"/>
            <w:tcBorders>
              <w:top w:val="single" w:sz="4" w:space="0" w:color="auto"/>
              <w:left w:val="nil"/>
              <w:bottom w:val="single" w:sz="4" w:space="0" w:color="auto"/>
              <w:right w:val="single" w:sz="4" w:space="0" w:color="auto"/>
            </w:tcBorders>
            <w:shd w:val="clear" w:color="auto" w:fill="auto"/>
            <w:noWrap/>
          </w:tcPr>
          <w:p w14:paraId="367B5CA7"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1014</w:t>
            </w:r>
          </w:p>
        </w:tc>
        <w:tc>
          <w:tcPr>
            <w:tcW w:w="1843" w:type="dxa"/>
            <w:tcBorders>
              <w:top w:val="single" w:sz="4" w:space="0" w:color="auto"/>
              <w:left w:val="nil"/>
              <w:bottom w:val="single" w:sz="4" w:space="0" w:color="auto"/>
              <w:right w:val="single" w:sz="4" w:space="0" w:color="auto"/>
            </w:tcBorders>
            <w:shd w:val="clear" w:color="auto" w:fill="auto"/>
            <w:noWrap/>
          </w:tcPr>
          <w:p w14:paraId="359E42EB"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-7.0%</w:t>
            </w:r>
          </w:p>
        </w:tc>
        <w:tc>
          <w:tcPr>
            <w:tcW w:w="1632" w:type="dxa"/>
            <w:tcBorders>
              <w:top w:val="single" w:sz="4" w:space="0" w:color="auto"/>
              <w:left w:val="nil"/>
              <w:bottom w:val="single" w:sz="4" w:space="0" w:color="auto"/>
              <w:right w:val="single" w:sz="4" w:space="0" w:color="auto"/>
            </w:tcBorders>
            <w:shd w:val="clear" w:color="auto" w:fill="auto"/>
            <w:noWrap/>
          </w:tcPr>
          <w:p w14:paraId="1379F975"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-76</w:t>
            </w:r>
          </w:p>
        </w:tc>
      </w:tr>
    </w:tbl>
    <w:p w14:paraId="0F083030" w14:textId="77777777" w:rsidR="00D23E11" w:rsidRPr="001E0703" w:rsidRDefault="00D23E11" w:rsidP="00D23E11">
      <w:pPr>
        <w:spacing w:after="0" w:line="240" w:lineRule="auto"/>
        <w:rPr>
          <w:rFonts w:ascii="Tahoma" w:hAnsi="Tahoma" w:cs="Tahoma"/>
          <w:b/>
          <w:bCs/>
        </w:rPr>
      </w:pPr>
    </w:p>
    <w:p w14:paraId="482D6399" w14:textId="77777777" w:rsidR="00D23E11" w:rsidRDefault="00D23E11" w:rsidP="00D23E11">
      <w:pPr>
        <w:spacing w:after="0" w:line="240" w:lineRule="auto"/>
        <w:rPr>
          <w:rFonts w:ascii="Tahoma" w:hAnsi="Tahoma" w:cs="Tahoma"/>
        </w:rPr>
      </w:pPr>
      <w:r w:rsidRPr="001E0703">
        <w:rPr>
          <w:rFonts w:ascii="Tahoma" w:hAnsi="Tahoma" w:cs="Tahoma"/>
        </w:rPr>
        <w:t>For the 12 months to January 2025, there is a -7.0% decrease with 76 less crimes, there has been a decrease for two consecutive years. Kent is also below the December 2019 baseline (-48%, -937).</w:t>
      </w:r>
    </w:p>
    <w:p w14:paraId="4AD666D9" w14:textId="77777777" w:rsidR="00160E3A" w:rsidRPr="001E0703" w:rsidRDefault="00160E3A" w:rsidP="00D23E11">
      <w:pPr>
        <w:spacing w:after="0" w:line="240" w:lineRule="auto"/>
        <w:rPr>
          <w:rFonts w:ascii="Tahoma" w:hAnsi="Tahoma" w:cs="Tahoma"/>
        </w:rPr>
      </w:pPr>
    </w:p>
    <w:p w14:paraId="1052CD56" w14:textId="77777777" w:rsidR="00D23E11" w:rsidRPr="001E0703" w:rsidRDefault="00D23E11" w:rsidP="00D23E11">
      <w:pPr>
        <w:spacing w:after="0" w:line="240" w:lineRule="auto"/>
        <w:rPr>
          <w:rFonts w:ascii="Tahoma" w:hAnsi="Tahoma" w:cs="Tahoma"/>
          <w:b/>
          <w:bCs/>
        </w:rPr>
      </w:pPr>
      <w:r w:rsidRPr="001E0703">
        <w:rPr>
          <w:rFonts w:ascii="Tahoma" w:hAnsi="Tahoma" w:cs="Tahoma"/>
          <w:b/>
          <w:bCs/>
        </w:rPr>
        <w:t>Drug Crime</w:t>
      </w:r>
    </w:p>
    <w:tbl>
      <w:tblPr>
        <w:tblW w:w="9140" w:type="dxa"/>
        <w:jc w:val="center"/>
        <w:tblLayout w:type="fixed"/>
        <w:tblLook w:val="04A0" w:firstRow="1" w:lastRow="0" w:firstColumn="1" w:lastColumn="0" w:noHBand="0" w:noVBand="1"/>
      </w:tblPr>
      <w:tblGrid>
        <w:gridCol w:w="3397"/>
        <w:gridCol w:w="2268"/>
        <w:gridCol w:w="1843"/>
        <w:gridCol w:w="1632"/>
      </w:tblGrid>
      <w:tr w:rsidR="00D23E11" w:rsidRPr="001E0703" w14:paraId="5EB3915F" w14:textId="77777777" w:rsidTr="004F4D6F">
        <w:trPr>
          <w:trHeight w:val="556"/>
          <w:jc w:val="center"/>
        </w:trPr>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9C0D2B"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Date Period</w:t>
            </w:r>
          </w:p>
        </w:tc>
        <w:tc>
          <w:tcPr>
            <w:tcW w:w="226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4B21BEA"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Recorded Crime</w:t>
            </w:r>
          </w:p>
        </w:tc>
        <w:tc>
          <w:tcPr>
            <w:tcW w:w="18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FE5AC0F"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 Change</w:t>
            </w:r>
          </w:p>
        </w:tc>
        <w:tc>
          <w:tcPr>
            <w:tcW w:w="163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906A34E"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Number change</w:t>
            </w:r>
          </w:p>
        </w:tc>
      </w:tr>
      <w:tr w:rsidR="00D23E11" w:rsidRPr="001E0703" w14:paraId="565E195B"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hideMark/>
          </w:tcPr>
          <w:p w14:paraId="29DCBF88"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February 2021 - January 2022</w:t>
            </w:r>
          </w:p>
        </w:tc>
        <w:tc>
          <w:tcPr>
            <w:tcW w:w="2268" w:type="dxa"/>
            <w:tcBorders>
              <w:top w:val="nil"/>
              <w:left w:val="nil"/>
              <w:bottom w:val="single" w:sz="4" w:space="0" w:color="auto"/>
              <w:right w:val="single" w:sz="4" w:space="0" w:color="auto"/>
            </w:tcBorders>
            <w:shd w:val="clear" w:color="auto" w:fill="auto"/>
            <w:vAlign w:val="center"/>
          </w:tcPr>
          <w:p w14:paraId="14AC8BF7"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4301</w:t>
            </w:r>
          </w:p>
        </w:tc>
        <w:tc>
          <w:tcPr>
            <w:tcW w:w="1843" w:type="dxa"/>
            <w:tcBorders>
              <w:top w:val="nil"/>
              <w:left w:val="nil"/>
              <w:bottom w:val="single" w:sz="4" w:space="0" w:color="auto"/>
              <w:right w:val="single" w:sz="4" w:space="0" w:color="auto"/>
            </w:tcBorders>
            <w:shd w:val="clear" w:color="auto" w:fill="auto"/>
            <w:noWrap/>
            <w:vAlign w:val="center"/>
          </w:tcPr>
          <w:p w14:paraId="3A82481D"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-6.3%</w:t>
            </w:r>
          </w:p>
        </w:tc>
        <w:tc>
          <w:tcPr>
            <w:tcW w:w="1632" w:type="dxa"/>
            <w:tcBorders>
              <w:top w:val="nil"/>
              <w:left w:val="nil"/>
              <w:bottom w:val="single" w:sz="4" w:space="0" w:color="auto"/>
              <w:right w:val="single" w:sz="4" w:space="0" w:color="auto"/>
            </w:tcBorders>
            <w:shd w:val="clear" w:color="auto" w:fill="auto"/>
            <w:noWrap/>
            <w:vAlign w:val="center"/>
          </w:tcPr>
          <w:p w14:paraId="33156205"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-288</w:t>
            </w:r>
          </w:p>
        </w:tc>
      </w:tr>
      <w:tr w:rsidR="00D23E11" w:rsidRPr="001E0703" w14:paraId="5D083F28"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hideMark/>
          </w:tcPr>
          <w:p w14:paraId="72FF9318"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February 2022 - January 2023</w:t>
            </w:r>
          </w:p>
        </w:tc>
        <w:tc>
          <w:tcPr>
            <w:tcW w:w="2268" w:type="dxa"/>
            <w:tcBorders>
              <w:top w:val="nil"/>
              <w:left w:val="nil"/>
              <w:bottom w:val="single" w:sz="4" w:space="0" w:color="auto"/>
              <w:right w:val="single" w:sz="4" w:space="0" w:color="auto"/>
            </w:tcBorders>
            <w:shd w:val="clear" w:color="auto" w:fill="auto"/>
            <w:noWrap/>
            <w:vAlign w:val="center"/>
          </w:tcPr>
          <w:p w14:paraId="51BAF428"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4529</w:t>
            </w:r>
          </w:p>
        </w:tc>
        <w:tc>
          <w:tcPr>
            <w:tcW w:w="1843" w:type="dxa"/>
            <w:tcBorders>
              <w:top w:val="nil"/>
              <w:left w:val="nil"/>
              <w:bottom w:val="single" w:sz="4" w:space="0" w:color="auto"/>
              <w:right w:val="single" w:sz="4" w:space="0" w:color="auto"/>
            </w:tcBorders>
            <w:shd w:val="clear" w:color="auto" w:fill="auto"/>
            <w:noWrap/>
            <w:vAlign w:val="center"/>
          </w:tcPr>
          <w:p w14:paraId="0C3586DD"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5.3%</w:t>
            </w:r>
          </w:p>
        </w:tc>
        <w:tc>
          <w:tcPr>
            <w:tcW w:w="1632" w:type="dxa"/>
            <w:tcBorders>
              <w:top w:val="nil"/>
              <w:left w:val="nil"/>
              <w:bottom w:val="single" w:sz="4" w:space="0" w:color="auto"/>
              <w:right w:val="single" w:sz="4" w:space="0" w:color="auto"/>
            </w:tcBorders>
            <w:shd w:val="clear" w:color="auto" w:fill="auto"/>
            <w:noWrap/>
            <w:vAlign w:val="center"/>
          </w:tcPr>
          <w:p w14:paraId="7C838813"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228</w:t>
            </w:r>
          </w:p>
        </w:tc>
      </w:tr>
      <w:tr w:rsidR="00D23E11" w:rsidRPr="001E0703" w14:paraId="55681ACD" w14:textId="77777777" w:rsidTr="004F4D6F">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hideMark/>
          </w:tcPr>
          <w:p w14:paraId="206BBDEC"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February 2023 - January 2024</w:t>
            </w:r>
          </w:p>
        </w:tc>
        <w:tc>
          <w:tcPr>
            <w:tcW w:w="2268" w:type="dxa"/>
            <w:tcBorders>
              <w:top w:val="nil"/>
              <w:left w:val="nil"/>
              <w:bottom w:val="single" w:sz="4" w:space="0" w:color="auto"/>
              <w:right w:val="single" w:sz="4" w:space="0" w:color="auto"/>
            </w:tcBorders>
            <w:shd w:val="clear" w:color="auto" w:fill="auto"/>
            <w:noWrap/>
            <w:vAlign w:val="center"/>
          </w:tcPr>
          <w:p w14:paraId="6061B8C9"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5229</w:t>
            </w:r>
          </w:p>
        </w:tc>
        <w:tc>
          <w:tcPr>
            <w:tcW w:w="1843" w:type="dxa"/>
            <w:tcBorders>
              <w:top w:val="nil"/>
              <w:left w:val="nil"/>
              <w:bottom w:val="single" w:sz="4" w:space="0" w:color="auto"/>
              <w:right w:val="single" w:sz="4" w:space="0" w:color="auto"/>
            </w:tcBorders>
            <w:shd w:val="clear" w:color="auto" w:fill="auto"/>
            <w:noWrap/>
            <w:vAlign w:val="center"/>
          </w:tcPr>
          <w:p w14:paraId="1FFADDC0"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15.5%</w:t>
            </w:r>
          </w:p>
        </w:tc>
        <w:tc>
          <w:tcPr>
            <w:tcW w:w="1632" w:type="dxa"/>
            <w:tcBorders>
              <w:top w:val="nil"/>
              <w:left w:val="nil"/>
              <w:bottom w:val="single" w:sz="4" w:space="0" w:color="auto"/>
              <w:right w:val="single" w:sz="4" w:space="0" w:color="auto"/>
            </w:tcBorders>
            <w:shd w:val="clear" w:color="auto" w:fill="auto"/>
            <w:noWrap/>
            <w:vAlign w:val="center"/>
          </w:tcPr>
          <w:p w14:paraId="7619C359"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700</w:t>
            </w:r>
          </w:p>
        </w:tc>
      </w:tr>
      <w:tr w:rsidR="00D23E11" w:rsidRPr="001E0703" w14:paraId="7F203998" w14:textId="77777777" w:rsidTr="004F4D6F">
        <w:trPr>
          <w:trHeight w:val="210"/>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15D912DA"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rPr>
              <w:t>February 2024 - January 2025</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3B4E9A5"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6211</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743E7A"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18.8%</w:t>
            </w:r>
          </w:p>
        </w:tc>
        <w:tc>
          <w:tcPr>
            <w:tcW w:w="1632" w:type="dxa"/>
            <w:tcBorders>
              <w:top w:val="single" w:sz="4" w:space="0" w:color="auto"/>
              <w:left w:val="nil"/>
              <w:bottom w:val="single" w:sz="4" w:space="0" w:color="auto"/>
              <w:right w:val="single" w:sz="4" w:space="0" w:color="auto"/>
            </w:tcBorders>
            <w:shd w:val="clear" w:color="auto" w:fill="auto"/>
            <w:noWrap/>
            <w:vAlign w:val="center"/>
          </w:tcPr>
          <w:p w14:paraId="1C8D9880" w14:textId="77777777" w:rsidR="00D23E11" w:rsidRPr="001E0703" w:rsidRDefault="00D23E11" w:rsidP="00D23E11">
            <w:pPr>
              <w:spacing w:after="0" w:line="240" w:lineRule="auto"/>
              <w:rPr>
                <w:rFonts w:ascii="Tahoma" w:hAnsi="Tahoma" w:cs="Tahoma"/>
                <w:color w:val="000000"/>
              </w:rPr>
            </w:pPr>
            <w:r w:rsidRPr="001E0703">
              <w:rPr>
                <w:rFonts w:ascii="Tahoma" w:hAnsi="Tahoma" w:cs="Tahoma"/>
                <w:color w:val="000000"/>
              </w:rPr>
              <w:t>982</w:t>
            </w:r>
          </w:p>
        </w:tc>
      </w:tr>
    </w:tbl>
    <w:p w14:paraId="124E66EB" w14:textId="77777777" w:rsidR="00D23E11" w:rsidRPr="001E0703" w:rsidRDefault="00D23E11" w:rsidP="00D23E11">
      <w:pPr>
        <w:spacing w:after="0" w:line="240" w:lineRule="auto"/>
        <w:rPr>
          <w:rFonts w:ascii="Tahoma" w:hAnsi="Tahoma" w:cs="Tahoma"/>
          <w:b/>
          <w:bCs/>
        </w:rPr>
      </w:pPr>
    </w:p>
    <w:p w14:paraId="64CF1205" w14:textId="77777777" w:rsidR="00D23E11" w:rsidRDefault="00D23E11" w:rsidP="00D23E11">
      <w:pPr>
        <w:spacing w:after="0" w:line="240" w:lineRule="auto"/>
        <w:rPr>
          <w:rFonts w:ascii="Tahoma" w:hAnsi="Tahoma" w:cs="Tahoma"/>
        </w:rPr>
      </w:pPr>
      <w:r w:rsidRPr="001E0703">
        <w:rPr>
          <w:rFonts w:ascii="Tahoma" w:hAnsi="Tahoma" w:cs="Tahoma"/>
        </w:rPr>
        <w:t>For the 12 months to January 2025 there has been an +18.8% increase with 982 more Drug offences, there has been year on year increases and Kent is currently above the December 2019 baseline (+73%, +2613). There are 3 crime types under Drug crime, Trafficking, Possession and Possession of Cannabis.</w:t>
      </w:r>
    </w:p>
    <w:p w14:paraId="5CB56E98" w14:textId="77777777" w:rsidR="00160E3A" w:rsidRPr="001E0703" w:rsidRDefault="00160E3A" w:rsidP="00D23E11">
      <w:pPr>
        <w:spacing w:after="0" w:line="240" w:lineRule="auto"/>
        <w:rPr>
          <w:rFonts w:ascii="Tahoma" w:hAnsi="Tahoma" w:cs="Tahoma"/>
        </w:rPr>
      </w:pPr>
    </w:p>
    <w:p w14:paraId="76F3430C" w14:textId="77777777" w:rsidR="00D23E11" w:rsidRPr="001E0703" w:rsidRDefault="00D23E11" w:rsidP="00D23E11">
      <w:pPr>
        <w:spacing w:after="0" w:line="240" w:lineRule="auto"/>
        <w:rPr>
          <w:rFonts w:ascii="Tahoma" w:hAnsi="Tahoma" w:cs="Tahoma"/>
        </w:rPr>
      </w:pPr>
      <w:r w:rsidRPr="001E0703">
        <w:rPr>
          <w:rFonts w:ascii="Tahoma" w:hAnsi="Tahoma" w:cs="Tahoma"/>
        </w:rPr>
        <w:t>For the 12 months ending January 2025:</w:t>
      </w:r>
    </w:p>
    <w:p w14:paraId="6D601F83" w14:textId="77777777" w:rsidR="00D23E11" w:rsidRPr="00160E3A" w:rsidRDefault="00D23E11" w:rsidP="00461ACC">
      <w:pPr>
        <w:pStyle w:val="ListParagraph"/>
        <w:numPr>
          <w:ilvl w:val="0"/>
          <w:numId w:val="7"/>
        </w:numPr>
        <w:spacing w:after="0" w:line="240" w:lineRule="auto"/>
        <w:rPr>
          <w:rFonts w:ascii="Tahoma" w:hAnsi="Tahoma" w:cs="Tahoma"/>
        </w:rPr>
      </w:pPr>
      <w:r w:rsidRPr="00160E3A">
        <w:rPr>
          <w:rFonts w:ascii="Tahoma" w:hAnsi="Tahoma" w:cs="Tahoma"/>
        </w:rPr>
        <w:t>Trafficking has seen a +24.4% increase (+532 crimes) on previous 12 months and above the December 2019 baseline (+149%, +1623)</w:t>
      </w:r>
    </w:p>
    <w:p w14:paraId="1BA5E40C" w14:textId="77777777" w:rsidR="00D23E11" w:rsidRPr="00160E3A" w:rsidRDefault="00D23E11" w:rsidP="00461ACC">
      <w:pPr>
        <w:pStyle w:val="ListParagraph"/>
        <w:numPr>
          <w:ilvl w:val="0"/>
          <w:numId w:val="7"/>
        </w:numPr>
        <w:spacing w:after="0" w:line="240" w:lineRule="auto"/>
        <w:rPr>
          <w:rFonts w:ascii="Tahoma" w:hAnsi="Tahoma" w:cs="Tahoma"/>
        </w:rPr>
      </w:pPr>
      <w:r w:rsidRPr="00160E3A">
        <w:rPr>
          <w:rFonts w:ascii="Tahoma" w:hAnsi="Tahoma" w:cs="Tahoma"/>
        </w:rPr>
        <w:t>Possession has seen a -17.0% increase (+157 crimes) on previous 12 months and above the December 2019 baseline (+74%, -459)</w:t>
      </w:r>
    </w:p>
    <w:p w14:paraId="462A52C9" w14:textId="77777777" w:rsidR="00D23E11" w:rsidRPr="00160E3A" w:rsidRDefault="00D23E11" w:rsidP="00461ACC">
      <w:pPr>
        <w:pStyle w:val="ListParagraph"/>
        <w:numPr>
          <w:ilvl w:val="0"/>
          <w:numId w:val="7"/>
        </w:numPr>
        <w:spacing w:after="0" w:line="240" w:lineRule="auto"/>
        <w:rPr>
          <w:rFonts w:ascii="Tahoma" w:hAnsi="Tahoma" w:cs="Tahoma"/>
        </w:rPr>
      </w:pPr>
      <w:r w:rsidRPr="00160E3A">
        <w:rPr>
          <w:rFonts w:ascii="Tahoma" w:hAnsi="Tahoma" w:cs="Tahoma"/>
        </w:rPr>
        <w:t>Possession of Cannabis has seen a +14.2% increase (+ 299 crimes) on previous 12 months and above the December 2019 baseline (+28%, +534)</w:t>
      </w:r>
    </w:p>
    <w:p w14:paraId="11AF33AE" w14:textId="77777777" w:rsidR="00160E3A" w:rsidRDefault="00160E3A" w:rsidP="00D23E11">
      <w:pPr>
        <w:spacing w:after="0" w:line="240" w:lineRule="auto"/>
        <w:rPr>
          <w:rFonts w:ascii="Tahoma" w:hAnsi="Tahoma" w:cs="Tahoma"/>
        </w:rPr>
      </w:pPr>
    </w:p>
    <w:p w14:paraId="60B6CC39" w14:textId="3760A538" w:rsidR="00D23E11" w:rsidRPr="001E0703" w:rsidRDefault="00D23E11" w:rsidP="00D23E11">
      <w:pPr>
        <w:spacing w:after="0" w:line="240" w:lineRule="auto"/>
        <w:rPr>
          <w:rFonts w:ascii="Tahoma" w:hAnsi="Tahoma" w:cs="Tahoma"/>
        </w:rPr>
      </w:pPr>
      <w:r w:rsidRPr="001E0703">
        <w:rPr>
          <w:rFonts w:ascii="Tahoma" w:hAnsi="Tahoma" w:cs="Tahoma"/>
        </w:rPr>
        <w:t>This offence type is influenced by proactive policing, levels and trends should not be considered a measure of criminal activity in relation to drugs. Kent continues to work in strong collaboration with partner agencies and other police forces sharing cross border information and intelligence.</w:t>
      </w:r>
    </w:p>
    <w:p w14:paraId="3D7195F9" w14:textId="77777777" w:rsidR="00160E3A" w:rsidRDefault="00160E3A" w:rsidP="00D23E11">
      <w:pPr>
        <w:spacing w:after="0" w:line="240" w:lineRule="auto"/>
        <w:rPr>
          <w:rFonts w:ascii="Tahoma" w:hAnsi="Tahoma" w:cs="Tahoma"/>
          <w:b/>
          <w:bCs/>
        </w:rPr>
      </w:pPr>
    </w:p>
    <w:p w14:paraId="5FC5936D" w14:textId="4395572A" w:rsidR="00D23E11" w:rsidRDefault="00D23E11" w:rsidP="00D23E11">
      <w:pPr>
        <w:spacing w:after="0" w:line="240" w:lineRule="auto"/>
        <w:rPr>
          <w:rFonts w:ascii="Tahoma" w:hAnsi="Tahoma" w:cs="Tahoma"/>
          <w:b/>
          <w:bCs/>
        </w:rPr>
      </w:pPr>
      <w:r w:rsidRPr="001E0703">
        <w:rPr>
          <w:rFonts w:ascii="Tahoma" w:hAnsi="Tahoma" w:cs="Tahoma"/>
          <w:b/>
          <w:bCs/>
        </w:rPr>
        <w:t xml:space="preserve">Homicides </w:t>
      </w:r>
    </w:p>
    <w:tbl>
      <w:tblPr>
        <w:tblW w:w="8926" w:type="dxa"/>
        <w:jc w:val="center"/>
        <w:tblLook w:val="04A0" w:firstRow="1" w:lastRow="0" w:firstColumn="1" w:lastColumn="0" w:noHBand="0" w:noVBand="1"/>
      </w:tblPr>
      <w:tblGrid>
        <w:gridCol w:w="3539"/>
        <w:gridCol w:w="2552"/>
        <w:gridCol w:w="2835"/>
      </w:tblGrid>
      <w:tr w:rsidR="00D23E11" w:rsidRPr="001E0703" w14:paraId="451E95FB" w14:textId="77777777" w:rsidTr="00160E3A">
        <w:trPr>
          <w:trHeight w:val="520"/>
          <w:jc w:val="center"/>
        </w:trPr>
        <w:tc>
          <w:tcPr>
            <w:tcW w:w="3539" w:type="dxa"/>
            <w:tcBorders>
              <w:top w:val="single" w:sz="4" w:space="0" w:color="auto"/>
              <w:left w:val="single" w:sz="4" w:space="0" w:color="auto"/>
              <w:bottom w:val="single" w:sz="4" w:space="0" w:color="auto"/>
              <w:right w:val="single" w:sz="4" w:space="0" w:color="auto"/>
            </w:tcBorders>
            <w:shd w:val="clear" w:color="auto" w:fill="CBD3DE" w:themeFill="text2" w:themeFillTint="40"/>
            <w:noWrap/>
            <w:vAlign w:val="center"/>
            <w:hideMark/>
          </w:tcPr>
          <w:p w14:paraId="39B5ABF1"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Date Period</w:t>
            </w:r>
          </w:p>
        </w:tc>
        <w:tc>
          <w:tcPr>
            <w:tcW w:w="2552" w:type="dxa"/>
            <w:tcBorders>
              <w:top w:val="single" w:sz="4" w:space="0" w:color="auto"/>
              <w:left w:val="nil"/>
              <w:bottom w:val="single" w:sz="4" w:space="0" w:color="auto"/>
              <w:right w:val="single" w:sz="4" w:space="0" w:color="auto"/>
            </w:tcBorders>
            <w:shd w:val="clear" w:color="auto" w:fill="CBD3DE" w:themeFill="text2" w:themeFillTint="40"/>
            <w:vAlign w:val="center"/>
            <w:hideMark/>
          </w:tcPr>
          <w:p w14:paraId="0992133F" w14:textId="01645A41"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 xml:space="preserve">Homicides </w:t>
            </w:r>
            <w:r w:rsidR="00160E3A">
              <w:rPr>
                <w:rFonts w:ascii="Tahoma" w:eastAsia="Times New Roman" w:hAnsi="Tahoma" w:cs="Tahoma"/>
                <w:color w:val="000000"/>
                <w:lang w:eastAsia="en-GB"/>
              </w:rPr>
              <w:t>(</w:t>
            </w:r>
            <w:r w:rsidRPr="001E0703">
              <w:rPr>
                <w:rFonts w:ascii="Tahoma" w:eastAsia="Times New Roman" w:hAnsi="Tahoma" w:cs="Tahoma"/>
                <w:color w:val="000000"/>
                <w:lang w:eastAsia="en-GB"/>
              </w:rPr>
              <w:t>per Million</w:t>
            </w:r>
            <w:r w:rsidR="00160E3A">
              <w:rPr>
                <w:rFonts w:ascii="Tahoma" w:eastAsia="Times New Roman" w:hAnsi="Tahoma" w:cs="Tahoma"/>
                <w:color w:val="000000"/>
                <w:lang w:eastAsia="en-GB"/>
              </w:rPr>
              <w:t>)</w:t>
            </w:r>
          </w:p>
        </w:tc>
        <w:tc>
          <w:tcPr>
            <w:tcW w:w="2835" w:type="dxa"/>
            <w:tcBorders>
              <w:top w:val="single" w:sz="4" w:space="0" w:color="auto"/>
              <w:left w:val="nil"/>
              <w:bottom w:val="single" w:sz="4" w:space="0" w:color="auto"/>
              <w:right w:val="single" w:sz="4" w:space="0" w:color="auto"/>
            </w:tcBorders>
            <w:shd w:val="clear" w:color="auto" w:fill="CBD3DE" w:themeFill="text2" w:themeFillTint="40"/>
            <w:noWrap/>
            <w:vAlign w:val="center"/>
            <w:hideMark/>
          </w:tcPr>
          <w:p w14:paraId="43F9116F"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 xml:space="preserve">Number </w:t>
            </w:r>
          </w:p>
        </w:tc>
      </w:tr>
      <w:tr w:rsidR="00D23E11" w:rsidRPr="001E0703" w14:paraId="6DD4F186" w14:textId="77777777" w:rsidTr="00160E3A">
        <w:trPr>
          <w:trHeight w:val="260"/>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16CA30A"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January 2021 - December 2021</w:t>
            </w:r>
          </w:p>
        </w:tc>
        <w:tc>
          <w:tcPr>
            <w:tcW w:w="2552" w:type="dxa"/>
            <w:tcBorders>
              <w:top w:val="nil"/>
              <w:left w:val="nil"/>
              <w:bottom w:val="single" w:sz="4" w:space="0" w:color="auto"/>
              <w:right w:val="single" w:sz="4" w:space="0" w:color="auto"/>
            </w:tcBorders>
            <w:shd w:val="clear" w:color="auto" w:fill="auto"/>
            <w:noWrap/>
            <w:vAlign w:val="center"/>
            <w:hideMark/>
          </w:tcPr>
          <w:p w14:paraId="7FB77CD6"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4.7</w:t>
            </w:r>
          </w:p>
        </w:tc>
        <w:tc>
          <w:tcPr>
            <w:tcW w:w="2835" w:type="dxa"/>
            <w:tcBorders>
              <w:top w:val="nil"/>
              <w:left w:val="nil"/>
              <w:bottom w:val="single" w:sz="4" w:space="0" w:color="auto"/>
              <w:right w:val="single" w:sz="4" w:space="0" w:color="auto"/>
            </w:tcBorders>
            <w:shd w:val="clear" w:color="auto" w:fill="auto"/>
            <w:noWrap/>
            <w:vAlign w:val="center"/>
            <w:hideMark/>
          </w:tcPr>
          <w:p w14:paraId="3D3D2583"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9</w:t>
            </w:r>
          </w:p>
        </w:tc>
      </w:tr>
      <w:tr w:rsidR="00D23E11" w:rsidRPr="001E0703" w14:paraId="2A4F9F61" w14:textId="77777777" w:rsidTr="00160E3A">
        <w:trPr>
          <w:trHeight w:val="260"/>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D4280D7"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January 2022 - December 2022</w:t>
            </w:r>
          </w:p>
        </w:tc>
        <w:tc>
          <w:tcPr>
            <w:tcW w:w="2552" w:type="dxa"/>
            <w:tcBorders>
              <w:top w:val="nil"/>
              <w:left w:val="nil"/>
              <w:bottom w:val="single" w:sz="4" w:space="0" w:color="auto"/>
              <w:right w:val="single" w:sz="4" w:space="0" w:color="auto"/>
            </w:tcBorders>
            <w:shd w:val="clear" w:color="auto" w:fill="auto"/>
            <w:noWrap/>
            <w:vAlign w:val="center"/>
            <w:hideMark/>
          </w:tcPr>
          <w:p w14:paraId="1B5585F5"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11.1</w:t>
            </w:r>
          </w:p>
        </w:tc>
        <w:tc>
          <w:tcPr>
            <w:tcW w:w="2835" w:type="dxa"/>
            <w:tcBorders>
              <w:top w:val="nil"/>
              <w:left w:val="nil"/>
              <w:bottom w:val="single" w:sz="4" w:space="0" w:color="auto"/>
              <w:right w:val="single" w:sz="4" w:space="0" w:color="auto"/>
            </w:tcBorders>
            <w:shd w:val="clear" w:color="auto" w:fill="auto"/>
            <w:noWrap/>
            <w:vAlign w:val="center"/>
            <w:hideMark/>
          </w:tcPr>
          <w:p w14:paraId="3B00D747"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21</w:t>
            </w:r>
          </w:p>
        </w:tc>
      </w:tr>
      <w:tr w:rsidR="00D23E11" w:rsidRPr="001E0703" w14:paraId="1B84D02B" w14:textId="77777777" w:rsidTr="00160E3A">
        <w:trPr>
          <w:trHeight w:val="260"/>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BA204E2"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January 2023 - December 2023</w:t>
            </w:r>
          </w:p>
        </w:tc>
        <w:tc>
          <w:tcPr>
            <w:tcW w:w="2552" w:type="dxa"/>
            <w:tcBorders>
              <w:top w:val="nil"/>
              <w:left w:val="nil"/>
              <w:bottom w:val="single" w:sz="4" w:space="0" w:color="auto"/>
              <w:right w:val="single" w:sz="4" w:space="0" w:color="auto"/>
            </w:tcBorders>
            <w:shd w:val="clear" w:color="auto" w:fill="auto"/>
            <w:noWrap/>
            <w:vAlign w:val="center"/>
            <w:hideMark/>
          </w:tcPr>
          <w:p w14:paraId="21A2383B"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6.9</w:t>
            </w:r>
          </w:p>
        </w:tc>
        <w:tc>
          <w:tcPr>
            <w:tcW w:w="2835" w:type="dxa"/>
            <w:tcBorders>
              <w:top w:val="nil"/>
              <w:left w:val="nil"/>
              <w:bottom w:val="single" w:sz="4" w:space="0" w:color="auto"/>
              <w:right w:val="single" w:sz="4" w:space="0" w:color="auto"/>
            </w:tcBorders>
            <w:shd w:val="clear" w:color="auto" w:fill="auto"/>
            <w:noWrap/>
            <w:vAlign w:val="center"/>
            <w:hideMark/>
          </w:tcPr>
          <w:p w14:paraId="6753F903"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13</w:t>
            </w:r>
          </w:p>
        </w:tc>
      </w:tr>
      <w:tr w:rsidR="00D23E11" w:rsidRPr="001E0703" w14:paraId="71DD3C1C" w14:textId="77777777" w:rsidTr="00160E3A">
        <w:trPr>
          <w:trHeight w:val="260"/>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132C08F"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January 2024 - December 2024</w:t>
            </w:r>
          </w:p>
        </w:tc>
        <w:tc>
          <w:tcPr>
            <w:tcW w:w="2552" w:type="dxa"/>
            <w:tcBorders>
              <w:top w:val="nil"/>
              <w:left w:val="nil"/>
              <w:bottom w:val="single" w:sz="4" w:space="0" w:color="auto"/>
              <w:right w:val="single" w:sz="4" w:space="0" w:color="auto"/>
            </w:tcBorders>
            <w:shd w:val="clear" w:color="auto" w:fill="auto"/>
            <w:noWrap/>
            <w:vAlign w:val="center"/>
            <w:hideMark/>
          </w:tcPr>
          <w:p w14:paraId="23121DF8"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9.0</w:t>
            </w:r>
          </w:p>
        </w:tc>
        <w:tc>
          <w:tcPr>
            <w:tcW w:w="2835" w:type="dxa"/>
            <w:tcBorders>
              <w:top w:val="nil"/>
              <w:left w:val="nil"/>
              <w:bottom w:val="single" w:sz="4" w:space="0" w:color="auto"/>
              <w:right w:val="single" w:sz="4" w:space="0" w:color="auto"/>
            </w:tcBorders>
            <w:shd w:val="clear" w:color="auto" w:fill="auto"/>
            <w:noWrap/>
            <w:vAlign w:val="center"/>
            <w:hideMark/>
          </w:tcPr>
          <w:p w14:paraId="09147BC7" w14:textId="77777777" w:rsidR="00D23E11" w:rsidRPr="001E0703" w:rsidRDefault="00D23E11" w:rsidP="00D23E11">
            <w:pPr>
              <w:spacing w:after="0" w:line="240" w:lineRule="auto"/>
              <w:rPr>
                <w:rFonts w:ascii="Tahoma" w:eastAsia="Times New Roman" w:hAnsi="Tahoma" w:cs="Tahoma"/>
                <w:color w:val="000000"/>
                <w:lang w:eastAsia="en-GB"/>
              </w:rPr>
            </w:pPr>
            <w:r w:rsidRPr="001E0703">
              <w:rPr>
                <w:rFonts w:ascii="Tahoma" w:eastAsia="Times New Roman" w:hAnsi="Tahoma" w:cs="Tahoma"/>
                <w:color w:val="000000"/>
                <w:lang w:eastAsia="en-GB"/>
              </w:rPr>
              <w:t>17</w:t>
            </w:r>
          </w:p>
        </w:tc>
      </w:tr>
    </w:tbl>
    <w:p w14:paraId="4F57EE90" w14:textId="77777777" w:rsidR="00D23E11" w:rsidRPr="001E0703" w:rsidRDefault="00D23E11" w:rsidP="00D23E11">
      <w:pPr>
        <w:spacing w:after="0" w:line="240" w:lineRule="auto"/>
        <w:rPr>
          <w:rFonts w:ascii="Tahoma" w:hAnsi="Tahoma" w:cs="Tahoma"/>
          <w:b/>
          <w:bCs/>
        </w:rPr>
      </w:pPr>
    </w:p>
    <w:p w14:paraId="04474341" w14:textId="69FC217B" w:rsidR="00BD69B8" w:rsidRPr="007979B4" w:rsidRDefault="00D23E11" w:rsidP="00725EDF">
      <w:pPr>
        <w:spacing w:after="0" w:line="240" w:lineRule="auto"/>
        <w:rPr>
          <w:rFonts w:ascii="Tahoma" w:hAnsi="Tahoma" w:cs="Tahoma"/>
          <w:color w:val="FF0000"/>
        </w:rPr>
      </w:pPr>
      <w:r w:rsidRPr="001E0703">
        <w:rPr>
          <w:rFonts w:ascii="Tahoma" w:hAnsi="Tahoma" w:cs="Tahoma"/>
        </w:rPr>
        <w:t>Increase for the 12 months to December 2024 to 17 from 13 on the year before however, below the England &amp; Wales average of 10.2 per million.</w:t>
      </w:r>
    </w:p>
    <w:sectPr w:rsidR="00BD69B8" w:rsidRPr="007979B4" w:rsidSect="00AE3B01">
      <w:headerReference w:type="even" r:id="rId33"/>
      <w:headerReference w:type="default" r:id="rId34"/>
      <w:footerReference w:type="even" r:id="rId35"/>
      <w:footerReference w:type="default" r:id="rId36"/>
      <w:headerReference w:type="first" r:id="rId37"/>
      <w:footerReference w:type="first" r:id="rId3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A9B00" w14:textId="77777777" w:rsidR="00405ADA" w:rsidRDefault="00405ADA" w:rsidP="008614FA">
      <w:pPr>
        <w:spacing w:after="0" w:line="240" w:lineRule="auto"/>
      </w:pPr>
      <w:r>
        <w:separator/>
      </w:r>
    </w:p>
  </w:endnote>
  <w:endnote w:type="continuationSeparator" w:id="0">
    <w:p w14:paraId="0D3320C8" w14:textId="77777777" w:rsidR="00405ADA" w:rsidRDefault="00405ADA" w:rsidP="008614FA">
      <w:pPr>
        <w:spacing w:after="0" w:line="240" w:lineRule="auto"/>
      </w:pPr>
      <w:r>
        <w:continuationSeparator/>
      </w:r>
    </w:p>
  </w:endnote>
  <w:endnote w:type="continuationNotice" w:id="1">
    <w:p w14:paraId="4D73A847" w14:textId="77777777" w:rsidR="00405ADA" w:rsidRDefault="00405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1310" w14:textId="77777777" w:rsidR="003E2EE3" w:rsidRDefault="003E2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320587"/>
      <w:docPartObj>
        <w:docPartGallery w:val="Page Numbers (Bottom of Page)"/>
        <w:docPartUnique/>
      </w:docPartObj>
    </w:sdtPr>
    <w:sdtEndPr>
      <w:rPr>
        <w:color w:val="7F7F7F" w:themeColor="background1" w:themeShade="7F"/>
        <w:spacing w:val="60"/>
      </w:rPr>
    </w:sdtEndPr>
    <w:sdtContent>
      <w:p w14:paraId="16F4B304" w14:textId="2415FD51" w:rsidR="003E2EE3" w:rsidRDefault="003E2EE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1D9D535" w14:textId="77777777" w:rsidR="003E2EE3" w:rsidRDefault="003E2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3DDC" w14:textId="77777777" w:rsidR="003E2EE3" w:rsidRDefault="003E2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9BAA" w14:textId="77777777" w:rsidR="00405ADA" w:rsidRDefault="00405ADA" w:rsidP="008614FA">
      <w:pPr>
        <w:spacing w:after="0" w:line="240" w:lineRule="auto"/>
      </w:pPr>
      <w:r>
        <w:separator/>
      </w:r>
    </w:p>
  </w:footnote>
  <w:footnote w:type="continuationSeparator" w:id="0">
    <w:p w14:paraId="49C2EA2E" w14:textId="77777777" w:rsidR="00405ADA" w:rsidRDefault="00405ADA" w:rsidP="008614FA">
      <w:pPr>
        <w:spacing w:after="0" w:line="240" w:lineRule="auto"/>
      </w:pPr>
      <w:r>
        <w:continuationSeparator/>
      </w:r>
    </w:p>
  </w:footnote>
  <w:footnote w:type="continuationNotice" w:id="1">
    <w:p w14:paraId="45ACBA23" w14:textId="77777777" w:rsidR="00405ADA" w:rsidRDefault="00405A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79F2" w14:textId="77777777" w:rsidR="003E2EE3" w:rsidRDefault="003E2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26A0" w14:textId="77777777" w:rsidR="003E2EE3" w:rsidRDefault="003E2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77C8" w14:textId="77777777" w:rsidR="003E2EE3" w:rsidRDefault="003E2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A23"/>
    <w:multiLevelType w:val="hybridMultilevel"/>
    <w:tmpl w:val="8CE4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40F93"/>
    <w:multiLevelType w:val="multilevel"/>
    <w:tmpl w:val="49D016B4"/>
    <w:lvl w:ilvl="0">
      <w:start w:val="1"/>
      <w:numFmt w:val="decimal"/>
      <w:pStyle w:val="Style1"/>
      <w:lvlText w:val="%1."/>
      <w:lvlJc w:val="left"/>
      <w:pPr>
        <w:ind w:left="764" w:hanging="360"/>
      </w:pPr>
    </w:lvl>
    <w:lvl w:ilvl="1">
      <w:start w:val="1"/>
      <w:numFmt w:val="decimal"/>
      <w:pStyle w:val="Style2"/>
      <w:lvlText w:val="%1.%2."/>
      <w:lvlJc w:val="left"/>
      <w:pPr>
        <w:ind w:left="2276" w:hanging="432"/>
      </w:pPr>
      <w:rPr>
        <w:color w:val="000000" w:themeColor="text1"/>
      </w:r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 w15:restartNumberingAfterBreak="0">
    <w:nsid w:val="11D42631"/>
    <w:multiLevelType w:val="hybridMultilevel"/>
    <w:tmpl w:val="D612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791206"/>
    <w:multiLevelType w:val="hybridMultilevel"/>
    <w:tmpl w:val="1570EA10"/>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C7CF0"/>
    <w:multiLevelType w:val="hybridMultilevel"/>
    <w:tmpl w:val="1FAC5DF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09E7B7A"/>
    <w:multiLevelType w:val="hybridMultilevel"/>
    <w:tmpl w:val="890E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910736"/>
    <w:multiLevelType w:val="hybridMultilevel"/>
    <w:tmpl w:val="C628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591446"/>
    <w:multiLevelType w:val="hybridMultilevel"/>
    <w:tmpl w:val="D9B80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CB5994"/>
    <w:multiLevelType w:val="hybridMultilevel"/>
    <w:tmpl w:val="C7BE7F7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30812365">
    <w:abstractNumId w:val="1"/>
  </w:num>
  <w:num w:numId="2" w16cid:durableId="1058285335">
    <w:abstractNumId w:val="8"/>
  </w:num>
  <w:num w:numId="3" w16cid:durableId="932515826">
    <w:abstractNumId w:val="7"/>
  </w:num>
  <w:num w:numId="4" w16cid:durableId="516848580">
    <w:abstractNumId w:val="5"/>
  </w:num>
  <w:num w:numId="5" w16cid:durableId="720640181">
    <w:abstractNumId w:val="4"/>
  </w:num>
  <w:num w:numId="6" w16cid:durableId="871308503">
    <w:abstractNumId w:val="2"/>
  </w:num>
  <w:num w:numId="7" w16cid:durableId="1262452544">
    <w:abstractNumId w:val="0"/>
  </w:num>
  <w:num w:numId="8" w16cid:durableId="679893254">
    <w:abstractNumId w:val="3"/>
  </w:num>
  <w:num w:numId="9" w16cid:durableId="203811647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FA"/>
    <w:rsid w:val="000001B8"/>
    <w:rsid w:val="00000630"/>
    <w:rsid w:val="00002DED"/>
    <w:rsid w:val="00002FBC"/>
    <w:rsid w:val="0000430A"/>
    <w:rsid w:val="00005E94"/>
    <w:rsid w:val="00005ED8"/>
    <w:rsid w:val="000060C7"/>
    <w:rsid w:val="00010488"/>
    <w:rsid w:val="000116AA"/>
    <w:rsid w:val="00011ECB"/>
    <w:rsid w:val="00011F23"/>
    <w:rsid w:val="00013755"/>
    <w:rsid w:val="0001392A"/>
    <w:rsid w:val="0001524B"/>
    <w:rsid w:val="0001572A"/>
    <w:rsid w:val="00020B2A"/>
    <w:rsid w:val="000220EA"/>
    <w:rsid w:val="000248B3"/>
    <w:rsid w:val="00024A72"/>
    <w:rsid w:val="000277D2"/>
    <w:rsid w:val="000310F4"/>
    <w:rsid w:val="00031C39"/>
    <w:rsid w:val="000323C7"/>
    <w:rsid w:val="000325C6"/>
    <w:rsid w:val="0003290E"/>
    <w:rsid w:val="00032CCC"/>
    <w:rsid w:val="00032F4D"/>
    <w:rsid w:val="0003301B"/>
    <w:rsid w:val="00033B3D"/>
    <w:rsid w:val="00034A25"/>
    <w:rsid w:val="00036663"/>
    <w:rsid w:val="00040630"/>
    <w:rsid w:val="000406EB"/>
    <w:rsid w:val="00040DB7"/>
    <w:rsid w:val="000418E4"/>
    <w:rsid w:val="00041966"/>
    <w:rsid w:val="000437AC"/>
    <w:rsid w:val="000447B1"/>
    <w:rsid w:val="0004490C"/>
    <w:rsid w:val="00044E5F"/>
    <w:rsid w:val="00046840"/>
    <w:rsid w:val="0004777E"/>
    <w:rsid w:val="0004789E"/>
    <w:rsid w:val="00051B7C"/>
    <w:rsid w:val="00052B37"/>
    <w:rsid w:val="00053966"/>
    <w:rsid w:val="00055471"/>
    <w:rsid w:val="000576F6"/>
    <w:rsid w:val="000608C7"/>
    <w:rsid w:val="000622F6"/>
    <w:rsid w:val="000637AE"/>
    <w:rsid w:val="00064C01"/>
    <w:rsid w:val="00066A86"/>
    <w:rsid w:val="00070683"/>
    <w:rsid w:val="00070729"/>
    <w:rsid w:val="00071C86"/>
    <w:rsid w:val="00072239"/>
    <w:rsid w:val="00073785"/>
    <w:rsid w:val="00076317"/>
    <w:rsid w:val="0007777D"/>
    <w:rsid w:val="00082F92"/>
    <w:rsid w:val="000843CF"/>
    <w:rsid w:val="00086EC6"/>
    <w:rsid w:val="000927D0"/>
    <w:rsid w:val="00093126"/>
    <w:rsid w:val="0009516E"/>
    <w:rsid w:val="000958EE"/>
    <w:rsid w:val="00097CEC"/>
    <w:rsid w:val="00097F25"/>
    <w:rsid w:val="000A0DFB"/>
    <w:rsid w:val="000A239B"/>
    <w:rsid w:val="000A3253"/>
    <w:rsid w:val="000A6E95"/>
    <w:rsid w:val="000A77A9"/>
    <w:rsid w:val="000B0620"/>
    <w:rsid w:val="000B0A80"/>
    <w:rsid w:val="000B1CEE"/>
    <w:rsid w:val="000B30C8"/>
    <w:rsid w:val="000B5D5C"/>
    <w:rsid w:val="000B64B6"/>
    <w:rsid w:val="000B653D"/>
    <w:rsid w:val="000B6615"/>
    <w:rsid w:val="000B6814"/>
    <w:rsid w:val="000C0CF6"/>
    <w:rsid w:val="000C0DB7"/>
    <w:rsid w:val="000C10CB"/>
    <w:rsid w:val="000C205A"/>
    <w:rsid w:val="000C2B9C"/>
    <w:rsid w:val="000C52C6"/>
    <w:rsid w:val="000C5796"/>
    <w:rsid w:val="000C677E"/>
    <w:rsid w:val="000C67BE"/>
    <w:rsid w:val="000C6C86"/>
    <w:rsid w:val="000C7800"/>
    <w:rsid w:val="000D17B8"/>
    <w:rsid w:val="000D29E9"/>
    <w:rsid w:val="000D2F4F"/>
    <w:rsid w:val="000D3407"/>
    <w:rsid w:val="000D3688"/>
    <w:rsid w:val="000D43EA"/>
    <w:rsid w:val="000D45A4"/>
    <w:rsid w:val="000D6379"/>
    <w:rsid w:val="000D666B"/>
    <w:rsid w:val="000E3843"/>
    <w:rsid w:val="000E60F3"/>
    <w:rsid w:val="000E77C4"/>
    <w:rsid w:val="000F0F15"/>
    <w:rsid w:val="000F2E4A"/>
    <w:rsid w:val="000F2E60"/>
    <w:rsid w:val="000F713A"/>
    <w:rsid w:val="000F7F65"/>
    <w:rsid w:val="00100733"/>
    <w:rsid w:val="00100E17"/>
    <w:rsid w:val="001023CF"/>
    <w:rsid w:val="00103378"/>
    <w:rsid w:val="001033BF"/>
    <w:rsid w:val="00103BC0"/>
    <w:rsid w:val="001063CD"/>
    <w:rsid w:val="00107CAA"/>
    <w:rsid w:val="00110EE2"/>
    <w:rsid w:val="00112077"/>
    <w:rsid w:val="00113BBD"/>
    <w:rsid w:val="00114ADA"/>
    <w:rsid w:val="0012069A"/>
    <w:rsid w:val="00121DF9"/>
    <w:rsid w:val="00121EDD"/>
    <w:rsid w:val="001232E1"/>
    <w:rsid w:val="001232F5"/>
    <w:rsid w:val="0012380E"/>
    <w:rsid w:val="001249A7"/>
    <w:rsid w:val="00125B0F"/>
    <w:rsid w:val="0012627B"/>
    <w:rsid w:val="001308EC"/>
    <w:rsid w:val="0013189C"/>
    <w:rsid w:val="001329FF"/>
    <w:rsid w:val="00132A3F"/>
    <w:rsid w:val="001334C4"/>
    <w:rsid w:val="00136E83"/>
    <w:rsid w:val="00137F1A"/>
    <w:rsid w:val="00140B2F"/>
    <w:rsid w:val="0014185B"/>
    <w:rsid w:val="00145C40"/>
    <w:rsid w:val="00147CAB"/>
    <w:rsid w:val="00147D7C"/>
    <w:rsid w:val="00150250"/>
    <w:rsid w:val="00150895"/>
    <w:rsid w:val="00156F10"/>
    <w:rsid w:val="00160E3A"/>
    <w:rsid w:val="001611CB"/>
    <w:rsid w:val="0016461B"/>
    <w:rsid w:val="00164EBC"/>
    <w:rsid w:val="0016513B"/>
    <w:rsid w:val="00166C2A"/>
    <w:rsid w:val="0016724A"/>
    <w:rsid w:val="0017095F"/>
    <w:rsid w:val="00172C9B"/>
    <w:rsid w:val="00172C9E"/>
    <w:rsid w:val="0017494D"/>
    <w:rsid w:val="0017711B"/>
    <w:rsid w:val="00180214"/>
    <w:rsid w:val="001807E5"/>
    <w:rsid w:val="001809A2"/>
    <w:rsid w:val="001809AF"/>
    <w:rsid w:val="0018256C"/>
    <w:rsid w:val="00184AD4"/>
    <w:rsid w:val="001850F1"/>
    <w:rsid w:val="00185A2A"/>
    <w:rsid w:val="00191944"/>
    <w:rsid w:val="00192A58"/>
    <w:rsid w:val="00192ED9"/>
    <w:rsid w:val="0019361B"/>
    <w:rsid w:val="0019405D"/>
    <w:rsid w:val="00194B39"/>
    <w:rsid w:val="00195492"/>
    <w:rsid w:val="00195912"/>
    <w:rsid w:val="001A13B8"/>
    <w:rsid w:val="001A1AD5"/>
    <w:rsid w:val="001A4A32"/>
    <w:rsid w:val="001A5383"/>
    <w:rsid w:val="001A615E"/>
    <w:rsid w:val="001A6799"/>
    <w:rsid w:val="001A68D5"/>
    <w:rsid w:val="001A7414"/>
    <w:rsid w:val="001B07D9"/>
    <w:rsid w:val="001B0EE7"/>
    <w:rsid w:val="001B1E0B"/>
    <w:rsid w:val="001B2A1F"/>
    <w:rsid w:val="001B35C2"/>
    <w:rsid w:val="001B460F"/>
    <w:rsid w:val="001B689E"/>
    <w:rsid w:val="001C0C51"/>
    <w:rsid w:val="001C21AF"/>
    <w:rsid w:val="001C3365"/>
    <w:rsid w:val="001C3452"/>
    <w:rsid w:val="001C3BA1"/>
    <w:rsid w:val="001C3DB0"/>
    <w:rsid w:val="001C517C"/>
    <w:rsid w:val="001C6862"/>
    <w:rsid w:val="001D074A"/>
    <w:rsid w:val="001D5122"/>
    <w:rsid w:val="001D6325"/>
    <w:rsid w:val="001D717C"/>
    <w:rsid w:val="001D7DDF"/>
    <w:rsid w:val="001E0054"/>
    <w:rsid w:val="001E05DF"/>
    <w:rsid w:val="001E061C"/>
    <w:rsid w:val="001E2203"/>
    <w:rsid w:val="001E220D"/>
    <w:rsid w:val="001E22AC"/>
    <w:rsid w:val="001E3780"/>
    <w:rsid w:val="001E39D9"/>
    <w:rsid w:val="001E4319"/>
    <w:rsid w:val="001E446A"/>
    <w:rsid w:val="001E5B1E"/>
    <w:rsid w:val="001E609E"/>
    <w:rsid w:val="001E70A4"/>
    <w:rsid w:val="001F0084"/>
    <w:rsid w:val="001F0534"/>
    <w:rsid w:val="001F0865"/>
    <w:rsid w:val="001F1421"/>
    <w:rsid w:val="001F14EF"/>
    <w:rsid w:val="001F182E"/>
    <w:rsid w:val="001F1BA7"/>
    <w:rsid w:val="001F1FB0"/>
    <w:rsid w:val="001F5CDD"/>
    <w:rsid w:val="001F6F34"/>
    <w:rsid w:val="002009A5"/>
    <w:rsid w:val="0020177E"/>
    <w:rsid w:val="00203873"/>
    <w:rsid w:val="00203D19"/>
    <w:rsid w:val="00203D2A"/>
    <w:rsid w:val="00204179"/>
    <w:rsid w:val="00211527"/>
    <w:rsid w:val="00212A91"/>
    <w:rsid w:val="002134E2"/>
    <w:rsid w:val="0021546E"/>
    <w:rsid w:val="002154F1"/>
    <w:rsid w:val="00215A47"/>
    <w:rsid w:val="00215CE6"/>
    <w:rsid w:val="00216B83"/>
    <w:rsid w:val="00216EB7"/>
    <w:rsid w:val="00217D6A"/>
    <w:rsid w:val="00220EDD"/>
    <w:rsid w:val="00222912"/>
    <w:rsid w:val="00223B23"/>
    <w:rsid w:val="00224DC8"/>
    <w:rsid w:val="00224F7F"/>
    <w:rsid w:val="00227563"/>
    <w:rsid w:val="0023175A"/>
    <w:rsid w:val="00232EF5"/>
    <w:rsid w:val="00232F0B"/>
    <w:rsid w:val="0023594E"/>
    <w:rsid w:val="002370B9"/>
    <w:rsid w:val="0024053F"/>
    <w:rsid w:val="00241B38"/>
    <w:rsid w:val="0024251F"/>
    <w:rsid w:val="00242CD5"/>
    <w:rsid w:val="00245CE6"/>
    <w:rsid w:val="00245F66"/>
    <w:rsid w:val="0024771F"/>
    <w:rsid w:val="002509D0"/>
    <w:rsid w:val="00250C37"/>
    <w:rsid w:val="002518B3"/>
    <w:rsid w:val="00252DCB"/>
    <w:rsid w:val="00254667"/>
    <w:rsid w:val="00254C0B"/>
    <w:rsid w:val="002560BB"/>
    <w:rsid w:val="00256115"/>
    <w:rsid w:val="00265CEA"/>
    <w:rsid w:val="00265FB6"/>
    <w:rsid w:val="002671EB"/>
    <w:rsid w:val="00270C0C"/>
    <w:rsid w:val="00270DE3"/>
    <w:rsid w:val="00270EC6"/>
    <w:rsid w:val="002715EC"/>
    <w:rsid w:val="002722BB"/>
    <w:rsid w:val="00272857"/>
    <w:rsid w:val="00272F59"/>
    <w:rsid w:val="00273835"/>
    <w:rsid w:val="002739BB"/>
    <w:rsid w:val="002756B8"/>
    <w:rsid w:val="002758D3"/>
    <w:rsid w:val="00275F7B"/>
    <w:rsid w:val="002811DC"/>
    <w:rsid w:val="0028240D"/>
    <w:rsid w:val="00283221"/>
    <w:rsid w:val="00284784"/>
    <w:rsid w:val="002854E0"/>
    <w:rsid w:val="00285E0B"/>
    <w:rsid w:val="00287E79"/>
    <w:rsid w:val="00292878"/>
    <w:rsid w:val="002A0AE1"/>
    <w:rsid w:val="002A4B66"/>
    <w:rsid w:val="002A53E4"/>
    <w:rsid w:val="002A55FF"/>
    <w:rsid w:val="002A63A2"/>
    <w:rsid w:val="002A7BDB"/>
    <w:rsid w:val="002A7ECA"/>
    <w:rsid w:val="002B0F43"/>
    <w:rsid w:val="002B1450"/>
    <w:rsid w:val="002B218E"/>
    <w:rsid w:val="002B7976"/>
    <w:rsid w:val="002C02A4"/>
    <w:rsid w:val="002C3646"/>
    <w:rsid w:val="002C3ABD"/>
    <w:rsid w:val="002C4D42"/>
    <w:rsid w:val="002C5370"/>
    <w:rsid w:val="002C5F8C"/>
    <w:rsid w:val="002D0F6E"/>
    <w:rsid w:val="002D48CA"/>
    <w:rsid w:val="002D56F0"/>
    <w:rsid w:val="002D697B"/>
    <w:rsid w:val="002D7945"/>
    <w:rsid w:val="002D7F95"/>
    <w:rsid w:val="002E0904"/>
    <w:rsid w:val="002E0C7B"/>
    <w:rsid w:val="002E14EC"/>
    <w:rsid w:val="002E2057"/>
    <w:rsid w:val="002E37B6"/>
    <w:rsid w:val="002E5268"/>
    <w:rsid w:val="002E585B"/>
    <w:rsid w:val="002E72AE"/>
    <w:rsid w:val="002E75F5"/>
    <w:rsid w:val="002E7809"/>
    <w:rsid w:val="002F0626"/>
    <w:rsid w:val="002F0C58"/>
    <w:rsid w:val="002F1A21"/>
    <w:rsid w:val="002F2967"/>
    <w:rsid w:val="002F385D"/>
    <w:rsid w:val="002F485B"/>
    <w:rsid w:val="002F4BA3"/>
    <w:rsid w:val="002F5F58"/>
    <w:rsid w:val="002F60E9"/>
    <w:rsid w:val="002F6D31"/>
    <w:rsid w:val="002F7336"/>
    <w:rsid w:val="002F7994"/>
    <w:rsid w:val="0030182D"/>
    <w:rsid w:val="003031C6"/>
    <w:rsid w:val="00303868"/>
    <w:rsid w:val="00303FB8"/>
    <w:rsid w:val="003048A2"/>
    <w:rsid w:val="003058DA"/>
    <w:rsid w:val="003065F3"/>
    <w:rsid w:val="00306D81"/>
    <w:rsid w:val="003101F5"/>
    <w:rsid w:val="0031456E"/>
    <w:rsid w:val="00315232"/>
    <w:rsid w:val="00315CE7"/>
    <w:rsid w:val="00316549"/>
    <w:rsid w:val="00317569"/>
    <w:rsid w:val="003177E6"/>
    <w:rsid w:val="003202A6"/>
    <w:rsid w:val="00323093"/>
    <w:rsid w:val="00323935"/>
    <w:rsid w:val="00323E35"/>
    <w:rsid w:val="00324ADB"/>
    <w:rsid w:val="00332858"/>
    <w:rsid w:val="00332EFE"/>
    <w:rsid w:val="003338B8"/>
    <w:rsid w:val="0033456F"/>
    <w:rsid w:val="003374EA"/>
    <w:rsid w:val="00340401"/>
    <w:rsid w:val="00340916"/>
    <w:rsid w:val="003418CE"/>
    <w:rsid w:val="003429E7"/>
    <w:rsid w:val="00345A7F"/>
    <w:rsid w:val="00346034"/>
    <w:rsid w:val="0034629C"/>
    <w:rsid w:val="003501B1"/>
    <w:rsid w:val="00352555"/>
    <w:rsid w:val="00354BF5"/>
    <w:rsid w:val="003557FE"/>
    <w:rsid w:val="0036126C"/>
    <w:rsid w:val="003623A8"/>
    <w:rsid w:val="003623E2"/>
    <w:rsid w:val="003627A0"/>
    <w:rsid w:val="003631E0"/>
    <w:rsid w:val="00365763"/>
    <w:rsid w:val="003670C5"/>
    <w:rsid w:val="00367DEF"/>
    <w:rsid w:val="00372D2A"/>
    <w:rsid w:val="00372E99"/>
    <w:rsid w:val="00373940"/>
    <w:rsid w:val="00374999"/>
    <w:rsid w:val="0037577C"/>
    <w:rsid w:val="00377556"/>
    <w:rsid w:val="0038050C"/>
    <w:rsid w:val="00380C9B"/>
    <w:rsid w:val="003819A8"/>
    <w:rsid w:val="0038314E"/>
    <w:rsid w:val="00383C6D"/>
    <w:rsid w:val="00383D10"/>
    <w:rsid w:val="003860B3"/>
    <w:rsid w:val="00386951"/>
    <w:rsid w:val="00386C60"/>
    <w:rsid w:val="00387144"/>
    <w:rsid w:val="003874A7"/>
    <w:rsid w:val="00390555"/>
    <w:rsid w:val="003935E6"/>
    <w:rsid w:val="00393D87"/>
    <w:rsid w:val="00395E8C"/>
    <w:rsid w:val="00396103"/>
    <w:rsid w:val="0039707E"/>
    <w:rsid w:val="003A2007"/>
    <w:rsid w:val="003A2D50"/>
    <w:rsid w:val="003A3804"/>
    <w:rsid w:val="003A59F0"/>
    <w:rsid w:val="003A5B52"/>
    <w:rsid w:val="003A6E0C"/>
    <w:rsid w:val="003A72D2"/>
    <w:rsid w:val="003A73C3"/>
    <w:rsid w:val="003B108D"/>
    <w:rsid w:val="003B1CA5"/>
    <w:rsid w:val="003B325D"/>
    <w:rsid w:val="003B34AD"/>
    <w:rsid w:val="003B3D1E"/>
    <w:rsid w:val="003B41B7"/>
    <w:rsid w:val="003B4AD8"/>
    <w:rsid w:val="003B7DA2"/>
    <w:rsid w:val="003C053D"/>
    <w:rsid w:val="003C0C7C"/>
    <w:rsid w:val="003C1401"/>
    <w:rsid w:val="003C1E9E"/>
    <w:rsid w:val="003C28A8"/>
    <w:rsid w:val="003C3184"/>
    <w:rsid w:val="003C352B"/>
    <w:rsid w:val="003C3B5A"/>
    <w:rsid w:val="003C5257"/>
    <w:rsid w:val="003C5923"/>
    <w:rsid w:val="003C78B2"/>
    <w:rsid w:val="003D010B"/>
    <w:rsid w:val="003D2551"/>
    <w:rsid w:val="003D54B8"/>
    <w:rsid w:val="003D61E2"/>
    <w:rsid w:val="003D7AAE"/>
    <w:rsid w:val="003E106C"/>
    <w:rsid w:val="003E27A8"/>
    <w:rsid w:val="003E27C3"/>
    <w:rsid w:val="003E2EE3"/>
    <w:rsid w:val="003E37D3"/>
    <w:rsid w:val="003E3E62"/>
    <w:rsid w:val="003E78F4"/>
    <w:rsid w:val="003F05A0"/>
    <w:rsid w:val="003F0DD2"/>
    <w:rsid w:val="003F0FB1"/>
    <w:rsid w:val="003F155E"/>
    <w:rsid w:val="003F3438"/>
    <w:rsid w:val="003F3D25"/>
    <w:rsid w:val="003F4EB7"/>
    <w:rsid w:val="003F52EB"/>
    <w:rsid w:val="003F7C43"/>
    <w:rsid w:val="00400260"/>
    <w:rsid w:val="00401F00"/>
    <w:rsid w:val="00402417"/>
    <w:rsid w:val="00402E5E"/>
    <w:rsid w:val="004036BE"/>
    <w:rsid w:val="004037CD"/>
    <w:rsid w:val="00405313"/>
    <w:rsid w:val="00405ADA"/>
    <w:rsid w:val="004068F3"/>
    <w:rsid w:val="00406B6F"/>
    <w:rsid w:val="00410213"/>
    <w:rsid w:val="00411ED9"/>
    <w:rsid w:val="0041214D"/>
    <w:rsid w:val="00412C68"/>
    <w:rsid w:val="00412D98"/>
    <w:rsid w:val="00414086"/>
    <w:rsid w:val="00414FF5"/>
    <w:rsid w:val="00415E78"/>
    <w:rsid w:val="00417880"/>
    <w:rsid w:val="004200F4"/>
    <w:rsid w:val="00420299"/>
    <w:rsid w:val="00423D3A"/>
    <w:rsid w:val="0042474B"/>
    <w:rsid w:val="00426AB0"/>
    <w:rsid w:val="0042715F"/>
    <w:rsid w:val="00427F75"/>
    <w:rsid w:val="00430667"/>
    <w:rsid w:val="00430B87"/>
    <w:rsid w:val="00430C41"/>
    <w:rsid w:val="004314B0"/>
    <w:rsid w:val="00431C86"/>
    <w:rsid w:val="00432624"/>
    <w:rsid w:val="00434BF0"/>
    <w:rsid w:val="00435663"/>
    <w:rsid w:val="004374E4"/>
    <w:rsid w:val="004376B6"/>
    <w:rsid w:val="004409FD"/>
    <w:rsid w:val="00443DBD"/>
    <w:rsid w:val="00446DE2"/>
    <w:rsid w:val="0044713F"/>
    <w:rsid w:val="004510C2"/>
    <w:rsid w:val="0045160C"/>
    <w:rsid w:val="0045397D"/>
    <w:rsid w:val="004541AC"/>
    <w:rsid w:val="004543DE"/>
    <w:rsid w:val="00461ACC"/>
    <w:rsid w:val="004630D8"/>
    <w:rsid w:val="004648ED"/>
    <w:rsid w:val="00465BA3"/>
    <w:rsid w:val="00465D70"/>
    <w:rsid w:val="00466339"/>
    <w:rsid w:val="00467215"/>
    <w:rsid w:val="004673B3"/>
    <w:rsid w:val="004674C4"/>
    <w:rsid w:val="00470165"/>
    <w:rsid w:val="00470C26"/>
    <w:rsid w:val="004732A2"/>
    <w:rsid w:val="00476BA2"/>
    <w:rsid w:val="00477B6F"/>
    <w:rsid w:val="00480D68"/>
    <w:rsid w:val="00480D87"/>
    <w:rsid w:val="004818EF"/>
    <w:rsid w:val="00482842"/>
    <w:rsid w:val="00482E9B"/>
    <w:rsid w:val="004842EF"/>
    <w:rsid w:val="00484C0E"/>
    <w:rsid w:val="0049091F"/>
    <w:rsid w:val="00490B25"/>
    <w:rsid w:val="00494166"/>
    <w:rsid w:val="00494942"/>
    <w:rsid w:val="00495494"/>
    <w:rsid w:val="0049741D"/>
    <w:rsid w:val="00497EAB"/>
    <w:rsid w:val="004A0691"/>
    <w:rsid w:val="004A3130"/>
    <w:rsid w:val="004A5E40"/>
    <w:rsid w:val="004A6F59"/>
    <w:rsid w:val="004B135A"/>
    <w:rsid w:val="004B2CC0"/>
    <w:rsid w:val="004B30F7"/>
    <w:rsid w:val="004B34DC"/>
    <w:rsid w:val="004B3EB7"/>
    <w:rsid w:val="004B436E"/>
    <w:rsid w:val="004B47B3"/>
    <w:rsid w:val="004B5FA7"/>
    <w:rsid w:val="004B6D12"/>
    <w:rsid w:val="004B72A3"/>
    <w:rsid w:val="004B7591"/>
    <w:rsid w:val="004C212E"/>
    <w:rsid w:val="004C2D11"/>
    <w:rsid w:val="004C42D3"/>
    <w:rsid w:val="004C59A1"/>
    <w:rsid w:val="004C67D3"/>
    <w:rsid w:val="004C7160"/>
    <w:rsid w:val="004C71AD"/>
    <w:rsid w:val="004D0C4D"/>
    <w:rsid w:val="004D1CF8"/>
    <w:rsid w:val="004D3F4B"/>
    <w:rsid w:val="004D4B76"/>
    <w:rsid w:val="004E0E22"/>
    <w:rsid w:val="004E18A2"/>
    <w:rsid w:val="004E3382"/>
    <w:rsid w:val="004E350A"/>
    <w:rsid w:val="004E5B13"/>
    <w:rsid w:val="004F0C9C"/>
    <w:rsid w:val="004F0E97"/>
    <w:rsid w:val="004F1904"/>
    <w:rsid w:val="004F35C5"/>
    <w:rsid w:val="004F4071"/>
    <w:rsid w:val="004F4D6F"/>
    <w:rsid w:val="004F5F88"/>
    <w:rsid w:val="004F6905"/>
    <w:rsid w:val="004F769A"/>
    <w:rsid w:val="00500FA9"/>
    <w:rsid w:val="005024FA"/>
    <w:rsid w:val="00503E4D"/>
    <w:rsid w:val="005043B5"/>
    <w:rsid w:val="0050530C"/>
    <w:rsid w:val="00505B25"/>
    <w:rsid w:val="00506C7F"/>
    <w:rsid w:val="00511821"/>
    <w:rsid w:val="00511E21"/>
    <w:rsid w:val="00512C18"/>
    <w:rsid w:val="00515EC8"/>
    <w:rsid w:val="005202B1"/>
    <w:rsid w:val="00521576"/>
    <w:rsid w:val="005218F1"/>
    <w:rsid w:val="005219E7"/>
    <w:rsid w:val="005222E7"/>
    <w:rsid w:val="00522443"/>
    <w:rsid w:val="00524670"/>
    <w:rsid w:val="00524CB4"/>
    <w:rsid w:val="00526332"/>
    <w:rsid w:val="00526390"/>
    <w:rsid w:val="00527234"/>
    <w:rsid w:val="00530EC8"/>
    <w:rsid w:val="00532B36"/>
    <w:rsid w:val="005331C7"/>
    <w:rsid w:val="00534C20"/>
    <w:rsid w:val="00536BF9"/>
    <w:rsid w:val="005376F8"/>
    <w:rsid w:val="00537DD2"/>
    <w:rsid w:val="005400CA"/>
    <w:rsid w:val="00540854"/>
    <w:rsid w:val="005422B6"/>
    <w:rsid w:val="00542CBF"/>
    <w:rsid w:val="00543025"/>
    <w:rsid w:val="00543DF2"/>
    <w:rsid w:val="00544713"/>
    <w:rsid w:val="00544E20"/>
    <w:rsid w:val="00544F56"/>
    <w:rsid w:val="005451DB"/>
    <w:rsid w:val="00545D79"/>
    <w:rsid w:val="005475A7"/>
    <w:rsid w:val="00547D7D"/>
    <w:rsid w:val="005508E3"/>
    <w:rsid w:val="00551D3D"/>
    <w:rsid w:val="00554645"/>
    <w:rsid w:val="00554B4C"/>
    <w:rsid w:val="00554D6F"/>
    <w:rsid w:val="00554EA2"/>
    <w:rsid w:val="0055646C"/>
    <w:rsid w:val="00556CDD"/>
    <w:rsid w:val="00557078"/>
    <w:rsid w:val="0055727F"/>
    <w:rsid w:val="00557BD6"/>
    <w:rsid w:val="00560252"/>
    <w:rsid w:val="00560526"/>
    <w:rsid w:val="00560BEA"/>
    <w:rsid w:val="00560F89"/>
    <w:rsid w:val="00561367"/>
    <w:rsid w:val="00563219"/>
    <w:rsid w:val="0057143D"/>
    <w:rsid w:val="00573146"/>
    <w:rsid w:val="0057371D"/>
    <w:rsid w:val="005765DA"/>
    <w:rsid w:val="00580D46"/>
    <w:rsid w:val="005816D3"/>
    <w:rsid w:val="0058178A"/>
    <w:rsid w:val="00584B6D"/>
    <w:rsid w:val="00584C92"/>
    <w:rsid w:val="00585F8C"/>
    <w:rsid w:val="0058671C"/>
    <w:rsid w:val="0058707C"/>
    <w:rsid w:val="00591FA3"/>
    <w:rsid w:val="005923ED"/>
    <w:rsid w:val="0059270C"/>
    <w:rsid w:val="00593F14"/>
    <w:rsid w:val="00594067"/>
    <w:rsid w:val="005942FF"/>
    <w:rsid w:val="00597A4C"/>
    <w:rsid w:val="005A1632"/>
    <w:rsid w:val="005A37C1"/>
    <w:rsid w:val="005A3888"/>
    <w:rsid w:val="005A41D5"/>
    <w:rsid w:val="005A4E40"/>
    <w:rsid w:val="005A6694"/>
    <w:rsid w:val="005A6C1C"/>
    <w:rsid w:val="005B05EB"/>
    <w:rsid w:val="005B1FD7"/>
    <w:rsid w:val="005B234C"/>
    <w:rsid w:val="005B33B7"/>
    <w:rsid w:val="005B35FB"/>
    <w:rsid w:val="005B538B"/>
    <w:rsid w:val="005C11B7"/>
    <w:rsid w:val="005C1AA3"/>
    <w:rsid w:val="005C1CA3"/>
    <w:rsid w:val="005C2D4D"/>
    <w:rsid w:val="005C3E96"/>
    <w:rsid w:val="005C5568"/>
    <w:rsid w:val="005C7285"/>
    <w:rsid w:val="005C75D4"/>
    <w:rsid w:val="005D0158"/>
    <w:rsid w:val="005D1868"/>
    <w:rsid w:val="005D2E04"/>
    <w:rsid w:val="005D376E"/>
    <w:rsid w:val="005D4A48"/>
    <w:rsid w:val="005D75B7"/>
    <w:rsid w:val="005E00BF"/>
    <w:rsid w:val="005E0BBF"/>
    <w:rsid w:val="005E24B5"/>
    <w:rsid w:val="005E4165"/>
    <w:rsid w:val="005E565E"/>
    <w:rsid w:val="005F0063"/>
    <w:rsid w:val="005F093D"/>
    <w:rsid w:val="005F1985"/>
    <w:rsid w:val="005F2999"/>
    <w:rsid w:val="005F3F03"/>
    <w:rsid w:val="0060037F"/>
    <w:rsid w:val="00602C02"/>
    <w:rsid w:val="006032F0"/>
    <w:rsid w:val="006053B6"/>
    <w:rsid w:val="0061011F"/>
    <w:rsid w:val="00611DF7"/>
    <w:rsid w:val="0061355C"/>
    <w:rsid w:val="00615180"/>
    <w:rsid w:val="00620858"/>
    <w:rsid w:val="00620FF9"/>
    <w:rsid w:val="00621241"/>
    <w:rsid w:val="006213AE"/>
    <w:rsid w:val="006257DF"/>
    <w:rsid w:val="00626390"/>
    <w:rsid w:val="00626457"/>
    <w:rsid w:val="00627B20"/>
    <w:rsid w:val="00631487"/>
    <w:rsid w:val="006325DE"/>
    <w:rsid w:val="00635778"/>
    <w:rsid w:val="00640295"/>
    <w:rsid w:val="00641755"/>
    <w:rsid w:val="00643DE0"/>
    <w:rsid w:val="0064537D"/>
    <w:rsid w:val="00645837"/>
    <w:rsid w:val="00647C8F"/>
    <w:rsid w:val="00653620"/>
    <w:rsid w:val="00655C26"/>
    <w:rsid w:val="00655C38"/>
    <w:rsid w:val="0065608E"/>
    <w:rsid w:val="00656796"/>
    <w:rsid w:val="00656B84"/>
    <w:rsid w:val="00656D1B"/>
    <w:rsid w:val="00657CF8"/>
    <w:rsid w:val="00661730"/>
    <w:rsid w:val="00663361"/>
    <w:rsid w:val="0067211B"/>
    <w:rsid w:val="00673C92"/>
    <w:rsid w:val="00676193"/>
    <w:rsid w:val="00676AA3"/>
    <w:rsid w:val="006803CD"/>
    <w:rsid w:val="00681774"/>
    <w:rsid w:val="006839DB"/>
    <w:rsid w:val="006879E8"/>
    <w:rsid w:val="00690B6C"/>
    <w:rsid w:val="0069298D"/>
    <w:rsid w:val="0069439B"/>
    <w:rsid w:val="00694E55"/>
    <w:rsid w:val="00697C7C"/>
    <w:rsid w:val="006A0A0D"/>
    <w:rsid w:val="006A21AD"/>
    <w:rsid w:val="006A35F1"/>
    <w:rsid w:val="006A365C"/>
    <w:rsid w:val="006A39D6"/>
    <w:rsid w:val="006A3D6E"/>
    <w:rsid w:val="006A4174"/>
    <w:rsid w:val="006A59B1"/>
    <w:rsid w:val="006A6080"/>
    <w:rsid w:val="006A6884"/>
    <w:rsid w:val="006B08D5"/>
    <w:rsid w:val="006B0D17"/>
    <w:rsid w:val="006B1D7C"/>
    <w:rsid w:val="006B361A"/>
    <w:rsid w:val="006B4160"/>
    <w:rsid w:val="006B46B0"/>
    <w:rsid w:val="006B5F0B"/>
    <w:rsid w:val="006B635C"/>
    <w:rsid w:val="006C24F5"/>
    <w:rsid w:val="006C2A92"/>
    <w:rsid w:val="006C4CA5"/>
    <w:rsid w:val="006C58CA"/>
    <w:rsid w:val="006C5A64"/>
    <w:rsid w:val="006C717F"/>
    <w:rsid w:val="006C7FDE"/>
    <w:rsid w:val="006D007F"/>
    <w:rsid w:val="006D0899"/>
    <w:rsid w:val="006D16F6"/>
    <w:rsid w:val="006D22F3"/>
    <w:rsid w:val="006D2EAF"/>
    <w:rsid w:val="006D3EFA"/>
    <w:rsid w:val="006D4073"/>
    <w:rsid w:val="006D4521"/>
    <w:rsid w:val="006D46C4"/>
    <w:rsid w:val="006D479B"/>
    <w:rsid w:val="006D533B"/>
    <w:rsid w:val="006D5E09"/>
    <w:rsid w:val="006D61E6"/>
    <w:rsid w:val="006D6921"/>
    <w:rsid w:val="006D706C"/>
    <w:rsid w:val="006D7DDD"/>
    <w:rsid w:val="006E0D77"/>
    <w:rsid w:val="006E16C5"/>
    <w:rsid w:val="006E54D9"/>
    <w:rsid w:val="006E7C4E"/>
    <w:rsid w:val="006F0C5F"/>
    <w:rsid w:val="006F209A"/>
    <w:rsid w:val="006F2664"/>
    <w:rsid w:val="006F5CF4"/>
    <w:rsid w:val="006F670C"/>
    <w:rsid w:val="006F792D"/>
    <w:rsid w:val="006F79FA"/>
    <w:rsid w:val="006F7DE2"/>
    <w:rsid w:val="00700AA0"/>
    <w:rsid w:val="00700E13"/>
    <w:rsid w:val="007019CA"/>
    <w:rsid w:val="00701EA1"/>
    <w:rsid w:val="0070291E"/>
    <w:rsid w:val="007041E7"/>
    <w:rsid w:val="007042A6"/>
    <w:rsid w:val="00704779"/>
    <w:rsid w:val="007058B6"/>
    <w:rsid w:val="007059AF"/>
    <w:rsid w:val="007062CE"/>
    <w:rsid w:val="00710724"/>
    <w:rsid w:val="00711385"/>
    <w:rsid w:val="0071195E"/>
    <w:rsid w:val="007127E1"/>
    <w:rsid w:val="00715143"/>
    <w:rsid w:val="00715BC3"/>
    <w:rsid w:val="00716CE1"/>
    <w:rsid w:val="007175E0"/>
    <w:rsid w:val="00717655"/>
    <w:rsid w:val="00717726"/>
    <w:rsid w:val="00721C3F"/>
    <w:rsid w:val="007232F0"/>
    <w:rsid w:val="00725EDF"/>
    <w:rsid w:val="00726456"/>
    <w:rsid w:val="0073011F"/>
    <w:rsid w:val="0073187A"/>
    <w:rsid w:val="007318EA"/>
    <w:rsid w:val="0073203C"/>
    <w:rsid w:val="0073523D"/>
    <w:rsid w:val="00735F5F"/>
    <w:rsid w:val="007378D6"/>
    <w:rsid w:val="00737C2B"/>
    <w:rsid w:val="007407F6"/>
    <w:rsid w:val="00740CAE"/>
    <w:rsid w:val="0074285D"/>
    <w:rsid w:val="00747DF0"/>
    <w:rsid w:val="00747E5D"/>
    <w:rsid w:val="0075277C"/>
    <w:rsid w:val="00752AB7"/>
    <w:rsid w:val="0075591E"/>
    <w:rsid w:val="00755993"/>
    <w:rsid w:val="007559FE"/>
    <w:rsid w:val="00755B26"/>
    <w:rsid w:val="00755E53"/>
    <w:rsid w:val="00756E68"/>
    <w:rsid w:val="00756EC4"/>
    <w:rsid w:val="00760C5D"/>
    <w:rsid w:val="0076188D"/>
    <w:rsid w:val="0076305C"/>
    <w:rsid w:val="00764508"/>
    <w:rsid w:val="007647BB"/>
    <w:rsid w:val="007655D1"/>
    <w:rsid w:val="00765BED"/>
    <w:rsid w:val="00765D27"/>
    <w:rsid w:val="00766BF3"/>
    <w:rsid w:val="00767C2D"/>
    <w:rsid w:val="00770364"/>
    <w:rsid w:val="00770578"/>
    <w:rsid w:val="00771A88"/>
    <w:rsid w:val="007730DC"/>
    <w:rsid w:val="007740C5"/>
    <w:rsid w:val="007810BF"/>
    <w:rsid w:val="00781598"/>
    <w:rsid w:val="0078200F"/>
    <w:rsid w:val="00782077"/>
    <w:rsid w:val="00784C11"/>
    <w:rsid w:val="00784D55"/>
    <w:rsid w:val="00784E83"/>
    <w:rsid w:val="00785245"/>
    <w:rsid w:val="0078659A"/>
    <w:rsid w:val="00786F89"/>
    <w:rsid w:val="007874E6"/>
    <w:rsid w:val="0078758A"/>
    <w:rsid w:val="00791E56"/>
    <w:rsid w:val="00793670"/>
    <w:rsid w:val="00793A6E"/>
    <w:rsid w:val="0079431E"/>
    <w:rsid w:val="00795DC4"/>
    <w:rsid w:val="0079706A"/>
    <w:rsid w:val="0079735E"/>
    <w:rsid w:val="00797752"/>
    <w:rsid w:val="007979B4"/>
    <w:rsid w:val="007A1789"/>
    <w:rsid w:val="007A2868"/>
    <w:rsid w:val="007A2EC0"/>
    <w:rsid w:val="007A595F"/>
    <w:rsid w:val="007B0D24"/>
    <w:rsid w:val="007B0E44"/>
    <w:rsid w:val="007B1B3D"/>
    <w:rsid w:val="007B24F4"/>
    <w:rsid w:val="007B28B1"/>
    <w:rsid w:val="007B2F63"/>
    <w:rsid w:val="007B3947"/>
    <w:rsid w:val="007B41C9"/>
    <w:rsid w:val="007B5178"/>
    <w:rsid w:val="007C0AC4"/>
    <w:rsid w:val="007C0EBF"/>
    <w:rsid w:val="007C16E8"/>
    <w:rsid w:val="007C2BF6"/>
    <w:rsid w:val="007C40B6"/>
    <w:rsid w:val="007C5046"/>
    <w:rsid w:val="007C5F49"/>
    <w:rsid w:val="007C62E7"/>
    <w:rsid w:val="007C6BE7"/>
    <w:rsid w:val="007C6DC6"/>
    <w:rsid w:val="007D1101"/>
    <w:rsid w:val="007D2122"/>
    <w:rsid w:val="007D2591"/>
    <w:rsid w:val="007D322C"/>
    <w:rsid w:val="007D4015"/>
    <w:rsid w:val="007D4854"/>
    <w:rsid w:val="007D4872"/>
    <w:rsid w:val="007D5664"/>
    <w:rsid w:val="007D6154"/>
    <w:rsid w:val="007D643E"/>
    <w:rsid w:val="007D695C"/>
    <w:rsid w:val="007D7C6F"/>
    <w:rsid w:val="007E1F33"/>
    <w:rsid w:val="007E4EFC"/>
    <w:rsid w:val="007E5170"/>
    <w:rsid w:val="007E58B4"/>
    <w:rsid w:val="007F07D3"/>
    <w:rsid w:val="007F0D2E"/>
    <w:rsid w:val="007F2634"/>
    <w:rsid w:val="007F2E70"/>
    <w:rsid w:val="007F3239"/>
    <w:rsid w:val="007F3A3E"/>
    <w:rsid w:val="007F44EB"/>
    <w:rsid w:val="007F52F1"/>
    <w:rsid w:val="007F53AC"/>
    <w:rsid w:val="007F54FD"/>
    <w:rsid w:val="007F5BDE"/>
    <w:rsid w:val="007F5FEB"/>
    <w:rsid w:val="00802F91"/>
    <w:rsid w:val="00803264"/>
    <w:rsid w:val="008034A3"/>
    <w:rsid w:val="00804C41"/>
    <w:rsid w:val="00806097"/>
    <w:rsid w:val="00806F95"/>
    <w:rsid w:val="008157E5"/>
    <w:rsid w:val="00815A0E"/>
    <w:rsid w:val="00817C71"/>
    <w:rsid w:val="00817F08"/>
    <w:rsid w:val="00820BD1"/>
    <w:rsid w:val="00824A50"/>
    <w:rsid w:val="00827216"/>
    <w:rsid w:val="00827949"/>
    <w:rsid w:val="00827E0B"/>
    <w:rsid w:val="0083339C"/>
    <w:rsid w:val="00833F2B"/>
    <w:rsid w:val="00834332"/>
    <w:rsid w:val="00834C55"/>
    <w:rsid w:val="008359E7"/>
    <w:rsid w:val="00836857"/>
    <w:rsid w:val="00836CBF"/>
    <w:rsid w:val="00840225"/>
    <w:rsid w:val="00841936"/>
    <w:rsid w:val="00844E31"/>
    <w:rsid w:val="00844E82"/>
    <w:rsid w:val="0084607F"/>
    <w:rsid w:val="00847CDF"/>
    <w:rsid w:val="00850321"/>
    <w:rsid w:val="008509FD"/>
    <w:rsid w:val="0085101C"/>
    <w:rsid w:val="008512AA"/>
    <w:rsid w:val="008525DC"/>
    <w:rsid w:val="00852973"/>
    <w:rsid w:val="0085625C"/>
    <w:rsid w:val="0085739D"/>
    <w:rsid w:val="00857446"/>
    <w:rsid w:val="008614FA"/>
    <w:rsid w:val="00861CB0"/>
    <w:rsid w:val="00862C55"/>
    <w:rsid w:val="00866D0B"/>
    <w:rsid w:val="00871B79"/>
    <w:rsid w:val="008761A0"/>
    <w:rsid w:val="0087666B"/>
    <w:rsid w:val="00882053"/>
    <w:rsid w:val="00882A7C"/>
    <w:rsid w:val="00882B8F"/>
    <w:rsid w:val="00882F64"/>
    <w:rsid w:val="008830A2"/>
    <w:rsid w:val="008861A3"/>
    <w:rsid w:val="00890344"/>
    <w:rsid w:val="00891108"/>
    <w:rsid w:val="00892253"/>
    <w:rsid w:val="008933E0"/>
    <w:rsid w:val="008943CA"/>
    <w:rsid w:val="00894EF6"/>
    <w:rsid w:val="008952EF"/>
    <w:rsid w:val="008954DB"/>
    <w:rsid w:val="00895B54"/>
    <w:rsid w:val="0089687E"/>
    <w:rsid w:val="008A11F0"/>
    <w:rsid w:val="008A18CE"/>
    <w:rsid w:val="008A216B"/>
    <w:rsid w:val="008A2641"/>
    <w:rsid w:val="008A29E9"/>
    <w:rsid w:val="008A361F"/>
    <w:rsid w:val="008A3B9F"/>
    <w:rsid w:val="008A3D30"/>
    <w:rsid w:val="008A3E50"/>
    <w:rsid w:val="008A5EF1"/>
    <w:rsid w:val="008A6317"/>
    <w:rsid w:val="008A6E50"/>
    <w:rsid w:val="008A7338"/>
    <w:rsid w:val="008A7763"/>
    <w:rsid w:val="008B0AD5"/>
    <w:rsid w:val="008B1278"/>
    <w:rsid w:val="008B3039"/>
    <w:rsid w:val="008B3558"/>
    <w:rsid w:val="008B4025"/>
    <w:rsid w:val="008B4831"/>
    <w:rsid w:val="008B4EC8"/>
    <w:rsid w:val="008B76AE"/>
    <w:rsid w:val="008B7993"/>
    <w:rsid w:val="008C0949"/>
    <w:rsid w:val="008C0F0E"/>
    <w:rsid w:val="008C38D9"/>
    <w:rsid w:val="008C4244"/>
    <w:rsid w:val="008C434A"/>
    <w:rsid w:val="008C49C3"/>
    <w:rsid w:val="008C6C51"/>
    <w:rsid w:val="008C6DE8"/>
    <w:rsid w:val="008C725C"/>
    <w:rsid w:val="008D0688"/>
    <w:rsid w:val="008D3234"/>
    <w:rsid w:val="008D380D"/>
    <w:rsid w:val="008D54C8"/>
    <w:rsid w:val="008D5696"/>
    <w:rsid w:val="008E28BA"/>
    <w:rsid w:val="008E2BC5"/>
    <w:rsid w:val="008E5BC0"/>
    <w:rsid w:val="008E6316"/>
    <w:rsid w:val="008F0017"/>
    <w:rsid w:val="008F0030"/>
    <w:rsid w:val="008F0889"/>
    <w:rsid w:val="008F1173"/>
    <w:rsid w:val="008F1239"/>
    <w:rsid w:val="008F284C"/>
    <w:rsid w:val="008F43C9"/>
    <w:rsid w:val="008F5A4C"/>
    <w:rsid w:val="008F62D5"/>
    <w:rsid w:val="008F6AE8"/>
    <w:rsid w:val="009000FC"/>
    <w:rsid w:val="00902D79"/>
    <w:rsid w:val="00906748"/>
    <w:rsid w:val="00907C2E"/>
    <w:rsid w:val="00911C96"/>
    <w:rsid w:val="00912623"/>
    <w:rsid w:val="0091740B"/>
    <w:rsid w:val="00917583"/>
    <w:rsid w:val="00920D22"/>
    <w:rsid w:val="0092167E"/>
    <w:rsid w:val="00922B34"/>
    <w:rsid w:val="00923310"/>
    <w:rsid w:val="0092356C"/>
    <w:rsid w:val="009235EE"/>
    <w:rsid w:val="00925E2F"/>
    <w:rsid w:val="00926FC6"/>
    <w:rsid w:val="009270D9"/>
    <w:rsid w:val="00927968"/>
    <w:rsid w:val="00927BE3"/>
    <w:rsid w:val="009307AD"/>
    <w:rsid w:val="009315A2"/>
    <w:rsid w:val="00931F8D"/>
    <w:rsid w:val="00933837"/>
    <w:rsid w:val="00933858"/>
    <w:rsid w:val="00936C65"/>
    <w:rsid w:val="00936F19"/>
    <w:rsid w:val="009378CE"/>
    <w:rsid w:val="009378E8"/>
    <w:rsid w:val="00940F7A"/>
    <w:rsid w:val="009422BF"/>
    <w:rsid w:val="009431AB"/>
    <w:rsid w:val="00943DCD"/>
    <w:rsid w:val="00944D4B"/>
    <w:rsid w:val="00945A80"/>
    <w:rsid w:val="00946852"/>
    <w:rsid w:val="0094721E"/>
    <w:rsid w:val="009508D9"/>
    <w:rsid w:val="00956AE1"/>
    <w:rsid w:val="009616B0"/>
    <w:rsid w:val="00962240"/>
    <w:rsid w:val="00962AC4"/>
    <w:rsid w:val="0096501B"/>
    <w:rsid w:val="009657A9"/>
    <w:rsid w:val="0096697C"/>
    <w:rsid w:val="009733AA"/>
    <w:rsid w:val="00973E78"/>
    <w:rsid w:val="00974C1E"/>
    <w:rsid w:val="009756E4"/>
    <w:rsid w:val="00975CC2"/>
    <w:rsid w:val="00977919"/>
    <w:rsid w:val="00980937"/>
    <w:rsid w:val="009809FE"/>
    <w:rsid w:val="00983016"/>
    <w:rsid w:val="00987C2A"/>
    <w:rsid w:val="00990E63"/>
    <w:rsid w:val="00991210"/>
    <w:rsid w:val="00991CEA"/>
    <w:rsid w:val="009927B8"/>
    <w:rsid w:val="00996AB9"/>
    <w:rsid w:val="00996BF4"/>
    <w:rsid w:val="00996FE8"/>
    <w:rsid w:val="009A0227"/>
    <w:rsid w:val="009A2520"/>
    <w:rsid w:val="009A5BDB"/>
    <w:rsid w:val="009B249E"/>
    <w:rsid w:val="009B2520"/>
    <w:rsid w:val="009B2B96"/>
    <w:rsid w:val="009B2F45"/>
    <w:rsid w:val="009B3779"/>
    <w:rsid w:val="009B39A9"/>
    <w:rsid w:val="009B3EBD"/>
    <w:rsid w:val="009B5A4B"/>
    <w:rsid w:val="009C015F"/>
    <w:rsid w:val="009C0F60"/>
    <w:rsid w:val="009C1876"/>
    <w:rsid w:val="009C2431"/>
    <w:rsid w:val="009C293A"/>
    <w:rsid w:val="009C2C3F"/>
    <w:rsid w:val="009C3543"/>
    <w:rsid w:val="009C420B"/>
    <w:rsid w:val="009C5099"/>
    <w:rsid w:val="009C7662"/>
    <w:rsid w:val="009D0BAA"/>
    <w:rsid w:val="009D2405"/>
    <w:rsid w:val="009D27E5"/>
    <w:rsid w:val="009D2BF7"/>
    <w:rsid w:val="009D36D7"/>
    <w:rsid w:val="009D4755"/>
    <w:rsid w:val="009D490C"/>
    <w:rsid w:val="009D6E60"/>
    <w:rsid w:val="009E0415"/>
    <w:rsid w:val="009E44F2"/>
    <w:rsid w:val="009F14FF"/>
    <w:rsid w:val="009F2719"/>
    <w:rsid w:val="009F43AF"/>
    <w:rsid w:val="009F4549"/>
    <w:rsid w:val="009F771D"/>
    <w:rsid w:val="009F7B83"/>
    <w:rsid w:val="00A04DB1"/>
    <w:rsid w:val="00A060F1"/>
    <w:rsid w:val="00A0677D"/>
    <w:rsid w:val="00A076E3"/>
    <w:rsid w:val="00A07BB9"/>
    <w:rsid w:val="00A100C7"/>
    <w:rsid w:val="00A10835"/>
    <w:rsid w:val="00A11C82"/>
    <w:rsid w:val="00A135EF"/>
    <w:rsid w:val="00A14419"/>
    <w:rsid w:val="00A15896"/>
    <w:rsid w:val="00A1607A"/>
    <w:rsid w:val="00A17363"/>
    <w:rsid w:val="00A20FF5"/>
    <w:rsid w:val="00A21377"/>
    <w:rsid w:val="00A23D61"/>
    <w:rsid w:val="00A240BB"/>
    <w:rsid w:val="00A2465A"/>
    <w:rsid w:val="00A2524E"/>
    <w:rsid w:val="00A2528A"/>
    <w:rsid w:val="00A25C0A"/>
    <w:rsid w:val="00A26ED9"/>
    <w:rsid w:val="00A31C31"/>
    <w:rsid w:val="00A31CFB"/>
    <w:rsid w:val="00A3280B"/>
    <w:rsid w:val="00A33F3F"/>
    <w:rsid w:val="00A36BD7"/>
    <w:rsid w:val="00A378B8"/>
    <w:rsid w:val="00A40373"/>
    <w:rsid w:val="00A40DF5"/>
    <w:rsid w:val="00A41D45"/>
    <w:rsid w:val="00A44442"/>
    <w:rsid w:val="00A45689"/>
    <w:rsid w:val="00A45A91"/>
    <w:rsid w:val="00A467CC"/>
    <w:rsid w:val="00A46D45"/>
    <w:rsid w:val="00A51995"/>
    <w:rsid w:val="00A519D3"/>
    <w:rsid w:val="00A52536"/>
    <w:rsid w:val="00A569BD"/>
    <w:rsid w:val="00A6065F"/>
    <w:rsid w:val="00A6274A"/>
    <w:rsid w:val="00A62F7D"/>
    <w:rsid w:val="00A635C5"/>
    <w:rsid w:val="00A63DCC"/>
    <w:rsid w:val="00A63FD7"/>
    <w:rsid w:val="00A66755"/>
    <w:rsid w:val="00A70069"/>
    <w:rsid w:val="00A717BD"/>
    <w:rsid w:val="00A7283B"/>
    <w:rsid w:val="00A74BD0"/>
    <w:rsid w:val="00A74F46"/>
    <w:rsid w:val="00A77A10"/>
    <w:rsid w:val="00A77B46"/>
    <w:rsid w:val="00A82F3A"/>
    <w:rsid w:val="00A84C1D"/>
    <w:rsid w:val="00A853EF"/>
    <w:rsid w:val="00A86BCC"/>
    <w:rsid w:val="00A9017D"/>
    <w:rsid w:val="00A923DD"/>
    <w:rsid w:val="00A93CCE"/>
    <w:rsid w:val="00A9464B"/>
    <w:rsid w:val="00A949D5"/>
    <w:rsid w:val="00A96E6D"/>
    <w:rsid w:val="00AA0093"/>
    <w:rsid w:val="00AA0383"/>
    <w:rsid w:val="00AA07BA"/>
    <w:rsid w:val="00AA0F1E"/>
    <w:rsid w:val="00AA151B"/>
    <w:rsid w:val="00AA3F46"/>
    <w:rsid w:val="00AA4EF1"/>
    <w:rsid w:val="00AA5A7C"/>
    <w:rsid w:val="00AA62FE"/>
    <w:rsid w:val="00AA6C98"/>
    <w:rsid w:val="00AA6D3C"/>
    <w:rsid w:val="00AA7B87"/>
    <w:rsid w:val="00AB0972"/>
    <w:rsid w:val="00AB1BC4"/>
    <w:rsid w:val="00AB238F"/>
    <w:rsid w:val="00AB2404"/>
    <w:rsid w:val="00AB27DE"/>
    <w:rsid w:val="00AB3059"/>
    <w:rsid w:val="00AB3072"/>
    <w:rsid w:val="00AB3C7D"/>
    <w:rsid w:val="00AB3E02"/>
    <w:rsid w:val="00AB4E3F"/>
    <w:rsid w:val="00AB556C"/>
    <w:rsid w:val="00AB6769"/>
    <w:rsid w:val="00AC0B7E"/>
    <w:rsid w:val="00AC0D75"/>
    <w:rsid w:val="00AC41D1"/>
    <w:rsid w:val="00AC51ED"/>
    <w:rsid w:val="00AC572A"/>
    <w:rsid w:val="00AC62A2"/>
    <w:rsid w:val="00AC6EE2"/>
    <w:rsid w:val="00AD0198"/>
    <w:rsid w:val="00AD349D"/>
    <w:rsid w:val="00AD6C0F"/>
    <w:rsid w:val="00AD735B"/>
    <w:rsid w:val="00AE1579"/>
    <w:rsid w:val="00AE266B"/>
    <w:rsid w:val="00AE2870"/>
    <w:rsid w:val="00AE2A2F"/>
    <w:rsid w:val="00AE3B01"/>
    <w:rsid w:val="00AE444F"/>
    <w:rsid w:val="00AE4BF5"/>
    <w:rsid w:val="00AE5856"/>
    <w:rsid w:val="00AF136C"/>
    <w:rsid w:val="00AF1602"/>
    <w:rsid w:val="00AF30EE"/>
    <w:rsid w:val="00AF57EA"/>
    <w:rsid w:val="00B019FE"/>
    <w:rsid w:val="00B02335"/>
    <w:rsid w:val="00B0253E"/>
    <w:rsid w:val="00B02821"/>
    <w:rsid w:val="00B04509"/>
    <w:rsid w:val="00B05CE6"/>
    <w:rsid w:val="00B07782"/>
    <w:rsid w:val="00B078E8"/>
    <w:rsid w:val="00B14475"/>
    <w:rsid w:val="00B15345"/>
    <w:rsid w:val="00B16189"/>
    <w:rsid w:val="00B16844"/>
    <w:rsid w:val="00B16ED1"/>
    <w:rsid w:val="00B200B2"/>
    <w:rsid w:val="00B204E8"/>
    <w:rsid w:val="00B20AF0"/>
    <w:rsid w:val="00B212E7"/>
    <w:rsid w:val="00B22370"/>
    <w:rsid w:val="00B22824"/>
    <w:rsid w:val="00B23C15"/>
    <w:rsid w:val="00B24C10"/>
    <w:rsid w:val="00B25566"/>
    <w:rsid w:val="00B2640F"/>
    <w:rsid w:val="00B30628"/>
    <w:rsid w:val="00B30C43"/>
    <w:rsid w:val="00B30D6E"/>
    <w:rsid w:val="00B30EA6"/>
    <w:rsid w:val="00B32A70"/>
    <w:rsid w:val="00B32F72"/>
    <w:rsid w:val="00B345B5"/>
    <w:rsid w:val="00B3712D"/>
    <w:rsid w:val="00B40D12"/>
    <w:rsid w:val="00B41902"/>
    <w:rsid w:val="00B420E6"/>
    <w:rsid w:val="00B43027"/>
    <w:rsid w:val="00B44280"/>
    <w:rsid w:val="00B44DCD"/>
    <w:rsid w:val="00B452B7"/>
    <w:rsid w:val="00B47397"/>
    <w:rsid w:val="00B50045"/>
    <w:rsid w:val="00B516F9"/>
    <w:rsid w:val="00B51B1D"/>
    <w:rsid w:val="00B55F58"/>
    <w:rsid w:val="00B57F1C"/>
    <w:rsid w:val="00B61059"/>
    <w:rsid w:val="00B63A26"/>
    <w:rsid w:val="00B64149"/>
    <w:rsid w:val="00B64480"/>
    <w:rsid w:val="00B6586D"/>
    <w:rsid w:val="00B65974"/>
    <w:rsid w:val="00B65BED"/>
    <w:rsid w:val="00B65F69"/>
    <w:rsid w:val="00B66EFC"/>
    <w:rsid w:val="00B70E1E"/>
    <w:rsid w:val="00B72130"/>
    <w:rsid w:val="00B7378A"/>
    <w:rsid w:val="00B746A8"/>
    <w:rsid w:val="00B748EA"/>
    <w:rsid w:val="00B7610E"/>
    <w:rsid w:val="00B772C4"/>
    <w:rsid w:val="00B77595"/>
    <w:rsid w:val="00B77CF7"/>
    <w:rsid w:val="00B827F9"/>
    <w:rsid w:val="00B83900"/>
    <w:rsid w:val="00B8596C"/>
    <w:rsid w:val="00B85C53"/>
    <w:rsid w:val="00B877F4"/>
    <w:rsid w:val="00B9111B"/>
    <w:rsid w:val="00B9312B"/>
    <w:rsid w:val="00B93322"/>
    <w:rsid w:val="00B93C24"/>
    <w:rsid w:val="00B978F1"/>
    <w:rsid w:val="00BA2576"/>
    <w:rsid w:val="00BA4A46"/>
    <w:rsid w:val="00BA5049"/>
    <w:rsid w:val="00BA5CA5"/>
    <w:rsid w:val="00BA6FCF"/>
    <w:rsid w:val="00BA7A2E"/>
    <w:rsid w:val="00BB0F46"/>
    <w:rsid w:val="00BB1630"/>
    <w:rsid w:val="00BB3407"/>
    <w:rsid w:val="00BB5354"/>
    <w:rsid w:val="00BB5C63"/>
    <w:rsid w:val="00BB67F8"/>
    <w:rsid w:val="00BC0128"/>
    <w:rsid w:val="00BC0737"/>
    <w:rsid w:val="00BC0E0E"/>
    <w:rsid w:val="00BC1E06"/>
    <w:rsid w:val="00BC27B9"/>
    <w:rsid w:val="00BC3190"/>
    <w:rsid w:val="00BC3252"/>
    <w:rsid w:val="00BC3E58"/>
    <w:rsid w:val="00BC3F59"/>
    <w:rsid w:val="00BC5C48"/>
    <w:rsid w:val="00BC6B3D"/>
    <w:rsid w:val="00BD139B"/>
    <w:rsid w:val="00BD296F"/>
    <w:rsid w:val="00BD62FA"/>
    <w:rsid w:val="00BD69B8"/>
    <w:rsid w:val="00BE01C7"/>
    <w:rsid w:val="00BE068B"/>
    <w:rsid w:val="00BE1C3E"/>
    <w:rsid w:val="00BE249F"/>
    <w:rsid w:val="00BE3788"/>
    <w:rsid w:val="00BE3CE4"/>
    <w:rsid w:val="00BE4939"/>
    <w:rsid w:val="00BE4A74"/>
    <w:rsid w:val="00BE56B5"/>
    <w:rsid w:val="00BE691D"/>
    <w:rsid w:val="00BF119F"/>
    <w:rsid w:val="00BF46AE"/>
    <w:rsid w:val="00BF59B3"/>
    <w:rsid w:val="00BF7C8C"/>
    <w:rsid w:val="00BF7CC8"/>
    <w:rsid w:val="00C000DF"/>
    <w:rsid w:val="00C00DE1"/>
    <w:rsid w:val="00C018E5"/>
    <w:rsid w:val="00C1233D"/>
    <w:rsid w:val="00C1321D"/>
    <w:rsid w:val="00C172B7"/>
    <w:rsid w:val="00C17DE9"/>
    <w:rsid w:val="00C204AB"/>
    <w:rsid w:val="00C205E5"/>
    <w:rsid w:val="00C2109F"/>
    <w:rsid w:val="00C21463"/>
    <w:rsid w:val="00C21853"/>
    <w:rsid w:val="00C22F06"/>
    <w:rsid w:val="00C233E5"/>
    <w:rsid w:val="00C23C64"/>
    <w:rsid w:val="00C246E4"/>
    <w:rsid w:val="00C30965"/>
    <w:rsid w:val="00C311E9"/>
    <w:rsid w:val="00C31DF7"/>
    <w:rsid w:val="00C340FF"/>
    <w:rsid w:val="00C34772"/>
    <w:rsid w:val="00C36482"/>
    <w:rsid w:val="00C37143"/>
    <w:rsid w:val="00C375A4"/>
    <w:rsid w:val="00C40038"/>
    <w:rsid w:val="00C40873"/>
    <w:rsid w:val="00C40AE8"/>
    <w:rsid w:val="00C4156D"/>
    <w:rsid w:val="00C45271"/>
    <w:rsid w:val="00C478DC"/>
    <w:rsid w:val="00C5024A"/>
    <w:rsid w:val="00C5042A"/>
    <w:rsid w:val="00C50B10"/>
    <w:rsid w:val="00C51C33"/>
    <w:rsid w:val="00C52FE2"/>
    <w:rsid w:val="00C54BAD"/>
    <w:rsid w:val="00C56A01"/>
    <w:rsid w:val="00C622EA"/>
    <w:rsid w:val="00C62902"/>
    <w:rsid w:val="00C63544"/>
    <w:rsid w:val="00C65F27"/>
    <w:rsid w:val="00C66B83"/>
    <w:rsid w:val="00C71798"/>
    <w:rsid w:val="00C71B58"/>
    <w:rsid w:val="00C752F6"/>
    <w:rsid w:val="00C7550D"/>
    <w:rsid w:val="00C75602"/>
    <w:rsid w:val="00C8017E"/>
    <w:rsid w:val="00C8061C"/>
    <w:rsid w:val="00C81359"/>
    <w:rsid w:val="00C8142F"/>
    <w:rsid w:val="00C82851"/>
    <w:rsid w:val="00C82B3D"/>
    <w:rsid w:val="00C83BA8"/>
    <w:rsid w:val="00C8407A"/>
    <w:rsid w:val="00C84DDE"/>
    <w:rsid w:val="00C85210"/>
    <w:rsid w:val="00C855F9"/>
    <w:rsid w:val="00C92100"/>
    <w:rsid w:val="00C929C4"/>
    <w:rsid w:val="00C9397A"/>
    <w:rsid w:val="00C94DE9"/>
    <w:rsid w:val="00CA0850"/>
    <w:rsid w:val="00CA0C20"/>
    <w:rsid w:val="00CA2A84"/>
    <w:rsid w:val="00CA4F7D"/>
    <w:rsid w:val="00CA4F9D"/>
    <w:rsid w:val="00CA51DE"/>
    <w:rsid w:val="00CA75C5"/>
    <w:rsid w:val="00CA7F5F"/>
    <w:rsid w:val="00CB18E2"/>
    <w:rsid w:val="00CB2A4C"/>
    <w:rsid w:val="00CB2A98"/>
    <w:rsid w:val="00CB3472"/>
    <w:rsid w:val="00CB3F7B"/>
    <w:rsid w:val="00CB429C"/>
    <w:rsid w:val="00CB44F7"/>
    <w:rsid w:val="00CB4D62"/>
    <w:rsid w:val="00CB52D7"/>
    <w:rsid w:val="00CB57B3"/>
    <w:rsid w:val="00CB6ECF"/>
    <w:rsid w:val="00CC08CC"/>
    <w:rsid w:val="00CC1529"/>
    <w:rsid w:val="00CC27E4"/>
    <w:rsid w:val="00CC420E"/>
    <w:rsid w:val="00CD0F1F"/>
    <w:rsid w:val="00CD133F"/>
    <w:rsid w:val="00CD2F6F"/>
    <w:rsid w:val="00CD30A9"/>
    <w:rsid w:val="00CD333F"/>
    <w:rsid w:val="00CD3E81"/>
    <w:rsid w:val="00CD3F61"/>
    <w:rsid w:val="00CD5073"/>
    <w:rsid w:val="00CD5079"/>
    <w:rsid w:val="00CD5FF1"/>
    <w:rsid w:val="00CD622C"/>
    <w:rsid w:val="00CD70B7"/>
    <w:rsid w:val="00CD7A08"/>
    <w:rsid w:val="00CE1044"/>
    <w:rsid w:val="00CE3514"/>
    <w:rsid w:val="00CE6774"/>
    <w:rsid w:val="00CE67CA"/>
    <w:rsid w:val="00CE6E9A"/>
    <w:rsid w:val="00CE6EE3"/>
    <w:rsid w:val="00CE724E"/>
    <w:rsid w:val="00CE7ACC"/>
    <w:rsid w:val="00CE7DC8"/>
    <w:rsid w:val="00CE7F1D"/>
    <w:rsid w:val="00CF077E"/>
    <w:rsid w:val="00CF1715"/>
    <w:rsid w:val="00CF2A27"/>
    <w:rsid w:val="00CF3ED6"/>
    <w:rsid w:val="00CF4419"/>
    <w:rsid w:val="00CF75E7"/>
    <w:rsid w:val="00D012C1"/>
    <w:rsid w:val="00D02098"/>
    <w:rsid w:val="00D03423"/>
    <w:rsid w:val="00D038E2"/>
    <w:rsid w:val="00D03B1B"/>
    <w:rsid w:val="00D07058"/>
    <w:rsid w:val="00D10854"/>
    <w:rsid w:val="00D12CA1"/>
    <w:rsid w:val="00D1339E"/>
    <w:rsid w:val="00D133EF"/>
    <w:rsid w:val="00D13AB6"/>
    <w:rsid w:val="00D13ED6"/>
    <w:rsid w:val="00D147CC"/>
    <w:rsid w:val="00D14C95"/>
    <w:rsid w:val="00D1576E"/>
    <w:rsid w:val="00D15C54"/>
    <w:rsid w:val="00D1795D"/>
    <w:rsid w:val="00D20691"/>
    <w:rsid w:val="00D21B85"/>
    <w:rsid w:val="00D23E11"/>
    <w:rsid w:val="00D24EBB"/>
    <w:rsid w:val="00D26ECD"/>
    <w:rsid w:val="00D30D3F"/>
    <w:rsid w:val="00D343B9"/>
    <w:rsid w:val="00D34FEB"/>
    <w:rsid w:val="00D3608E"/>
    <w:rsid w:val="00D37122"/>
    <w:rsid w:val="00D37339"/>
    <w:rsid w:val="00D378C0"/>
    <w:rsid w:val="00D37919"/>
    <w:rsid w:val="00D4344A"/>
    <w:rsid w:val="00D439F1"/>
    <w:rsid w:val="00D43A69"/>
    <w:rsid w:val="00D46745"/>
    <w:rsid w:val="00D472A0"/>
    <w:rsid w:val="00D50A3D"/>
    <w:rsid w:val="00D52005"/>
    <w:rsid w:val="00D53039"/>
    <w:rsid w:val="00D53364"/>
    <w:rsid w:val="00D55AC7"/>
    <w:rsid w:val="00D574A7"/>
    <w:rsid w:val="00D618F4"/>
    <w:rsid w:val="00D65D8C"/>
    <w:rsid w:val="00D661AD"/>
    <w:rsid w:val="00D67E77"/>
    <w:rsid w:val="00D71391"/>
    <w:rsid w:val="00D75897"/>
    <w:rsid w:val="00D778E7"/>
    <w:rsid w:val="00D818CA"/>
    <w:rsid w:val="00D823D0"/>
    <w:rsid w:val="00D83660"/>
    <w:rsid w:val="00D83878"/>
    <w:rsid w:val="00D84DDC"/>
    <w:rsid w:val="00D854FB"/>
    <w:rsid w:val="00D85C24"/>
    <w:rsid w:val="00D862C4"/>
    <w:rsid w:val="00D920C3"/>
    <w:rsid w:val="00D92AA4"/>
    <w:rsid w:val="00D93823"/>
    <w:rsid w:val="00D93D2D"/>
    <w:rsid w:val="00D9766F"/>
    <w:rsid w:val="00DA2BCD"/>
    <w:rsid w:val="00DA3E67"/>
    <w:rsid w:val="00DA5BCF"/>
    <w:rsid w:val="00DA6955"/>
    <w:rsid w:val="00DB09D0"/>
    <w:rsid w:val="00DB180C"/>
    <w:rsid w:val="00DB249C"/>
    <w:rsid w:val="00DC091C"/>
    <w:rsid w:val="00DC148D"/>
    <w:rsid w:val="00DC2DAA"/>
    <w:rsid w:val="00DC44AF"/>
    <w:rsid w:val="00DC5E1C"/>
    <w:rsid w:val="00DC7C9B"/>
    <w:rsid w:val="00DD1FF4"/>
    <w:rsid w:val="00DD370A"/>
    <w:rsid w:val="00DD49BA"/>
    <w:rsid w:val="00DD5394"/>
    <w:rsid w:val="00DD66B0"/>
    <w:rsid w:val="00DD7260"/>
    <w:rsid w:val="00DD732B"/>
    <w:rsid w:val="00DD7A14"/>
    <w:rsid w:val="00DE0218"/>
    <w:rsid w:val="00DE3204"/>
    <w:rsid w:val="00DE6276"/>
    <w:rsid w:val="00DE660E"/>
    <w:rsid w:val="00DE6810"/>
    <w:rsid w:val="00DF15C1"/>
    <w:rsid w:val="00DF17AE"/>
    <w:rsid w:val="00DF1F15"/>
    <w:rsid w:val="00DF3CCF"/>
    <w:rsid w:val="00DF4576"/>
    <w:rsid w:val="00DF6A8A"/>
    <w:rsid w:val="00DF728E"/>
    <w:rsid w:val="00DF76F5"/>
    <w:rsid w:val="00DF7703"/>
    <w:rsid w:val="00E00E40"/>
    <w:rsid w:val="00E00F28"/>
    <w:rsid w:val="00E06AC4"/>
    <w:rsid w:val="00E06DA9"/>
    <w:rsid w:val="00E100EB"/>
    <w:rsid w:val="00E124C2"/>
    <w:rsid w:val="00E13069"/>
    <w:rsid w:val="00E13081"/>
    <w:rsid w:val="00E134FB"/>
    <w:rsid w:val="00E13592"/>
    <w:rsid w:val="00E13A4A"/>
    <w:rsid w:val="00E210D3"/>
    <w:rsid w:val="00E21E7D"/>
    <w:rsid w:val="00E24AB4"/>
    <w:rsid w:val="00E24BF3"/>
    <w:rsid w:val="00E24DB0"/>
    <w:rsid w:val="00E24EDC"/>
    <w:rsid w:val="00E25458"/>
    <w:rsid w:val="00E261C1"/>
    <w:rsid w:val="00E272E2"/>
    <w:rsid w:val="00E30D76"/>
    <w:rsid w:val="00E30DE0"/>
    <w:rsid w:val="00E31AB2"/>
    <w:rsid w:val="00E33ABA"/>
    <w:rsid w:val="00E37A68"/>
    <w:rsid w:val="00E41CD8"/>
    <w:rsid w:val="00E438AC"/>
    <w:rsid w:val="00E457E1"/>
    <w:rsid w:val="00E4582A"/>
    <w:rsid w:val="00E4679F"/>
    <w:rsid w:val="00E527F3"/>
    <w:rsid w:val="00E52D63"/>
    <w:rsid w:val="00E536A8"/>
    <w:rsid w:val="00E54665"/>
    <w:rsid w:val="00E556BB"/>
    <w:rsid w:val="00E578D4"/>
    <w:rsid w:val="00E6003B"/>
    <w:rsid w:val="00E6166F"/>
    <w:rsid w:val="00E624BE"/>
    <w:rsid w:val="00E62A2E"/>
    <w:rsid w:val="00E62BC6"/>
    <w:rsid w:val="00E62CBB"/>
    <w:rsid w:val="00E62F58"/>
    <w:rsid w:val="00E65DA8"/>
    <w:rsid w:val="00E7028A"/>
    <w:rsid w:val="00E70632"/>
    <w:rsid w:val="00E71903"/>
    <w:rsid w:val="00E743DA"/>
    <w:rsid w:val="00E7505F"/>
    <w:rsid w:val="00E75066"/>
    <w:rsid w:val="00E7725B"/>
    <w:rsid w:val="00E8003A"/>
    <w:rsid w:val="00E80498"/>
    <w:rsid w:val="00E82C91"/>
    <w:rsid w:val="00E838DD"/>
    <w:rsid w:val="00E83CC3"/>
    <w:rsid w:val="00E84211"/>
    <w:rsid w:val="00E84AC0"/>
    <w:rsid w:val="00E853B5"/>
    <w:rsid w:val="00E8552C"/>
    <w:rsid w:val="00E86C00"/>
    <w:rsid w:val="00E872C7"/>
    <w:rsid w:val="00E92EC7"/>
    <w:rsid w:val="00E938D7"/>
    <w:rsid w:val="00E93CE5"/>
    <w:rsid w:val="00E96122"/>
    <w:rsid w:val="00E967AE"/>
    <w:rsid w:val="00E9720D"/>
    <w:rsid w:val="00EA1421"/>
    <w:rsid w:val="00EA212C"/>
    <w:rsid w:val="00EA298C"/>
    <w:rsid w:val="00EA411A"/>
    <w:rsid w:val="00EA545A"/>
    <w:rsid w:val="00EA6A79"/>
    <w:rsid w:val="00EB0952"/>
    <w:rsid w:val="00EB11B4"/>
    <w:rsid w:val="00EB38C2"/>
    <w:rsid w:val="00EB6652"/>
    <w:rsid w:val="00EB7D5D"/>
    <w:rsid w:val="00EC16E7"/>
    <w:rsid w:val="00EC315D"/>
    <w:rsid w:val="00EC3845"/>
    <w:rsid w:val="00EC4BD6"/>
    <w:rsid w:val="00EC53BF"/>
    <w:rsid w:val="00EC53E7"/>
    <w:rsid w:val="00EC78F4"/>
    <w:rsid w:val="00ED0338"/>
    <w:rsid w:val="00ED07D5"/>
    <w:rsid w:val="00ED2C25"/>
    <w:rsid w:val="00ED305E"/>
    <w:rsid w:val="00ED308B"/>
    <w:rsid w:val="00ED4DB5"/>
    <w:rsid w:val="00ED5F99"/>
    <w:rsid w:val="00ED79B3"/>
    <w:rsid w:val="00EE024B"/>
    <w:rsid w:val="00EE1278"/>
    <w:rsid w:val="00EE4C73"/>
    <w:rsid w:val="00EE7663"/>
    <w:rsid w:val="00EF0C5D"/>
    <w:rsid w:val="00EF1BA3"/>
    <w:rsid w:val="00EF24BD"/>
    <w:rsid w:val="00EF2A11"/>
    <w:rsid w:val="00EF2A36"/>
    <w:rsid w:val="00EF2FC9"/>
    <w:rsid w:val="00EF46F9"/>
    <w:rsid w:val="00EF5807"/>
    <w:rsid w:val="00EF5E21"/>
    <w:rsid w:val="00EF6BB8"/>
    <w:rsid w:val="00EF6F3E"/>
    <w:rsid w:val="00EF78A4"/>
    <w:rsid w:val="00F00E34"/>
    <w:rsid w:val="00F0242B"/>
    <w:rsid w:val="00F025DC"/>
    <w:rsid w:val="00F03E08"/>
    <w:rsid w:val="00F072FD"/>
    <w:rsid w:val="00F073A8"/>
    <w:rsid w:val="00F0751E"/>
    <w:rsid w:val="00F07E61"/>
    <w:rsid w:val="00F10147"/>
    <w:rsid w:val="00F11ACC"/>
    <w:rsid w:val="00F1482A"/>
    <w:rsid w:val="00F15F16"/>
    <w:rsid w:val="00F15F5A"/>
    <w:rsid w:val="00F17ECB"/>
    <w:rsid w:val="00F20746"/>
    <w:rsid w:val="00F20B84"/>
    <w:rsid w:val="00F215D0"/>
    <w:rsid w:val="00F22EDA"/>
    <w:rsid w:val="00F26DD4"/>
    <w:rsid w:val="00F27080"/>
    <w:rsid w:val="00F270BB"/>
    <w:rsid w:val="00F277B5"/>
    <w:rsid w:val="00F27C4A"/>
    <w:rsid w:val="00F27DF8"/>
    <w:rsid w:val="00F34281"/>
    <w:rsid w:val="00F36C4D"/>
    <w:rsid w:val="00F40C01"/>
    <w:rsid w:val="00F4103B"/>
    <w:rsid w:val="00F41055"/>
    <w:rsid w:val="00F415DE"/>
    <w:rsid w:val="00F4330D"/>
    <w:rsid w:val="00F47F9E"/>
    <w:rsid w:val="00F50065"/>
    <w:rsid w:val="00F50567"/>
    <w:rsid w:val="00F50A8A"/>
    <w:rsid w:val="00F50D7C"/>
    <w:rsid w:val="00F51712"/>
    <w:rsid w:val="00F51B14"/>
    <w:rsid w:val="00F51D36"/>
    <w:rsid w:val="00F53834"/>
    <w:rsid w:val="00F5433C"/>
    <w:rsid w:val="00F54854"/>
    <w:rsid w:val="00F556AE"/>
    <w:rsid w:val="00F57881"/>
    <w:rsid w:val="00F60250"/>
    <w:rsid w:val="00F61C1A"/>
    <w:rsid w:val="00F62129"/>
    <w:rsid w:val="00F6285F"/>
    <w:rsid w:val="00F62AD5"/>
    <w:rsid w:val="00F635DA"/>
    <w:rsid w:val="00F6462B"/>
    <w:rsid w:val="00F648E4"/>
    <w:rsid w:val="00F66EDC"/>
    <w:rsid w:val="00F6724A"/>
    <w:rsid w:val="00F70324"/>
    <w:rsid w:val="00F70DEC"/>
    <w:rsid w:val="00F75077"/>
    <w:rsid w:val="00F80373"/>
    <w:rsid w:val="00F81133"/>
    <w:rsid w:val="00F85940"/>
    <w:rsid w:val="00F8724E"/>
    <w:rsid w:val="00F9012D"/>
    <w:rsid w:val="00F938F9"/>
    <w:rsid w:val="00FA04A1"/>
    <w:rsid w:val="00FA0EE7"/>
    <w:rsid w:val="00FA114A"/>
    <w:rsid w:val="00FA4ADA"/>
    <w:rsid w:val="00FA59B4"/>
    <w:rsid w:val="00FA71C0"/>
    <w:rsid w:val="00FB0298"/>
    <w:rsid w:val="00FB03A6"/>
    <w:rsid w:val="00FB0AAB"/>
    <w:rsid w:val="00FB0FA5"/>
    <w:rsid w:val="00FB1205"/>
    <w:rsid w:val="00FB1400"/>
    <w:rsid w:val="00FB24D8"/>
    <w:rsid w:val="00FB35E1"/>
    <w:rsid w:val="00FB549E"/>
    <w:rsid w:val="00FC0C2F"/>
    <w:rsid w:val="00FC2AE5"/>
    <w:rsid w:val="00FC2EA9"/>
    <w:rsid w:val="00FC3D67"/>
    <w:rsid w:val="00FC5049"/>
    <w:rsid w:val="00FC7EF3"/>
    <w:rsid w:val="00FD02F5"/>
    <w:rsid w:val="00FD1312"/>
    <w:rsid w:val="00FD2645"/>
    <w:rsid w:val="00FD26E5"/>
    <w:rsid w:val="00FD27DE"/>
    <w:rsid w:val="00FD341F"/>
    <w:rsid w:val="00FD4D2D"/>
    <w:rsid w:val="00FD5175"/>
    <w:rsid w:val="00FD75B6"/>
    <w:rsid w:val="00FE2FB7"/>
    <w:rsid w:val="00FE3137"/>
    <w:rsid w:val="00FE6026"/>
    <w:rsid w:val="00FE6778"/>
    <w:rsid w:val="00FE69AB"/>
    <w:rsid w:val="00FE7EF8"/>
    <w:rsid w:val="00FF00A7"/>
    <w:rsid w:val="00FF4AF4"/>
    <w:rsid w:val="00FF57C3"/>
    <w:rsid w:val="00FF5D5D"/>
    <w:rsid w:val="0260F807"/>
    <w:rsid w:val="05E47B97"/>
    <w:rsid w:val="0A22F68E"/>
    <w:rsid w:val="0AC615FA"/>
    <w:rsid w:val="0DA1BA8A"/>
    <w:rsid w:val="0DDC746D"/>
    <w:rsid w:val="139C12B7"/>
    <w:rsid w:val="147BC528"/>
    <w:rsid w:val="173ACE4B"/>
    <w:rsid w:val="1D7D8BE7"/>
    <w:rsid w:val="1F7D9A33"/>
    <w:rsid w:val="21196A94"/>
    <w:rsid w:val="22B53AF5"/>
    <w:rsid w:val="298A5A45"/>
    <w:rsid w:val="2C074BCA"/>
    <w:rsid w:val="2D2654C6"/>
    <w:rsid w:val="2ECC7FF8"/>
    <w:rsid w:val="31E95D9C"/>
    <w:rsid w:val="34BE2CF1"/>
    <w:rsid w:val="36F4AD5A"/>
    <w:rsid w:val="38FDED03"/>
    <w:rsid w:val="39D089F3"/>
    <w:rsid w:val="3B45676A"/>
    <w:rsid w:val="3E5863F0"/>
    <w:rsid w:val="41003D60"/>
    <w:rsid w:val="438ADD31"/>
    <w:rsid w:val="4462336B"/>
    <w:rsid w:val="48A324BF"/>
    <w:rsid w:val="48A46C3B"/>
    <w:rsid w:val="493CD05F"/>
    <w:rsid w:val="4D70E801"/>
    <w:rsid w:val="4D79888B"/>
    <w:rsid w:val="54E325CC"/>
    <w:rsid w:val="54FF979A"/>
    <w:rsid w:val="5551CB7E"/>
    <w:rsid w:val="5591EE14"/>
    <w:rsid w:val="5BF2F4D1"/>
    <w:rsid w:val="5D33987D"/>
    <w:rsid w:val="6030A845"/>
    <w:rsid w:val="65B93D26"/>
    <w:rsid w:val="6BB5EAB8"/>
    <w:rsid w:val="6E010F20"/>
    <w:rsid w:val="6E653DCF"/>
    <w:rsid w:val="6FD00B9B"/>
    <w:rsid w:val="6FF47719"/>
    <w:rsid w:val="73E936D4"/>
    <w:rsid w:val="767A1FBE"/>
    <w:rsid w:val="78FAA3BB"/>
    <w:rsid w:val="7A0714B8"/>
    <w:rsid w:val="7B077058"/>
    <w:rsid w:val="7C17178E"/>
    <w:rsid w:val="7C536AEA"/>
    <w:rsid w:val="7CA08238"/>
    <w:rsid w:val="7D95D0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DB18E"/>
  <w15:chartTrackingRefBased/>
  <w15:docId w15:val="{B2BAE114-142D-4C7D-9256-AA90D5FF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t0xe">
    <w:name w:val="trt0xe"/>
    <w:basedOn w:val="Normal"/>
    <w:rsid w:val="008A29E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0751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FD517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FD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3A26"/>
    <w:pPr>
      <w:spacing w:after="0"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C81359"/>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C81359"/>
  </w:style>
  <w:style w:type="paragraph" w:styleId="BalloonText">
    <w:name w:val="Balloon Text"/>
    <w:basedOn w:val="Normal"/>
    <w:link w:val="BalloonTextChar"/>
    <w:uiPriority w:val="99"/>
    <w:semiHidden/>
    <w:unhideWhenUsed/>
    <w:rsid w:val="00180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214"/>
    <w:rPr>
      <w:rFonts w:ascii="Segoe UI" w:hAnsi="Segoe UI" w:cs="Segoe UI"/>
      <w:sz w:val="18"/>
      <w:szCs w:val="18"/>
    </w:rPr>
  </w:style>
  <w:style w:type="paragraph" w:styleId="Header">
    <w:name w:val="header"/>
    <w:basedOn w:val="Normal"/>
    <w:link w:val="HeaderChar"/>
    <w:uiPriority w:val="99"/>
    <w:unhideWhenUsed/>
    <w:rsid w:val="001E4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319"/>
  </w:style>
  <w:style w:type="paragraph" w:styleId="Footer">
    <w:name w:val="footer"/>
    <w:basedOn w:val="Normal"/>
    <w:link w:val="FooterChar"/>
    <w:uiPriority w:val="99"/>
    <w:unhideWhenUsed/>
    <w:rsid w:val="001E4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319"/>
  </w:style>
  <w:style w:type="paragraph" w:customStyle="1" w:styleId="Style1">
    <w:name w:val="Style1"/>
    <w:basedOn w:val="ListParagraph"/>
    <w:link w:val="Style1Char"/>
    <w:qFormat/>
    <w:rsid w:val="001329FF"/>
    <w:pPr>
      <w:numPr>
        <w:numId w:val="1"/>
      </w:numPr>
      <w:ind w:left="567" w:hanging="567"/>
    </w:pPr>
    <w:rPr>
      <w:rFonts w:ascii="Tahoma" w:hAnsi="Tahoma" w:cs="Tahoma"/>
      <w:b/>
      <w:bCs/>
      <w:u w:val="single"/>
    </w:rPr>
  </w:style>
  <w:style w:type="paragraph" w:customStyle="1" w:styleId="Style2">
    <w:name w:val="Style2"/>
    <w:basedOn w:val="ListParagraph"/>
    <w:link w:val="Style2Char"/>
    <w:qFormat/>
    <w:rsid w:val="001329FF"/>
    <w:pPr>
      <w:numPr>
        <w:ilvl w:val="1"/>
        <w:numId w:val="1"/>
      </w:numPr>
      <w:ind w:left="567" w:hanging="567"/>
    </w:pPr>
    <w:rPr>
      <w:rFonts w:ascii="Tahoma" w:hAnsi="Tahoma" w:cs="Tahoma"/>
      <w:u w:val="single"/>
    </w:rPr>
  </w:style>
  <w:style w:type="character" w:customStyle="1" w:styleId="Style1Char">
    <w:name w:val="Style1 Char"/>
    <w:basedOn w:val="ListParagraphChar"/>
    <w:link w:val="Style1"/>
    <w:rsid w:val="001329FF"/>
    <w:rPr>
      <w:rFonts w:ascii="Tahoma" w:hAnsi="Tahoma" w:cs="Tahoma"/>
      <w:b/>
      <w:bCs/>
      <w:u w:val="single"/>
    </w:rPr>
  </w:style>
  <w:style w:type="character" w:customStyle="1" w:styleId="Style2Char">
    <w:name w:val="Style2 Char"/>
    <w:basedOn w:val="ListParagraphChar"/>
    <w:link w:val="Style2"/>
    <w:rsid w:val="001329FF"/>
    <w:rPr>
      <w:rFonts w:ascii="Tahoma" w:hAnsi="Tahoma" w:cs="Tahoma"/>
      <w:u w:val="single"/>
    </w:rPr>
  </w:style>
  <w:style w:type="paragraph" w:styleId="NormalWeb">
    <w:name w:val="Normal (Web)"/>
    <w:basedOn w:val="Normal"/>
    <w:uiPriority w:val="99"/>
    <w:unhideWhenUsed/>
    <w:rsid w:val="00270DE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DA3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134E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86C60"/>
  </w:style>
  <w:style w:type="character" w:customStyle="1" w:styleId="eop">
    <w:name w:val="eop"/>
    <w:basedOn w:val="DefaultParagraphFont"/>
    <w:rsid w:val="007C6DC6"/>
  </w:style>
  <w:style w:type="character" w:styleId="CommentReference">
    <w:name w:val="annotation reference"/>
    <w:basedOn w:val="DefaultParagraphFont"/>
    <w:uiPriority w:val="99"/>
    <w:semiHidden/>
    <w:unhideWhenUsed/>
    <w:rsid w:val="00C7550D"/>
    <w:rPr>
      <w:sz w:val="16"/>
      <w:szCs w:val="16"/>
    </w:rPr>
  </w:style>
  <w:style w:type="paragraph" w:styleId="CommentText">
    <w:name w:val="annotation text"/>
    <w:basedOn w:val="Normal"/>
    <w:link w:val="CommentTextChar"/>
    <w:uiPriority w:val="99"/>
    <w:unhideWhenUsed/>
    <w:rsid w:val="00C7550D"/>
    <w:pPr>
      <w:spacing w:line="240" w:lineRule="auto"/>
    </w:pPr>
    <w:rPr>
      <w:sz w:val="20"/>
      <w:szCs w:val="20"/>
    </w:rPr>
  </w:style>
  <w:style w:type="character" w:customStyle="1" w:styleId="CommentTextChar">
    <w:name w:val="Comment Text Char"/>
    <w:basedOn w:val="DefaultParagraphFont"/>
    <w:link w:val="CommentText"/>
    <w:uiPriority w:val="99"/>
    <w:rsid w:val="00C7550D"/>
    <w:rPr>
      <w:sz w:val="20"/>
      <w:szCs w:val="20"/>
    </w:rPr>
  </w:style>
  <w:style w:type="paragraph" w:styleId="CommentSubject">
    <w:name w:val="annotation subject"/>
    <w:basedOn w:val="CommentText"/>
    <w:next w:val="CommentText"/>
    <w:link w:val="CommentSubjectChar"/>
    <w:uiPriority w:val="99"/>
    <w:semiHidden/>
    <w:unhideWhenUsed/>
    <w:rsid w:val="00C7550D"/>
    <w:rPr>
      <w:b/>
      <w:bCs/>
    </w:rPr>
  </w:style>
  <w:style w:type="character" w:customStyle="1" w:styleId="CommentSubjectChar">
    <w:name w:val="Comment Subject Char"/>
    <w:basedOn w:val="CommentTextChar"/>
    <w:link w:val="CommentSubject"/>
    <w:uiPriority w:val="99"/>
    <w:semiHidden/>
    <w:rsid w:val="00C755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1572">
      <w:bodyDiv w:val="1"/>
      <w:marLeft w:val="0"/>
      <w:marRight w:val="0"/>
      <w:marTop w:val="0"/>
      <w:marBottom w:val="0"/>
      <w:divBdr>
        <w:top w:val="none" w:sz="0" w:space="0" w:color="auto"/>
        <w:left w:val="none" w:sz="0" w:space="0" w:color="auto"/>
        <w:bottom w:val="none" w:sz="0" w:space="0" w:color="auto"/>
        <w:right w:val="none" w:sz="0" w:space="0" w:color="auto"/>
      </w:divBdr>
    </w:div>
    <w:div w:id="48699069">
      <w:bodyDiv w:val="1"/>
      <w:marLeft w:val="0"/>
      <w:marRight w:val="0"/>
      <w:marTop w:val="0"/>
      <w:marBottom w:val="0"/>
      <w:divBdr>
        <w:top w:val="none" w:sz="0" w:space="0" w:color="auto"/>
        <w:left w:val="none" w:sz="0" w:space="0" w:color="auto"/>
        <w:bottom w:val="none" w:sz="0" w:space="0" w:color="auto"/>
        <w:right w:val="none" w:sz="0" w:space="0" w:color="auto"/>
      </w:divBdr>
    </w:div>
    <w:div w:id="178785045">
      <w:bodyDiv w:val="1"/>
      <w:marLeft w:val="0"/>
      <w:marRight w:val="0"/>
      <w:marTop w:val="0"/>
      <w:marBottom w:val="0"/>
      <w:divBdr>
        <w:top w:val="none" w:sz="0" w:space="0" w:color="auto"/>
        <w:left w:val="none" w:sz="0" w:space="0" w:color="auto"/>
        <w:bottom w:val="none" w:sz="0" w:space="0" w:color="auto"/>
        <w:right w:val="none" w:sz="0" w:space="0" w:color="auto"/>
      </w:divBdr>
    </w:div>
    <w:div w:id="537738768">
      <w:bodyDiv w:val="1"/>
      <w:marLeft w:val="0"/>
      <w:marRight w:val="0"/>
      <w:marTop w:val="0"/>
      <w:marBottom w:val="0"/>
      <w:divBdr>
        <w:top w:val="none" w:sz="0" w:space="0" w:color="auto"/>
        <w:left w:val="none" w:sz="0" w:space="0" w:color="auto"/>
        <w:bottom w:val="none" w:sz="0" w:space="0" w:color="auto"/>
        <w:right w:val="none" w:sz="0" w:space="0" w:color="auto"/>
      </w:divBdr>
    </w:div>
    <w:div w:id="553738066">
      <w:bodyDiv w:val="1"/>
      <w:marLeft w:val="0"/>
      <w:marRight w:val="0"/>
      <w:marTop w:val="0"/>
      <w:marBottom w:val="0"/>
      <w:divBdr>
        <w:top w:val="none" w:sz="0" w:space="0" w:color="auto"/>
        <w:left w:val="none" w:sz="0" w:space="0" w:color="auto"/>
        <w:bottom w:val="none" w:sz="0" w:space="0" w:color="auto"/>
        <w:right w:val="none" w:sz="0" w:space="0" w:color="auto"/>
      </w:divBdr>
    </w:div>
    <w:div w:id="989208856">
      <w:bodyDiv w:val="1"/>
      <w:marLeft w:val="0"/>
      <w:marRight w:val="0"/>
      <w:marTop w:val="0"/>
      <w:marBottom w:val="0"/>
      <w:divBdr>
        <w:top w:val="none" w:sz="0" w:space="0" w:color="auto"/>
        <w:left w:val="none" w:sz="0" w:space="0" w:color="auto"/>
        <w:bottom w:val="none" w:sz="0" w:space="0" w:color="auto"/>
        <w:right w:val="none" w:sz="0" w:space="0" w:color="auto"/>
      </w:divBdr>
    </w:div>
    <w:div w:id="1058166833">
      <w:bodyDiv w:val="1"/>
      <w:marLeft w:val="0"/>
      <w:marRight w:val="0"/>
      <w:marTop w:val="0"/>
      <w:marBottom w:val="0"/>
      <w:divBdr>
        <w:top w:val="none" w:sz="0" w:space="0" w:color="auto"/>
        <w:left w:val="none" w:sz="0" w:space="0" w:color="auto"/>
        <w:bottom w:val="none" w:sz="0" w:space="0" w:color="auto"/>
        <w:right w:val="none" w:sz="0" w:space="0" w:color="auto"/>
      </w:divBdr>
    </w:div>
    <w:div w:id="1089691769">
      <w:bodyDiv w:val="1"/>
      <w:marLeft w:val="0"/>
      <w:marRight w:val="0"/>
      <w:marTop w:val="0"/>
      <w:marBottom w:val="0"/>
      <w:divBdr>
        <w:top w:val="none" w:sz="0" w:space="0" w:color="auto"/>
        <w:left w:val="none" w:sz="0" w:space="0" w:color="auto"/>
        <w:bottom w:val="none" w:sz="0" w:space="0" w:color="auto"/>
        <w:right w:val="none" w:sz="0" w:space="0" w:color="auto"/>
      </w:divBdr>
    </w:div>
    <w:div w:id="1257054972">
      <w:bodyDiv w:val="1"/>
      <w:marLeft w:val="0"/>
      <w:marRight w:val="0"/>
      <w:marTop w:val="0"/>
      <w:marBottom w:val="0"/>
      <w:divBdr>
        <w:top w:val="none" w:sz="0" w:space="0" w:color="auto"/>
        <w:left w:val="none" w:sz="0" w:space="0" w:color="auto"/>
        <w:bottom w:val="none" w:sz="0" w:space="0" w:color="auto"/>
        <w:right w:val="none" w:sz="0" w:space="0" w:color="auto"/>
      </w:divBdr>
    </w:div>
    <w:div w:id="1360279754">
      <w:bodyDiv w:val="1"/>
      <w:marLeft w:val="0"/>
      <w:marRight w:val="0"/>
      <w:marTop w:val="0"/>
      <w:marBottom w:val="0"/>
      <w:divBdr>
        <w:top w:val="none" w:sz="0" w:space="0" w:color="auto"/>
        <w:left w:val="none" w:sz="0" w:space="0" w:color="auto"/>
        <w:bottom w:val="none" w:sz="0" w:space="0" w:color="auto"/>
        <w:right w:val="none" w:sz="0" w:space="0" w:color="auto"/>
      </w:divBdr>
    </w:div>
    <w:div w:id="1415589300">
      <w:bodyDiv w:val="1"/>
      <w:marLeft w:val="0"/>
      <w:marRight w:val="0"/>
      <w:marTop w:val="0"/>
      <w:marBottom w:val="0"/>
      <w:divBdr>
        <w:top w:val="none" w:sz="0" w:space="0" w:color="auto"/>
        <w:left w:val="none" w:sz="0" w:space="0" w:color="auto"/>
        <w:bottom w:val="none" w:sz="0" w:space="0" w:color="auto"/>
        <w:right w:val="none" w:sz="0" w:space="0" w:color="auto"/>
      </w:divBdr>
      <w:divsChild>
        <w:div w:id="979185312">
          <w:marLeft w:val="446"/>
          <w:marRight w:val="0"/>
          <w:marTop w:val="0"/>
          <w:marBottom w:val="0"/>
          <w:divBdr>
            <w:top w:val="none" w:sz="0" w:space="0" w:color="auto"/>
            <w:left w:val="none" w:sz="0" w:space="0" w:color="auto"/>
            <w:bottom w:val="none" w:sz="0" w:space="0" w:color="auto"/>
            <w:right w:val="none" w:sz="0" w:space="0" w:color="auto"/>
          </w:divBdr>
        </w:div>
      </w:divsChild>
    </w:div>
    <w:div w:id="1593389699">
      <w:bodyDiv w:val="1"/>
      <w:marLeft w:val="0"/>
      <w:marRight w:val="0"/>
      <w:marTop w:val="0"/>
      <w:marBottom w:val="0"/>
      <w:divBdr>
        <w:top w:val="none" w:sz="0" w:space="0" w:color="auto"/>
        <w:left w:val="none" w:sz="0" w:space="0" w:color="auto"/>
        <w:bottom w:val="none" w:sz="0" w:space="0" w:color="auto"/>
        <w:right w:val="none" w:sz="0" w:space="0" w:color="auto"/>
      </w:divBdr>
    </w:div>
    <w:div w:id="1677993892">
      <w:bodyDiv w:val="1"/>
      <w:marLeft w:val="0"/>
      <w:marRight w:val="0"/>
      <w:marTop w:val="0"/>
      <w:marBottom w:val="0"/>
      <w:divBdr>
        <w:top w:val="none" w:sz="0" w:space="0" w:color="auto"/>
        <w:left w:val="none" w:sz="0" w:space="0" w:color="auto"/>
        <w:bottom w:val="none" w:sz="0" w:space="0" w:color="auto"/>
        <w:right w:val="none" w:sz="0" w:space="0" w:color="auto"/>
      </w:divBdr>
    </w:div>
    <w:div w:id="1684161504">
      <w:bodyDiv w:val="1"/>
      <w:marLeft w:val="0"/>
      <w:marRight w:val="0"/>
      <w:marTop w:val="0"/>
      <w:marBottom w:val="0"/>
      <w:divBdr>
        <w:top w:val="none" w:sz="0" w:space="0" w:color="auto"/>
        <w:left w:val="none" w:sz="0" w:space="0" w:color="auto"/>
        <w:bottom w:val="none" w:sz="0" w:space="0" w:color="auto"/>
        <w:right w:val="none" w:sz="0" w:space="0" w:color="auto"/>
      </w:divBdr>
    </w:div>
    <w:div w:id="2016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ntTable" Target="fontTable.xml"/><Relationship Id="rId21" Type="http://schemas.openxmlformats.org/officeDocument/2006/relationships/image" Target="media/image11.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a5b49a6-b746-41bd-866f-d8359e45cde9">
      <UserInfo>
        <DisplayName>Becky Nairn 46057824</DisplayName>
        <AccountId>48</AccountId>
        <AccountType/>
      </UserInfo>
    </SharedWithUsers>
    <lcf76f155ced4ddcb4097134ff3c332f xmlns="12027084-fd86-4dce-99a2-a4f647ec8a2b">
      <Terms xmlns="http://schemas.microsoft.com/office/infopath/2007/PartnerControls"/>
    </lcf76f155ced4ddcb4097134ff3c332f>
    <TaxCatchAll xmlns="7a5b49a6-b746-41bd-866f-d8359e45cde9" xsi:nil="true"/>
    <PersonalData xmlns="12027084-fd86-4dce-99a2-a4f647ec8a2b" xsi:nil="true"/>
    <ReviewDate xmlns="12027084-fd86-4dce-99a2-a4f647ec8a2b" xsi:nil="true"/>
    <_Flow_SignoffStatus xmlns="12027084-fd86-4dce-99a2-a4f647ec8a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4" ma:contentTypeDescription="Create a new document." ma:contentTypeScope="" ma:versionID="d25ecde4142219199258afda844c6d61">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325502b5fb7010ce1277f2554f4531b3"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A6A64-D36A-4C32-AB56-EA8813913B4A}">
  <ds:schemaRefs>
    <ds:schemaRef ds:uri="http://schemas.microsoft.com/sharepoint/v3/contenttype/forms"/>
  </ds:schemaRefs>
</ds:datastoreItem>
</file>

<file path=customXml/itemProps2.xml><?xml version="1.0" encoding="utf-8"?>
<ds:datastoreItem xmlns:ds="http://schemas.openxmlformats.org/officeDocument/2006/customXml" ds:itemID="{EB744571-A0B4-43E1-8DBE-E27F7B2280AC}">
  <ds:schemaRefs>
    <ds:schemaRef ds:uri="http://schemas.openxmlformats.org/officeDocument/2006/bibliography"/>
  </ds:schemaRefs>
</ds:datastoreItem>
</file>

<file path=customXml/itemProps3.xml><?xml version="1.0" encoding="utf-8"?>
<ds:datastoreItem xmlns:ds="http://schemas.openxmlformats.org/officeDocument/2006/customXml" ds:itemID="{8CC085EC-A753-4977-A8C5-48209C66E82B}">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7a5b49a6-b746-41bd-866f-d8359e45cde9"/>
    <ds:schemaRef ds:uri="12027084-fd86-4dce-99a2-a4f647ec8a2b"/>
    <ds:schemaRef ds:uri="http://www.w3.org/XML/1998/namespace"/>
  </ds:schemaRefs>
</ds:datastoreItem>
</file>

<file path=customXml/itemProps4.xml><?xml version="1.0" encoding="utf-8"?>
<ds:datastoreItem xmlns:ds="http://schemas.openxmlformats.org/officeDocument/2006/customXml" ds:itemID="{4D6147E6-6D68-4E94-87B9-A650C7E1E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7227</Words>
  <Characters>41195</Characters>
  <Application>Microsoft Office Word</Application>
  <DocSecurity>0</DocSecurity>
  <Lines>343</Lines>
  <Paragraphs>96</Paragraphs>
  <ScaleCrop>false</ScaleCrop>
  <Company>Kent Police and Essex Police</Company>
  <LinksUpToDate>false</LinksUpToDate>
  <CharactersWithSpaces>48326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Stevens 46057255</dc:creator>
  <cp:keywords/>
  <dc:description/>
  <cp:lastModifiedBy>Neil Wickens 46052972</cp:lastModifiedBy>
  <cp:revision>2</cp:revision>
  <cp:lastPrinted>2025-04-15T09:39:00Z</cp:lastPrinted>
  <dcterms:created xsi:type="dcterms:W3CDTF">2025-05-27T09:10:00Z</dcterms:created>
  <dcterms:modified xsi:type="dcterms:W3CDTF">2025-05-27T09:10:00Z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2022-08-10T13:18:43Z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24395a49-f0eb-4f99-bf7a-06aabe99cb0a</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