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EFC9" w14:textId="5E23F81B" w:rsidR="00B060E3" w:rsidRDefault="00C076A0" w:rsidP="006E2B88">
      <w:r>
        <w:rPr>
          <w:noProof/>
        </w:rPr>
        <mc:AlternateContent>
          <mc:Choice Requires="wps">
            <w:drawing>
              <wp:anchor distT="0" distB="0" distL="114300" distR="114300" simplePos="0" relativeHeight="251658241" behindDoc="0" locked="0" layoutInCell="1" allowOverlap="1" wp14:anchorId="15DE1841" wp14:editId="60E358B0">
                <wp:simplePos x="0" y="0"/>
                <wp:positionH relativeFrom="column">
                  <wp:posOffset>25400</wp:posOffset>
                </wp:positionH>
                <wp:positionV relativeFrom="paragraph">
                  <wp:posOffset>1783715</wp:posOffset>
                </wp:positionV>
                <wp:extent cx="3842425" cy="3098800"/>
                <wp:effectExtent l="0" t="0" r="0" b="6350"/>
                <wp:wrapNone/>
                <wp:docPr id="1922056425" name="Text Box 4"/>
                <wp:cNvGraphicFramePr/>
                <a:graphic xmlns:a="http://schemas.openxmlformats.org/drawingml/2006/main">
                  <a:graphicData uri="http://schemas.microsoft.com/office/word/2010/wordprocessingShape">
                    <wps:wsp>
                      <wps:cNvSpPr txBox="1"/>
                      <wps:spPr>
                        <a:xfrm>
                          <a:off x="0" y="0"/>
                          <a:ext cx="3842425" cy="3098800"/>
                        </a:xfrm>
                        <a:prstGeom prst="rect">
                          <a:avLst/>
                        </a:prstGeom>
                        <a:noFill/>
                        <a:ln w="6350">
                          <a:noFill/>
                        </a:ln>
                      </wps:spPr>
                      <wps:txbx>
                        <w:txbxContent>
                          <w:p w14:paraId="6C471CB4" w14:textId="77777777" w:rsidR="00EA62D8" w:rsidRPr="00EA62D8" w:rsidRDefault="00577C9B" w:rsidP="006E2B88">
                            <w:pPr>
                              <w:pStyle w:val="Title"/>
                            </w:pPr>
                            <w:r w:rsidRPr="00EA62D8">
                              <w:t>Annual Governance Statement</w:t>
                            </w:r>
                          </w:p>
                          <w:p w14:paraId="382E9D75" w14:textId="7E497247" w:rsidR="0052530A" w:rsidRPr="00EA62D8" w:rsidRDefault="00022117" w:rsidP="006E2B88">
                            <w:pPr>
                              <w:pStyle w:val="Subtitle"/>
                            </w:pPr>
                            <w:r w:rsidRPr="00EA62D8">
                              <w:t>202</w:t>
                            </w:r>
                            <w:r w:rsidR="00A17A6E">
                              <w:t>5</w:t>
                            </w:r>
                            <w:r w:rsidRPr="00EA62D8">
                              <w:t>-2</w:t>
                            </w:r>
                            <w:r w:rsidR="00A17A6E">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6FD3AED">
              <v:shapetype id="_x0000_t202" coordsize="21600,21600" o:spt="202" path="m,l,21600r21600,l21600,xe" w14:anchorId="15DE1841">
                <v:stroke joinstyle="miter"/>
                <v:path gradientshapeok="t" o:connecttype="rect"/>
              </v:shapetype>
              <v:shape id="Text Box 4" style="position:absolute;margin-left:2pt;margin-top:140.45pt;width:302.55pt;height:2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">
                <v:textbox>
                  <w:txbxContent>
                    <w:p w:rsidRPr="00EA62D8" w:rsidR="00EA62D8" w:rsidP="006E2B88" w:rsidRDefault="00577C9B" w14:paraId="3B60779F" w14:textId="77777777">
                      <w:pPr>
                        <w:pStyle w:val="Title"/>
                      </w:pPr>
                      <w:r w:rsidRPr="00EA62D8">
                        <w:t>Annual Governance Statement</w:t>
                      </w:r>
                    </w:p>
                    <w:p w:rsidRPr="00EA62D8" w:rsidR="0052530A" w:rsidP="006E2B88" w:rsidRDefault="00022117" w14:paraId="420C6098" w14:textId="7E497247">
                      <w:pPr>
                        <w:pStyle w:val="Subtitle"/>
                      </w:pPr>
                      <w:r w:rsidRPr="00EA62D8">
                        <w:t>202</w:t>
                      </w:r>
                      <w:r w:rsidR="00A17A6E">
                        <w:t>5</w:t>
                      </w:r>
                      <w:r w:rsidRPr="00EA62D8">
                        <w:t>-2</w:t>
                      </w:r>
                      <w:r w:rsidR="00A17A6E">
                        <w:t>6</w:t>
                      </w:r>
                    </w:p>
                  </w:txbxContent>
                </v:textbox>
              </v:shape>
            </w:pict>
          </mc:Fallback>
        </mc:AlternateContent>
      </w:r>
      <w:r w:rsidR="004F0619">
        <w:rPr>
          <w:noProof/>
        </w:rPr>
        <w:drawing>
          <wp:anchor distT="0" distB="0" distL="114300" distR="114300" simplePos="0" relativeHeight="251658240" behindDoc="1" locked="0" layoutInCell="1" allowOverlap="1" wp14:anchorId="61A8EE26" wp14:editId="1FFB2AC4">
            <wp:simplePos x="0" y="0"/>
            <wp:positionH relativeFrom="page">
              <wp:align>center</wp:align>
            </wp:positionH>
            <wp:positionV relativeFrom="page">
              <wp:align>center</wp:align>
            </wp:positionV>
            <wp:extent cx="10659600" cy="7542000"/>
            <wp:effectExtent l="0" t="0" r="0" b="0"/>
            <wp:wrapNone/>
            <wp:docPr id="1366138002" name="Picture 3" descr="Front cover of Annual Governance Statement 2024-25 with the Kent Police Crime Commissio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38002" name="Picture 3" descr="Front cover of Annual Governance Statement 2024-25 with the Kent Police Crime Commissioner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59600" cy="7542000"/>
                    </a:xfrm>
                    <a:prstGeom prst="rect">
                      <a:avLst/>
                    </a:prstGeom>
                  </pic:spPr>
                </pic:pic>
              </a:graphicData>
            </a:graphic>
            <wp14:sizeRelH relativeFrom="margin">
              <wp14:pctWidth>0</wp14:pctWidth>
            </wp14:sizeRelH>
            <wp14:sizeRelV relativeFrom="margin">
              <wp14:pctHeight>0</wp14:pctHeight>
            </wp14:sizeRelV>
          </wp:anchor>
        </w:drawing>
      </w:r>
    </w:p>
    <w:p w14:paraId="35E6CFA6" w14:textId="77777777" w:rsidR="0052530A" w:rsidRDefault="0052530A" w:rsidP="006E2B88">
      <w:pPr>
        <w:sectPr w:rsidR="0052530A" w:rsidSect="000B208F">
          <w:pgSz w:w="16838" w:h="11906" w:orient="landscape"/>
          <w:pgMar w:top="1361" w:right="1134" w:bottom="1134" w:left="1440" w:header="709" w:footer="709" w:gutter="0"/>
          <w:cols w:space="708"/>
          <w:docGrid w:linePitch="360"/>
        </w:sectPr>
      </w:pPr>
    </w:p>
    <w:p w14:paraId="7F1F8ADF" w14:textId="37D3CBB4" w:rsidR="00577C9B" w:rsidRPr="006E2B88" w:rsidRDefault="00577C9B" w:rsidP="006E2B88">
      <w:r w:rsidRPr="006E2B88">
        <w:t xml:space="preserve">The Police and Crime Commissioner (PCC) is elected by the people of </w:t>
      </w:r>
      <w:r w:rsidR="00B30798" w:rsidRPr="006E2B88">
        <w:t>Kent and</w:t>
      </w:r>
      <w:r w:rsidRPr="006E2B88">
        <w:t xml:space="preserve"> is responsible for creating a Police and Crime Plan and holding the Chief Constable to account.</w:t>
      </w:r>
      <w:r w:rsidR="001C3514" w:rsidRPr="006E2B88">
        <w:t xml:space="preserve"> </w:t>
      </w:r>
      <w:r w:rsidRPr="006E2B88">
        <w:t>PCCs were established under the 2011</w:t>
      </w:r>
      <w:r w:rsidR="002B6C98" w:rsidRPr="006E2B88">
        <w:t xml:space="preserve"> </w:t>
      </w:r>
      <w:r w:rsidRPr="006E2B88">
        <w:t>Police Reform and Social Responsibility Act.</w:t>
      </w:r>
      <w:r w:rsidR="001C3514" w:rsidRPr="006E2B88">
        <w:t xml:space="preserve"> </w:t>
      </w:r>
    </w:p>
    <w:p w14:paraId="781F77C8" w14:textId="3B6DBADD" w:rsidR="00577C9B" w:rsidRDefault="00577C9B" w:rsidP="006E2B88">
      <w:r w:rsidRPr="00577C9B">
        <w:t>The Office of the Police and Crime Commissioner (OPCC) is a small organisation, with the responsibility of supporting Kent’s PCC, and helping to ensure the PCC meets the obligations set out above.</w:t>
      </w:r>
      <w:r w:rsidR="001C3514">
        <w:t xml:space="preserve"> </w:t>
      </w:r>
      <w:r w:rsidRPr="00577C9B">
        <w:t>It covers four main areas: finance; commissioning; governance; and complaints &amp; correspondence, with administrative support and a media/communications team.</w:t>
      </w:r>
      <w:r w:rsidR="001C3514">
        <w:t xml:space="preserve"> </w:t>
      </w:r>
      <w:r w:rsidRPr="00577C9B">
        <w:t>There are two statutory roles, the Chief Executive and the Chief Finance Officer.</w:t>
      </w:r>
    </w:p>
    <w:p w14:paraId="66B2C98E" w14:textId="2B5EC934" w:rsidR="008404DE" w:rsidRPr="004D2F70" w:rsidRDefault="008404DE" w:rsidP="006E2B88">
      <w:r w:rsidRPr="004D2F70">
        <w:t>In 202</w:t>
      </w:r>
      <w:r w:rsidR="00446802" w:rsidRPr="004D2F70">
        <w:t xml:space="preserve">5-2026, </w:t>
      </w:r>
      <w:r w:rsidR="00862DF5" w:rsidRPr="004D2F70">
        <w:t xml:space="preserve">whilst there were a significant number of positive changes to strengthen and refine </w:t>
      </w:r>
      <w:r w:rsidR="00222CED" w:rsidRPr="004D2F70">
        <w:t xml:space="preserve">the governance framework within the OPCC, </w:t>
      </w:r>
      <w:r w:rsidR="0009119B" w:rsidRPr="004D2F70">
        <w:t xml:space="preserve">these have been </w:t>
      </w:r>
      <w:r w:rsidR="004D2F70" w:rsidRPr="004D2F70">
        <w:t>against a backdrop</w:t>
      </w:r>
      <w:r w:rsidR="0009119B" w:rsidRPr="004D2F70">
        <w:t xml:space="preserve"> the Government’s announcement in </w:t>
      </w:r>
      <w:r w:rsidR="004D2F70" w:rsidRPr="004D2F70">
        <w:t>November that PCCs will be abolished.</w:t>
      </w:r>
      <w:r w:rsidR="005953A9">
        <w:t xml:space="preserve"> </w:t>
      </w:r>
      <w:r w:rsidR="004D2F70" w:rsidRPr="004D2F70">
        <w:t>This is part of the Government’s broader reform agenda, encompassing local government and policing.</w:t>
      </w:r>
      <w:r w:rsidR="005953A9">
        <w:t xml:space="preserve"> </w:t>
      </w:r>
      <w:r w:rsidR="004D2F70" w:rsidRPr="004D2F70">
        <w:t xml:space="preserve">This has and will continue to have a significant impact on the work of both the PCC and OPCC. </w:t>
      </w:r>
    </w:p>
    <w:p w14:paraId="2E3D9B46" w14:textId="1D442BDB" w:rsidR="00577C9B" w:rsidRDefault="00577C9B" w:rsidP="006E2B88">
      <w:r w:rsidRPr="0020475F">
        <w:t>Each year, the OPCC is required to produce an Annual Governance Statement (AGS) which assesses how its corporate governance arrangements, as outlined in the Local Code of Governance, are working.</w:t>
      </w:r>
      <w:r w:rsidR="001C3514" w:rsidRPr="0020475F">
        <w:t xml:space="preserve"> </w:t>
      </w:r>
      <w:r w:rsidRPr="0020475F">
        <w:t>This is informed by internal and external audit, the risk register, external oversight bodies, and other areas such as engagement with the public and new legislation.</w:t>
      </w:r>
      <w:r w:rsidR="001C3514" w:rsidRPr="0020475F">
        <w:t xml:space="preserve"> </w:t>
      </w:r>
      <w:r w:rsidRPr="0020475F">
        <w:t>The Local Code sets out the overall governance framework within which the OPCC operates, and the AGS provides assurances as to how the OPCC is complying with it.</w:t>
      </w:r>
      <w:r w:rsidR="001C3514" w:rsidRPr="0020475F">
        <w:t xml:space="preserve"> </w:t>
      </w:r>
      <w:r w:rsidRPr="0020475F">
        <w:t>The AGS identifies areas of both success during 202</w:t>
      </w:r>
      <w:r w:rsidR="003D5945">
        <w:t>5</w:t>
      </w:r>
      <w:r w:rsidR="00022117" w:rsidRPr="0020475F">
        <w:t>-2</w:t>
      </w:r>
      <w:r w:rsidR="003D5945">
        <w:t>6</w:t>
      </w:r>
      <w:r w:rsidRPr="0020475F">
        <w:t>, and where the OPCC can and will improve.</w:t>
      </w:r>
      <w:r w:rsidR="001C3514">
        <w:t xml:space="preserve"> </w:t>
      </w:r>
    </w:p>
    <w:p w14:paraId="4845BDAE" w14:textId="52F10DC0" w:rsidR="00577C9B" w:rsidRPr="00E959F3" w:rsidRDefault="00577C9B" w:rsidP="006E2B88">
      <w:pPr>
        <w:pStyle w:val="Heading2"/>
      </w:pPr>
      <w:r w:rsidRPr="00E959F3">
        <w:t xml:space="preserve">Document </w:t>
      </w:r>
      <w:r w:rsidR="007A0BD7" w:rsidRPr="00E959F3">
        <w:t>k</w:t>
      </w:r>
      <w:r w:rsidRPr="00E959F3">
        <w:t>ey:</w:t>
      </w:r>
    </w:p>
    <w:tbl>
      <w:tblPr>
        <w:tblStyle w:val="TableGrid"/>
        <w:tblW w:w="0" w:type="auto"/>
        <w:tblLook w:val="04A0" w:firstRow="1" w:lastRow="0" w:firstColumn="1" w:lastColumn="0" w:noHBand="0" w:noVBand="1"/>
      </w:tblPr>
      <w:tblGrid>
        <w:gridCol w:w="4649"/>
        <w:gridCol w:w="4985"/>
        <w:gridCol w:w="4314"/>
      </w:tblGrid>
      <w:tr w:rsidR="007A0BD7" w:rsidRPr="006E2B88" w14:paraId="06DCDE25" w14:textId="77777777" w:rsidTr="007A0BD7">
        <w:tc>
          <w:tcPr>
            <w:tcW w:w="4649" w:type="dxa"/>
            <w:shd w:val="clear" w:color="auto" w:fill="E2EFD9" w:themeFill="accent6" w:themeFillTint="33"/>
          </w:tcPr>
          <w:p w14:paraId="54A5978C" w14:textId="77777777" w:rsidR="007A0BD7" w:rsidRPr="006E2B88" w:rsidRDefault="007A0BD7" w:rsidP="006E2B88">
            <w:pPr>
              <w:rPr>
                <w:b/>
                <w:bCs/>
              </w:rPr>
            </w:pPr>
            <w:r w:rsidRPr="006E2B88">
              <w:rPr>
                <w:b/>
                <w:bCs/>
              </w:rPr>
              <w:t>Area of strength</w:t>
            </w:r>
          </w:p>
        </w:tc>
        <w:tc>
          <w:tcPr>
            <w:tcW w:w="4985" w:type="dxa"/>
            <w:shd w:val="clear" w:color="auto" w:fill="FFF2CC" w:themeFill="accent4" w:themeFillTint="33"/>
          </w:tcPr>
          <w:p w14:paraId="6FB3BCF5" w14:textId="77777777" w:rsidR="007A0BD7" w:rsidRPr="006E2B88" w:rsidRDefault="007A0BD7" w:rsidP="006E2B88">
            <w:pPr>
              <w:rPr>
                <w:b/>
                <w:bCs/>
              </w:rPr>
            </w:pPr>
            <w:r w:rsidRPr="006E2B88">
              <w:rPr>
                <w:b/>
                <w:bCs/>
              </w:rPr>
              <w:t>Area for improvement</w:t>
            </w:r>
          </w:p>
        </w:tc>
        <w:tc>
          <w:tcPr>
            <w:tcW w:w="4314" w:type="dxa"/>
            <w:shd w:val="clear" w:color="auto" w:fill="FED6CE"/>
          </w:tcPr>
          <w:p w14:paraId="5D6500CF" w14:textId="77777777" w:rsidR="007A0BD7" w:rsidRPr="006E2B88" w:rsidRDefault="007A0BD7" w:rsidP="006E2B88">
            <w:pPr>
              <w:rPr>
                <w:b/>
                <w:bCs/>
              </w:rPr>
            </w:pPr>
            <w:r w:rsidRPr="006E2B88">
              <w:rPr>
                <w:b/>
                <w:bCs/>
              </w:rPr>
              <w:t>Area of challenge</w:t>
            </w:r>
          </w:p>
        </w:tc>
      </w:tr>
      <w:tr w:rsidR="006E2B88" w:rsidRPr="00E959F3" w14:paraId="7DF7EE15" w14:textId="77777777" w:rsidTr="007A0BD7">
        <w:tc>
          <w:tcPr>
            <w:tcW w:w="4649" w:type="dxa"/>
            <w:shd w:val="clear" w:color="auto" w:fill="E2EFD9" w:themeFill="accent6" w:themeFillTint="33"/>
          </w:tcPr>
          <w:p w14:paraId="2FB789FC" w14:textId="520BC608" w:rsidR="006E2B88" w:rsidRPr="00E959F3" w:rsidRDefault="006E2B88" w:rsidP="006E2B88">
            <w:pPr>
              <w:rPr>
                <w:b/>
                <w:bCs/>
              </w:rPr>
            </w:pPr>
            <w:r w:rsidRPr="00FF67F8">
              <w:t>The policies and procedures in place, as set out in the Local Code of Governance, are effective, with a high level of internal and external assurance. There are potentially some areas for improvement, but these have no material impact on the strength of the governance framework.</w:t>
            </w:r>
          </w:p>
        </w:tc>
        <w:tc>
          <w:tcPr>
            <w:tcW w:w="4985" w:type="dxa"/>
            <w:shd w:val="clear" w:color="auto" w:fill="FFF2CC" w:themeFill="accent4" w:themeFillTint="33"/>
          </w:tcPr>
          <w:p w14:paraId="2F355F51" w14:textId="28B90A7B" w:rsidR="006E2B88" w:rsidRPr="00E959F3" w:rsidRDefault="006E2B88" w:rsidP="006E2B88">
            <w:pPr>
              <w:rPr>
                <w:b/>
                <w:bCs/>
              </w:rPr>
            </w:pPr>
            <w:r>
              <w:t>The policies and procedures in place, as set out in the Local Code of Governance, are mainly effective. However, there are areas where there remain challenges or the potential for improvement, which have a limited impact on the strength of the governance framework. There are plans in place to address this.</w:t>
            </w:r>
          </w:p>
        </w:tc>
        <w:tc>
          <w:tcPr>
            <w:tcW w:w="4314" w:type="dxa"/>
            <w:shd w:val="clear" w:color="auto" w:fill="FED6CE"/>
          </w:tcPr>
          <w:p w14:paraId="2D9666F1" w14:textId="5DD3E7E6" w:rsidR="006E2B88" w:rsidRPr="00E959F3" w:rsidRDefault="006E2B88" w:rsidP="006E2B88">
            <w:pPr>
              <w:rPr>
                <w:b/>
                <w:bCs/>
              </w:rPr>
            </w:pPr>
            <w:r>
              <w:t xml:space="preserve">Failings have been identified in the policies and procedures, which may have a material impact on the governance arrangements in this area, and therefore on the wider operation of the OPCC. Significant remedial work is being taken to address these risks. </w:t>
            </w:r>
          </w:p>
        </w:tc>
      </w:tr>
    </w:tbl>
    <w:p w14:paraId="6B418E25" w14:textId="77777777" w:rsidR="007A0BD7" w:rsidRDefault="007A0BD7" w:rsidP="006E2B88">
      <w:pPr>
        <w:sectPr w:rsidR="007A0BD7" w:rsidSect="000B208F">
          <w:headerReference w:type="default" r:id="rId12"/>
          <w:footerReference w:type="default" r:id="rId13"/>
          <w:pgSz w:w="16838" w:h="11906" w:orient="landscape"/>
          <w:pgMar w:top="1814" w:right="1134" w:bottom="1440" w:left="1134" w:header="709" w:footer="471" w:gutter="0"/>
          <w:cols w:space="708"/>
          <w:docGrid w:linePitch="360"/>
        </w:sectPr>
      </w:pPr>
    </w:p>
    <w:tbl>
      <w:tblPr>
        <w:tblStyle w:val="TableGrid"/>
        <w:tblpPr w:leftFromText="180" w:rightFromText="180" w:vertAnchor="text" w:horzAnchor="margin" w:tblpY="227"/>
        <w:tblW w:w="14596" w:type="dxa"/>
        <w:tblLook w:val="04A0" w:firstRow="1" w:lastRow="0" w:firstColumn="1" w:lastColumn="0" w:noHBand="0" w:noVBand="1"/>
      </w:tblPr>
      <w:tblGrid>
        <w:gridCol w:w="1408"/>
        <w:gridCol w:w="1701"/>
        <w:gridCol w:w="6237"/>
        <w:gridCol w:w="3260"/>
        <w:gridCol w:w="2127"/>
      </w:tblGrid>
      <w:tr w:rsidR="007A0BD7" w:rsidRPr="001C3514" w14:paraId="18DBCBEA" w14:textId="77777777" w:rsidTr="0005170E">
        <w:trPr>
          <w:cantSplit/>
        </w:trPr>
        <w:tc>
          <w:tcPr>
            <w:tcW w:w="14596" w:type="dxa"/>
            <w:gridSpan w:val="5"/>
            <w:shd w:val="clear" w:color="auto" w:fill="E2EFD9" w:themeFill="accent6" w:themeFillTint="33"/>
            <w:noWrap/>
          </w:tcPr>
          <w:p w14:paraId="21F0E9AE" w14:textId="77777777" w:rsidR="007A0BD7" w:rsidRPr="00E959F3" w:rsidRDefault="007A0BD7" w:rsidP="004159D4">
            <w:pPr>
              <w:pStyle w:val="HeadinginTable"/>
              <w:framePr w:hSpace="0" w:wrap="auto" w:vAnchor="margin" w:hAnchor="text" w:yAlign="inline"/>
            </w:pPr>
            <w:r w:rsidRPr="00E959F3">
              <w:t>Core Principle of the Framework</w:t>
            </w:r>
          </w:p>
          <w:p w14:paraId="324183BD" w14:textId="46113C08" w:rsidR="007A0BD7" w:rsidRPr="000A5310" w:rsidRDefault="007A0BD7" w:rsidP="000A5310">
            <w:pPr>
              <w:pStyle w:val="Heading3"/>
              <w:framePr w:hSpace="0" w:wrap="auto" w:vAnchor="margin" w:hAnchor="text" w:yAlign="inline"/>
            </w:pPr>
            <w:r w:rsidRPr="000A5310">
              <w:t>Behaving with integrity, demonstrating strong commitment to ethical values, and respecting the rule of law</w:t>
            </w:r>
            <w:r w:rsidR="00C55457" w:rsidRPr="000A5310">
              <w:t>.</w:t>
            </w:r>
          </w:p>
          <w:p w14:paraId="17BF16D6" w14:textId="558B2EC0" w:rsidR="007A0BD7" w:rsidRPr="001C3514" w:rsidRDefault="007A0BD7" w:rsidP="000A5310">
            <w:pPr>
              <w:pStyle w:val="Tabletext"/>
              <w:framePr w:hSpace="0" w:wrap="auto" w:vAnchor="margin" w:hAnchor="text" w:yAlign="inline"/>
            </w:pPr>
            <w:r w:rsidRPr="00763E6F">
              <w:t xml:space="preserve">The PCC has assessed compliance with the framework as set out in the Local Code of Governance under section </w:t>
            </w:r>
            <w:r w:rsidR="00517184" w:rsidRPr="00763E6F">
              <w:t xml:space="preserve">A. </w:t>
            </w:r>
            <w:r w:rsidRPr="00763E6F">
              <w:t>He has assessed that there is adequate assurance, and that this is overall an area of strength.</w:t>
            </w:r>
          </w:p>
        </w:tc>
      </w:tr>
      <w:tr w:rsidR="007A0BD7" w:rsidRPr="006E2B88" w14:paraId="4C4FD427" w14:textId="77777777" w:rsidTr="0005170E">
        <w:trPr>
          <w:cantSplit/>
        </w:trPr>
        <w:tc>
          <w:tcPr>
            <w:tcW w:w="1271" w:type="dxa"/>
            <w:noWrap/>
            <w:vAlign w:val="center"/>
          </w:tcPr>
          <w:p w14:paraId="432A7E04" w14:textId="77777777" w:rsidR="007A0BD7" w:rsidRPr="006E2B88" w:rsidRDefault="007A0BD7" w:rsidP="006E2B88">
            <w:pPr>
              <w:pStyle w:val="Tabletext"/>
              <w:framePr w:hSpace="0" w:wrap="auto" w:vAnchor="margin" w:hAnchor="text" w:yAlign="inline"/>
              <w:rPr>
                <w:b/>
                <w:bCs/>
              </w:rPr>
            </w:pPr>
            <w:r w:rsidRPr="006E2B88">
              <w:rPr>
                <w:b/>
                <w:bCs/>
              </w:rPr>
              <w:t>Issue</w:t>
            </w:r>
          </w:p>
        </w:tc>
        <w:tc>
          <w:tcPr>
            <w:tcW w:w="1701" w:type="dxa"/>
            <w:noWrap/>
            <w:vAlign w:val="center"/>
          </w:tcPr>
          <w:p w14:paraId="08B82338" w14:textId="5456713D" w:rsidR="00C55457" w:rsidRPr="006E2B88" w:rsidRDefault="007A0BD7" w:rsidP="006E2B88">
            <w:pPr>
              <w:pStyle w:val="Tabletext"/>
              <w:framePr w:hSpace="0" w:wrap="auto" w:vAnchor="margin" w:hAnchor="text" w:yAlign="inline"/>
              <w:rPr>
                <w:b/>
                <w:bCs/>
              </w:rPr>
            </w:pPr>
            <w:r w:rsidRPr="006E2B88">
              <w:rPr>
                <w:b/>
                <w:bCs/>
              </w:rPr>
              <w:t>Identified from</w:t>
            </w:r>
          </w:p>
        </w:tc>
        <w:tc>
          <w:tcPr>
            <w:tcW w:w="6237" w:type="dxa"/>
            <w:shd w:val="clear" w:color="auto" w:fill="E2EFD9" w:themeFill="accent6" w:themeFillTint="33"/>
            <w:noWrap/>
            <w:vAlign w:val="center"/>
          </w:tcPr>
          <w:p w14:paraId="1B2BCE39" w14:textId="77777777" w:rsidR="007A0BD7" w:rsidRPr="006E2B88" w:rsidRDefault="007A0BD7" w:rsidP="006E2B88">
            <w:pPr>
              <w:pStyle w:val="Tabletext"/>
              <w:framePr w:hSpace="0" w:wrap="auto" w:vAnchor="margin" w:hAnchor="text" w:yAlign="inline"/>
              <w:rPr>
                <w:b/>
                <w:bCs/>
              </w:rPr>
            </w:pPr>
            <w:r w:rsidRPr="006E2B88">
              <w:rPr>
                <w:b/>
                <w:bCs/>
              </w:rPr>
              <w:t>Strength</w:t>
            </w:r>
          </w:p>
        </w:tc>
        <w:tc>
          <w:tcPr>
            <w:tcW w:w="3260" w:type="dxa"/>
            <w:shd w:val="clear" w:color="auto" w:fill="FFF2CC" w:themeFill="accent4" w:themeFillTint="33"/>
            <w:noWrap/>
            <w:vAlign w:val="center"/>
          </w:tcPr>
          <w:p w14:paraId="7A9320FE" w14:textId="77777777" w:rsidR="007A0BD7" w:rsidRPr="006E2B88" w:rsidRDefault="007A0BD7" w:rsidP="006E2B88">
            <w:pPr>
              <w:pStyle w:val="Tabletext"/>
              <w:framePr w:hSpace="0" w:wrap="auto" w:vAnchor="margin" w:hAnchor="text" w:yAlign="inline"/>
              <w:rPr>
                <w:b/>
                <w:bCs/>
              </w:rPr>
            </w:pPr>
            <w:r w:rsidRPr="006E2B88">
              <w:rPr>
                <w:b/>
                <w:bCs/>
              </w:rPr>
              <w:t>Area for Improvement</w:t>
            </w:r>
          </w:p>
        </w:tc>
        <w:tc>
          <w:tcPr>
            <w:tcW w:w="2127" w:type="dxa"/>
            <w:shd w:val="clear" w:color="auto" w:fill="FED6CE"/>
            <w:noWrap/>
            <w:vAlign w:val="center"/>
          </w:tcPr>
          <w:p w14:paraId="7965AAA1" w14:textId="77777777" w:rsidR="007A0BD7" w:rsidRPr="006E2B88" w:rsidRDefault="007A0BD7" w:rsidP="006E2B88">
            <w:pPr>
              <w:pStyle w:val="Tabletext"/>
              <w:framePr w:hSpace="0" w:wrap="auto" w:vAnchor="margin" w:hAnchor="text" w:yAlign="inline"/>
              <w:rPr>
                <w:b/>
                <w:bCs/>
              </w:rPr>
            </w:pPr>
            <w:r w:rsidRPr="006E2B88">
              <w:rPr>
                <w:b/>
                <w:bCs/>
              </w:rPr>
              <w:t>Area of challenge</w:t>
            </w:r>
          </w:p>
        </w:tc>
      </w:tr>
      <w:tr w:rsidR="00DA4513" w:rsidRPr="001C3514" w14:paraId="7EC0AE49" w14:textId="77777777" w:rsidTr="0005170E">
        <w:trPr>
          <w:cantSplit/>
        </w:trPr>
        <w:tc>
          <w:tcPr>
            <w:tcW w:w="1271" w:type="dxa"/>
            <w:noWrap/>
          </w:tcPr>
          <w:p w14:paraId="441DE7D0" w14:textId="597D45E2" w:rsidR="00DA4513" w:rsidRPr="00FF67F8" w:rsidRDefault="00DA4513" w:rsidP="006E2B88">
            <w:pPr>
              <w:pStyle w:val="Tabletext"/>
              <w:framePr w:hSpace="0" w:wrap="auto" w:vAnchor="margin" w:hAnchor="text" w:yAlign="inline"/>
            </w:pPr>
            <w:r>
              <w:t>Improving SAR and FOI processes</w:t>
            </w:r>
          </w:p>
        </w:tc>
        <w:tc>
          <w:tcPr>
            <w:tcW w:w="1701" w:type="dxa"/>
            <w:noWrap/>
          </w:tcPr>
          <w:p w14:paraId="4A52ED41" w14:textId="26B0CEB5" w:rsidR="00DA4513" w:rsidRPr="00FF67F8" w:rsidRDefault="00E25D2A" w:rsidP="006E2B88">
            <w:pPr>
              <w:pStyle w:val="Tabletext"/>
              <w:framePr w:hSpace="0" w:wrap="auto" w:vAnchor="margin" w:hAnchor="text" w:yAlign="inline"/>
            </w:pPr>
            <w:r>
              <w:t>OPCC risk register</w:t>
            </w:r>
          </w:p>
        </w:tc>
        <w:tc>
          <w:tcPr>
            <w:tcW w:w="6237" w:type="dxa"/>
            <w:noWrap/>
          </w:tcPr>
          <w:p w14:paraId="25299E66" w14:textId="7E4D5992" w:rsidR="000E7830" w:rsidRDefault="003F7EEC" w:rsidP="000A5310">
            <w:pPr>
              <w:pStyle w:val="Tabletext"/>
              <w:framePr w:hSpace="0" w:wrap="auto" w:vAnchor="margin" w:hAnchor="text" w:yAlign="inline"/>
              <w:rPr>
                <w:spacing w:val="-6"/>
              </w:rPr>
            </w:pPr>
            <w:r>
              <w:rPr>
                <w:spacing w:val="-6"/>
              </w:rPr>
              <w:t>Work has continued to improve processes</w:t>
            </w:r>
            <w:r w:rsidR="00E02EC4">
              <w:rPr>
                <w:spacing w:val="-6"/>
              </w:rPr>
              <w:t>, and create further efficiencies.</w:t>
            </w:r>
            <w:r w:rsidR="005953A9">
              <w:rPr>
                <w:spacing w:val="-6"/>
              </w:rPr>
              <w:t xml:space="preserve"> </w:t>
            </w:r>
            <w:r w:rsidR="00E02EC4">
              <w:rPr>
                <w:spacing w:val="-6"/>
              </w:rPr>
              <w:t xml:space="preserve">Communications with applicants has now improved, </w:t>
            </w:r>
            <w:r w:rsidR="000E7830">
              <w:rPr>
                <w:spacing w:val="-6"/>
              </w:rPr>
              <w:t>with additional early signposting to the Force’s FOI/SAR team.</w:t>
            </w:r>
          </w:p>
          <w:p w14:paraId="6A64B685" w14:textId="50E836A6" w:rsidR="00DA4513" w:rsidRPr="000A5310" w:rsidRDefault="000E7830" w:rsidP="000A5310">
            <w:pPr>
              <w:pStyle w:val="Tabletext"/>
              <w:framePr w:hSpace="0" w:wrap="auto" w:vAnchor="margin" w:hAnchor="text" w:yAlign="inline"/>
              <w:rPr>
                <w:spacing w:val="-6"/>
              </w:rPr>
            </w:pPr>
            <w:r>
              <w:rPr>
                <w:spacing w:val="-6"/>
              </w:rPr>
              <w:t>The new member of staff appointed to support the process is now fully embedded and provid</w:t>
            </w:r>
            <w:r w:rsidR="00EA135A">
              <w:rPr>
                <w:spacing w:val="-6"/>
              </w:rPr>
              <w:t>ing</w:t>
            </w:r>
            <w:r>
              <w:rPr>
                <w:spacing w:val="-6"/>
              </w:rPr>
              <w:t xml:space="preserve"> </w:t>
            </w:r>
            <w:r w:rsidR="00D94902">
              <w:rPr>
                <w:spacing w:val="-6"/>
              </w:rPr>
              <w:t xml:space="preserve">support to the </w:t>
            </w:r>
            <w:r w:rsidR="00EA135A">
              <w:rPr>
                <w:spacing w:val="-6"/>
              </w:rPr>
              <w:t xml:space="preserve">Data Protection </w:t>
            </w:r>
            <w:r w:rsidR="00D94902">
              <w:rPr>
                <w:spacing w:val="-6"/>
              </w:rPr>
              <w:t>Manager and Head of Department.</w:t>
            </w:r>
            <w:r w:rsidR="005953A9">
              <w:rPr>
                <w:spacing w:val="-6"/>
              </w:rPr>
              <w:t xml:space="preserve"> </w:t>
            </w:r>
          </w:p>
        </w:tc>
        <w:tc>
          <w:tcPr>
            <w:tcW w:w="3260" w:type="dxa"/>
            <w:noWrap/>
          </w:tcPr>
          <w:p w14:paraId="34BAF957" w14:textId="77777777" w:rsidR="00DA4513" w:rsidRPr="00FF67F8" w:rsidRDefault="00DA4513" w:rsidP="006E2B88">
            <w:pPr>
              <w:pStyle w:val="Tabletext"/>
              <w:framePr w:hSpace="0" w:wrap="auto" w:vAnchor="margin" w:hAnchor="text" w:yAlign="inline"/>
            </w:pPr>
          </w:p>
        </w:tc>
        <w:tc>
          <w:tcPr>
            <w:tcW w:w="2127" w:type="dxa"/>
            <w:noWrap/>
          </w:tcPr>
          <w:p w14:paraId="03FC3D1A" w14:textId="77777777" w:rsidR="00DA4513" w:rsidRPr="001C3514" w:rsidRDefault="00DA4513" w:rsidP="006E2B88">
            <w:pPr>
              <w:pStyle w:val="Tabletext"/>
              <w:framePr w:hSpace="0" w:wrap="auto" w:vAnchor="margin" w:hAnchor="text" w:yAlign="inline"/>
            </w:pPr>
          </w:p>
        </w:tc>
      </w:tr>
      <w:tr w:rsidR="00D66DC9" w:rsidRPr="001C3514" w14:paraId="2135C040" w14:textId="77777777" w:rsidTr="00DA4513">
        <w:trPr>
          <w:cantSplit/>
        </w:trPr>
        <w:tc>
          <w:tcPr>
            <w:tcW w:w="1408" w:type="dxa"/>
            <w:noWrap/>
          </w:tcPr>
          <w:p w14:paraId="3172774E" w14:textId="49DC8B25" w:rsidR="00D66DC9" w:rsidRDefault="0037435D" w:rsidP="006E2B88">
            <w:pPr>
              <w:pStyle w:val="Tabletext"/>
              <w:framePr w:hSpace="0" w:wrap="auto" w:vAnchor="margin" w:hAnchor="text" w:yAlign="inline"/>
            </w:pPr>
            <w:r>
              <w:t xml:space="preserve">KCJB </w:t>
            </w:r>
            <w:r w:rsidR="00377B15">
              <w:t xml:space="preserve">(Kent Criminal Justice Board) </w:t>
            </w:r>
            <w:r w:rsidR="002F659F">
              <w:t xml:space="preserve">Victim and Witness Sub-Group </w:t>
            </w:r>
            <w:r>
              <w:t>established</w:t>
            </w:r>
          </w:p>
        </w:tc>
        <w:tc>
          <w:tcPr>
            <w:tcW w:w="1701" w:type="dxa"/>
            <w:noWrap/>
          </w:tcPr>
          <w:p w14:paraId="0F57B751" w14:textId="7EA5B3EA" w:rsidR="00D66DC9" w:rsidRPr="00FF67F8" w:rsidRDefault="00722F90" w:rsidP="006E2B88">
            <w:pPr>
              <w:pStyle w:val="Tabletext"/>
              <w:framePr w:hSpace="0" w:wrap="auto" w:vAnchor="margin" w:hAnchor="text" w:yAlign="inline"/>
            </w:pPr>
            <w:r>
              <w:t>Police and Crime Plan</w:t>
            </w:r>
          </w:p>
        </w:tc>
        <w:tc>
          <w:tcPr>
            <w:tcW w:w="6237" w:type="dxa"/>
            <w:noWrap/>
          </w:tcPr>
          <w:p w14:paraId="1B7BD01D" w14:textId="57A77E4E" w:rsidR="00D66DC9" w:rsidRDefault="002F659F" w:rsidP="000A5310">
            <w:pPr>
              <w:pStyle w:val="Tabletext"/>
              <w:framePr w:hSpace="0" w:wrap="auto" w:vAnchor="margin" w:hAnchor="text" w:yAlign="inline"/>
              <w:rPr>
                <w:spacing w:val="-6"/>
              </w:rPr>
            </w:pPr>
            <w:r>
              <w:rPr>
                <w:spacing w:val="-6"/>
              </w:rPr>
              <w:t xml:space="preserve">New sub-group of KCJB </w:t>
            </w:r>
            <w:r w:rsidR="00A91B19">
              <w:rPr>
                <w:spacing w:val="-6"/>
              </w:rPr>
              <w:t xml:space="preserve">established </w:t>
            </w:r>
            <w:r w:rsidR="0037435D">
              <w:rPr>
                <w:spacing w:val="-6"/>
              </w:rPr>
              <w:t xml:space="preserve">with aim </w:t>
            </w:r>
            <w:commentRangeStart w:id="0"/>
            <w:commentRangeStart w:id="1"/>
            <w:r w:rsidR="0037435D">
              <w:rPr>
                <w:spacing w:val="-6"/>
              </w:rPr>
              <w:t>of</w:t>
            </w:r>
            <w:commentRangeEnd w:id="0"/>
            <w:r w:rsidR="00E41FAF">
              <w:rPr>
                <w:rStyle w:val="CommentReference"/>
                <w:spacing w:val="-6"/>
                <w:sz w:val="18"/>
                <w:szCs w:val="18"/>
              </w:rPr>
              <w:commentReference w:id="0"/>
            </w:r>
            <w:commentRangeEnd w:id="1"/>
            <w:r>
              <w:rPr>
                <w:rStyle w:val="CommentReference"/>
                <w:spacing w:val="-6"/>
                <w:sz w:val="18"/>
                <w:szCs w:val="18"/>
              </w:rPr>
              <w:commentReference w:id="1"/>
            </w:r>
            <w:r w:rsidR="0037435D">
              <w:rPr>
                <w:spacing w:val="-6"/>
              </w:rPr>
              <w:t xml:space="preserve"> </w:t>
            </w:r>
            <w:r w:rsidR="00867EE4" w:rsidRPr="00867EE4">
              <w:rPr>
                <w:spacing w:val="-6"/>
              </w:rPr>
              <w:t xml:space="preserve">improving </w:t>
            </w:r>
            <w:r w:rsidR="00C45966">
              <w:rPr>
                <w:spacing w:val="-6"/>
              </w:rPr>
              <w:t>p</w:t>
            </w:r>
            <w:r w:rsidR="00867EE4" w:rsidRPr="00867EE4">
              <w:rPr>
                <w:spacing w:val="-6"/>
              </w:rPr>
              <w:t>rocesses and procedures across the CJS to deliver an improved experience for victim</w:t>
            </w:r>
            <w:r w:rsidR="00C45966">
              <w:rPr>
                <w:spacing w:val="-6"/>
              </w:rPr>
              <w:t>s</w:t>
            </w:r>
            <w:r w:rsidR="00867EE4" w:rsidRPr="00867EE4">
              <w:rPr>
                <w:spacing w:val="-6"/>
              </w:rPr>
              <w:t xml:space="preserve"> and witnesses where they feel supported, engaged and informed</w:t>
            </w:r>
            <w:r w:rsidR="00C45966">
              <w:rPr>
                <w:spacing w:val="-6"/>
              </w:rPr>
              <w:t>.</w:t>
            </w:r>
          </w:p>
          <w:p w14:paraId="0307D57E" w14:textId="3F55EB45" w:rsidR="007A464A" w:rsidRDefault="007A464A" w:rsidP="000A5310">
            <w:pPr>
              <w:pStyle w:val="Tabletext"/>
              <w:framePr w:hSpace="0" w:wrap="auto" w:vAnchor="margin" w:hAnchor="text" w:yAlign="inline"/>
              <w:rPr>
                <w:spacing w:val="-6"/>
              </w:rPr>
            </w:pPr>
            <w:r>
              <w:rPr>
                <w:spacing w:val="-6"/>
              </w:rPr>
              <w:t>It ensures that victims’ voices are at the heart of the CJS</w:t>
            </w:r>
          </w:p>
          <w:p w14:paraId="239BD66D" w14:textId="791A3A00" w:rsidR="00106F0B" w:rsidRDefault="00106F0B" w:rsidP="000A5310">
            <w:pPr>
              <w:pStyle w:val="Tabletext"/>
              <w:framePr w:hSpace="0" w:wrap="auto" w:vAnchor="margin" w:hAnchor="text" w:yAlign="inline"/>
              <w:rPr>
                <w:spacing w:val="-6"/>
              </w:rPr>
            </w:pPr>
            <w:r>
              <w:rPr>
                <w:spacing w:val="-6"/>
              </w:rPr>
              <w:t>To enhance co-ordination, the Group is co-chaired by the KCJB Manager and the Head of Commissioning.</w:t>
            </w:r>
          </w:p>
          <w:p w14:paraId="332058F2" w14:textId="4F577BD5" w:rsidR="00F17498" w:rsidRDefault="00106F0B" w:rsidP="000A5310">
            <w:pPr>
              <w:pStyle w:val="Tabletext"/>
              <w:framePr w:hSpace="0" w:wrap="auto" w:vAnchor="margin" w:hAnchor="text" w:yAlign="inline"/>
              <w:rPr>
                <w:spacing w:val="-6"/>
              </w:rPr>
            </w:pPr>
            <w:r>
              <w:rPr>
                <w:spacing w:val="-6"/>
              </w:rPr>
              <w:t>The group includes representatives not just from partner agencies, but from commissioned service</w:t>
            </w:r>
            <w:r w:rsidR="00B5403B">
              <w:rPr>
                <w:spacing w:val="-6"/>
              </w:rPr>
              <w:t xml:space="preserve">s which support victims, </w:t>
            </w:r>
            <w:r w:rsidR="00F632B9">
              <w:rPr>
                <w:spacing w:val="-6"/>
              </w:rPr>
              <w:t>which is a new approach to KCJB work</w:t>
            </w:r>
            <w:r w:rsidR="009C07A9">
              <w:rPr>
                <w:spacing w:val="-6"/>
              </w:rPr>
              <w:t>.</w:t>
            </w:r>
          </w:p>
        </w:tc>
        <w:tc>
          <w:tcPr>
            <w:tcW w:w="3260" w:type="dxa"/>
            <w:noWrap/>
          </w:tcPr>
          <w:p w14:paraId="7B01106E" w14:textId="38D09978" w:rsidR="00D66DC9" w:rsidRPr="00FF67F8" w:rsidRDefault="009C07A9" w:rsidP="006E2B88">
            <w:pPr>
              <w:pStyle w:val="Tabletext"/>
              <w:framePr w:hSpace="0" w:wrap="auto" w:vAnchor="margin" w:hAnchor="text" w:yAlign="inline"/>
            </w:pPr>
            <w:r>
              <w:t xml:space="preserve">As a newly-developed sub-group, </w:t>
            </w:r>
            <w:r w:rsidR="00D6509E">
              <w:t>work will continue to develop both the work programme and the membership</w:t>
            </w:r>
          </w:p>
        </w:tc>
        <w:tc>
          <w:tcPr>
            <w:tcW w:w="2127" w:type="dxa"/>
            <w:noWrap/>
          </w:tcPr>
          <w:p w14:paraId="72E047F7" w14:textId="77777777" w:rsidR="00D66DC9" w:rsidRPr="001C3514" w:rsidRDefault="00D66DC9" w:rsidP="006E2B88">
            <w:pPr>
              <w:pStyle w:val="Tabletext"/>
              <w:framePr w:hSpace="0" w:wrap="auto" w:vAnchor="margin" w:hAnchor="text" w:yAlign="inline"/>
            </w:pPr>
          </w:p>
        </w:tc>
      </w:tr>
      <w:tr w:rsidR="00D66DC9" w:rsidRPr="001C3514" w14:paraId="24E49238" w14:textId="77777777" w:rsidTr="00DA4513">
        <w:trPr>
          <w:cantSplit/>
        </w:trPr>
        <w:tc>
          <w:tcPr>
            <w:tcW w:w="1408" w:type="dxa"/>
            <w:noWrap/>
          </w:tcPr>
          <w:p w14:paraId="261D11EC" w14:textId="19E1FB5D" w:rsidR="00D66DC9" w:rsidRDefault="006037F2" w:rsidP="006E2B88">
            <w:pPr>
              <w:pStyle w:val="Tabletext"/>
              <w:framePr w:hSpace="0" w:wrap="auto" w:vAnchor="margin" w:hAnchor="text" w:yAlign="inline"/>
            </w:pPr>
            <w:r>
              <w:t>Property Fund</w:t>
            </w:r>
          </w:p>
        </w:tc>
        <w:tc>
          <w:tcPr>
            <w:tcW w:w="1701" w:type="dxa"/>
            <w:noWrap/>
          </w:tcPr>
          <w:p w14:paraId="444546D4" w14:textId="7253E31B" w:rsidR="00D66DC9" w:rsidRPr="00FF67F8" w:rsidRDefault="00E25D2A" w:rsidP="006E2B88">
            <w:pPr>
              <w:pStyle w:val="Tabletext"/>
              <w:framePr w:hSpace="0" w:wrap="auto" w:vAnchor="margin" w:hAnchor="text" w:yAlign="inline"/>
            </w:pPr>
            <w:r>
              <w:t xml:space="preserve">Other- legislative </w:t>
            </w:r>
          </w:p>
        </w:tc>
        <w:tc>
          <w:tcPr>
            <w:tcW w:w="6237" w:type="dxa"/>
            <w:noWrap/>
          </w:tcPr>
          <w:p w14:paraId="7F071FBB" w14:textId="7C22BE7A" w:rsidR="00987D31" w:rsidRPr="00987D31" w:rsidRDefault="00D6509E" w:rsidP="00987D31">
            <w:pPr>
              <w:pStyle w:val="Tabletext"/>
              <w:framePr w:hSpace="0" w:wrap="auto" w:vAnchor="margin" w:hAnchor="text" w:yAlign="inline"/>
              <w:rPr>
                <w:spacing w:val="-6"/>
              </w:rPr>
            </w:pPr>
            <w:r>
              <w:rPr>
                <w:spacing w:val="-6"/>
              </w:rPr>
              <w:t xml:space="preserve">The </w:t>
            </w:r>
            <w:r w:rsidR="001B61DC">
              <w:rPr>
                <w:spacing w:val="-6"/>
              </w:rPr>
              <w:t>management of the Property Fund was returned to the OPCC in line with legislation.</w:t>
            </w:r>
            <w:r w:rsidR="005953A9">
              <w:rPr>
                <w:spacing w:val="-6"/>
              </w:rPr>
              <w:t xml:space="preserve"> </w:t>
            </w:r>
            <w:r w:rsidR="001B61DC">
              <w:rPr>
                <w:spacing w:val="-6"/>
              </w:rPr>
              <w:br/>
              <w:t>Since then, a new suite of policies ha</w:t>
            </w:r>
            <w:r w:rsidR="00942C48">
              <w:rPr>
                <w:spacing w:val="-6"/>
              </w:rPr>
              <w:t>s</w:t>
            </w:r>
            <w:r w:rsidR="001B61DC">
              <w:rPr>
                <w:spacing w:val="-6"/>
              </w:rPr>
              <w:t xml:space="preserve"> been </w:t>
            </w:r>
            <w:r w:rsidR="0031011F">
              <w:rPr>
                <w:spacing w:val="-6"/>
              </w:rPr>
              <w:t>developed</w:t>
            </w:r>
            <w:r w:rsidR="00062928">
              <w:rPr>
                <w:spacing w:val="-6"/>
              </w:rPr>
              <w:t xml:space="preserve">, and community organisations can </w:t>
            </w:r>
            <w:r w:rsidR="00F1465F">
              <w:rPr>
                <w:spacing w:val="-6"/>
              </w:rPr>
              <w:t xml:space="preserve">make applications to the fund, </w:t>
            </w:r>
            <w:r w:rsidR="00987D31" w:rsidRPr="00987D31">
              <w:rPr>
                <w:spacing w:val="-6"/>
              </w:rPr>
              <w:t>to deliver projects and interventions that:</w:t>
            </w:r>
          </w:p>
          <w:p w14:paraId="4F5955F3" w14:textId="77777777" w:rsidR="00987D31" w:rsidRPr="00987D31" w:rsidRDefault="00987D31" w:rsidP="00834FE8">
            <w:pPr>
              <w:pStyle w:val="Tabletext"/>
              <w:framePr w:hSpace="0" w:wrap="auto" w:vAnchor="margin" w:hAnchor="text" w:yAlign="inline"/>
              <w:numPr>
                <w:ilvl w:val="0"/>
                <w:numId w:val="25"/>
              </w:numPr>
              <w:ind w:left="180" w:hanging="141"/>
              <w:rPr>
                <w:spacing w:val="-6"/>
              </w:rPr>
            </w:pPr>
            <w:r w:rsidRPr="00987D31">
              <w:rPr>
                <w:spacing w:val="-6"/>
              </w:rPr>
              <w:t>Prevent or reduce crime and anti-social behaviour (ASB).</w:t>
            </w:r>
          </w:p>
          <w:p w14:paraId="31431F6C" w14:textId="77777777" w:rsidR="00987D31" w:rsidRPr="00987D31" w:rsidRDefault="00987D31" w:rsidP="00834FE8">
            <w:pPr>
              <w:pStyle w:val="Tabletext"/>
              <w:framePr w:hSpace="0" w:wrap="auto" w:vAnchor="margin" w:hAnchor="text" w:yAlign="inline"/>
              <w:numPr>
                <w:ilvl w:val="0"/>
                <w:numId w:val="25"/>
              </w:numPr>
              <w:ind w:left="180" w:hanging="141"/>
              <w:rPr>
                <w:spacing w:val="-6"/>
              </w:rPr>
            </w:pPr>
            <w:r w:rsidRPr="00987D31">
              <w:rPr>
                <w:spacing w:val="-6"/>
              </w:rPr>
              <w:t>Support safer and stronger neighbourhoods.</w:t>
            </w:r>
          </w:p>
          <w:p w14:paraId="77194B65" w14:textId="77777777" w:rsidR="00987D31" w:rsidRPr="00987D31" w:rsidRDefault="00987D31" w:rsidP="00834FE8">
            <w:pPr>
              <w:pStyle w:val="Tabletext"/>
              <w:framePr w:hSpace="0" w:wrap="auto" w:vAnchor="margin" w:hAnchor="text" w:yAlign="inline"/>
              <w:numPr>
                <w:ilvl w:val="0"/>
                <w:numId w:val="25"/>
              </w:numPr>
              <w:ind w:left="180" w:hanging="141"/>
              <w:rPr>
                <w:spacing w:val="-6"/>
              </w:rPr>
            </w:pPr>
            <w:r w:rsidRPr="00987D31">
              <w:rPr>
                <w:spacing w:val="-6"/>
              </w:rPr>
              <w:t>Reduce the risk of victimisation to individuals, groups or businesses, thereby improving people’s lives.</w:t>
            </w:r>
          </w:p>
          <w:p w14:paraId="30BB006B" w14:textId="38F5F0B5" w:rsidR="00D66DC9" w:rsidRDefault="00987D31" w:rsidP="000A5310">
            <w:pPr>
              <w:pStyle w:val="Tabletext"/>
              <w:framePr w:hSpace="0" w:wrap="auto" w:vAnchor="margin" w:hAnchor="text" w:yAlign="inline"/>
              <w:rPr>
                <w:spacing w:val="-6"/>
              </w:rPr>
            </w:pPr>
            <w:r>
              <w:rPr>
                <w:spacing w:val="-6"/>
              </w:rPr>
              <w:t xml:space="preserve">The first round in Autumn 2025 saw </w:t>
            </w:r>
            <w:r w:rsidR="00A0476C" w:rsidRPr="00A0476C">
              <w:rPr>
                <w:spacing w:val="-6"/>
              </w:rPr>
              <w:t>£88,031.86 awarded to 49 organisations across Kent, supporting a wide range of community safety and victim</w:t>
            </w:r>
            <w:r w:rsidR="00A0476C" w:rsidRPr="00A0476C">
              <w:rPr>
                <w:spacing w:val="-6"/>
              </w:rPr>
              <w:noBreakHyphen/>
              <w:t>focused projects</w:t>
            </w:r>
          </w:p>
        </w:tc>
        <w:tc>
          <w:tcPr>
            <w:tcW w:w="3260" w:type="dxa"/>
            <w:noWrap/>
          </w:tcPr>
          <w:p w14:paraId="110BD4B4" w14:textId="77777777" w:rsidR="00D66DC9" w:rsidRPr="00FF67F8" w:rsidRDefault="00D66DC9" w:rsidP="006E2B88">
            <w:pPr>
              <w:pStyle w:val="Tabletext"/>
              <w:framePr w:hSpace="0" w:wrap="auto" w:vAnchor="margin" w:hAnchor="text" w:yAlign="inline"/>
            </w:pPr>
          </w:p>
        </w:tc>
        <w:tc>
          <w:tcPr>
            <w:tcW w:w="2127" w:type="dxa"/>
            <w:noWrap/>
          </w:tcPr>
          <w:p w14:paraId="0DEBA9FA" w14:textId="77777777" w:rsidR="00D66DC9" w:rsidRPr="001C3514" w:rsidRDefault="00D66DC9" w:rsidP="006E2B88">
            <w:pPr>
              <w:pStyle w:val="Tabletext"/>
              <w:framePr w:hSpace="0" w:wrap="auto" w:vAnchor="margin" w:hAnchor="text" w:yAlign="inline"/>
            </w:pPr>
          </w:p>
        </w:tc>
      </w:tr>
      <w:tr w:rsidR="00D66DC9" w:rsidRPr="001C3514" w14:paraId="3D380CB1" w14:textId="77777777" w:rsidTr="00DA4513">
        <w:trPr>
          <w:cantSplit/>
        </w:trPr>
        <w:tc>
          <w:tcPr>
            <w:tcW w:w="1408" w:type="dxa"/>
            <w:noWrap/>
          </w:tcPr>
          <w:p w14:paraId="6FCA433C" w14:textId="59C67CA0" w:rsidR="00D66DC9" w:rsidRDefault="006037F2" w:rsidP="006E2B88">
            <w:pPr>
              <w:pStyle w:val="Tabletext"/>
              <w:framePr w:hSpace="0" w:wrap="auto" w:vAnchor="margin" w:hAnchor="text" w:yAlign="inline"/>
            </w:pPr>
            <w:r>
              <w:t>Commissioning</w:t>
            </w:r>
            <w:r w:rsidR="00ED5523">
              <w:t xml:space="preserve"> management system</w:t>
            </w:r>
            <w:r>
              <w:t xml:space="preserve"> </w:t>
            </w:r>
          </w:p>
        </w:tc>
        <w:tc>
          <w:tcPr>
            <w:tcW w:w="1701" w:type="dxa"/>
            <w:noWrap/>
          </w:tcPr>
          <w:p w14:paraId="3D824D48" w14:textId="199575C3" w:rsidR="00D66DC9" w:rsidRPr="00FF67F8" w:rsidRDefault="00E25D2A" w:rsidP="006E2B88">
            <w:pPr>
              <w:pStyle w:val="Tabletext"/>
              <w:framePr w:hSpace="0" w:wrap="auto" w:vAnchor="margin" w:hAnchor="text" w:yAlign="inline"/>
            </w:pPr>
            <w:r>
              <w:t>OPCC risk register and Internal Audit</w:t>
            </w:r>
          </w:p>
        </w:tc>
        <w:tc>
          <w:tcPr>
            <w:tcW w:w="6237" w:type="dxa"/>
            <w:noWrap/>
          </w:tcPr>
          <w:p w14:paraId="0DE9C1CD" w14:textId="5033ED19" w:rsidR="00E25D2A" w:rsidRDefault="00572DA9" w:rsidP="000A5310">
            <w:pPr>
              <w:pStyle w:val="Tabletext"/>
              <w:framePr w:hSpace="0" w:wrap="auto" w:vAnchor="margin" w:hAnchor="text" w:yAlign="inline"/>
              <w:rPr>
                <w:spacing w:val="-6"/>
              </w:rPr>
            </w:pPr>
            <w:r>
              <w:rPr>
                <w:spacing w:val="-6"/>
              </w:rPr>
              <w:t xml:space="preserve">The OPCC’s Commissioning Team </w:t>
            </w:r>
            <w:r w:rsidR="00F47C84">
              <w:rPr>
                <w:spacing w:val="-6"/>
              </w:rPr>
              <w:t>has moved to a cloud-based commissioning management system.</w:t>
            </w:r>
            <w:r w:rsidR="005953A9">
              <w:rPr>
                <w:spacing w:val="-6"/>
              </w:rPr>
              <w:t xml:space="preserve"> </w:t>
            </w:r>
            <w:r w:rsidR="00F47C84">
              <w:rPr>
                <w:spacing w:val="-6"/>
              </w:rPr>
              <w:t>This has provided a wide range of benefits and efficiencies, including:</w:t>
            </w:r>
          </w:p>
          <w:p w14:paraId="0AF11F89" w14:textId="70C92809" w:rsidR="00F47C84" w:rsidRDefault="0046688F" w:rsidP="00834FE8">
            <w:pPr>
              <w:pStyle w:val="Tabletext"/>
              <w:framePr w:hSpace="0" w:wrap="auto" w:vAnchor="margin" w:hAnchor="text" w:yAlign="inline"/>
              <w:numPr>
                <w:ilvl w:val="0"/>
                <w:numId w:val="26"/>
              </w:numPr>
              <w:ind w:left="236" w:hanging="197"/>
              <w:rPr>
                <w:spacing w:val="-6"/>
              </w:rPr>
            </w:pPr>
            <w:r>
              <w:rPr>
                <w:spacing w:val="-6"/>
              </w:rPr>
              <w:t xml:space="preserve">Allows the team to </w:t>
            </w:r>
            <w:r w:rsidR="00517B3B">
              <w:rPr>
                <w:spacing w:val="-6"/>
              </w:rPr>
              <w:t>manage processes more effectively and assigns owners to tasks</w:t>
            </w:r>
          </w:p>
          <w:p w14:paraId="0A0F8BB5" w14:textId="215EBD77" w:rsidR="00517B3B" w:rsidRDefault="00517B3B" w:rsidP="00834FE8">
            <w:pPr>
              <w:pStyle w:val="Tabletext"/>
              <w:framePr w:hSpace="0" w:wrap="auto" w:vAnchor="margin" w:hAnchor="text" w:yAlign="inline"/>
              <w:numPr>
                <w:ilvl w:val="0"/>
                <w:numId w:val="26"/>
              </w:numPr>
              <w:ind w:left="236" w:hanging="197"/>
              <w:rPr>
                <w:spacing w:val="-6"/>
              </w:rPr>
            </w:pPr>
            <w:r>
              <w:rPr>
                <w:spacing w:val="-6"/>
              </w:rPr>
              <w:t xml:space="preserve">Improvement management of funding </w:t>
            </w:r>
            <w:r w:rsidR="007D1102">
              <w:rPr>
                <w:spacing w:val="-6"/>
              </w:rPr>
              <w:t>applications and monitoring of progress</w:t>
            </w:r>
          </w:p>
          <w:p w14:paraId="7BD46DF5" w14:textId="45BC82AA" w:rsidR="007D1102" w:rsidRDefault="007D1102" w:rsidP="00834FE8">
            <w:pPr>
              <w:pStyle w:val="Tabletext"/>
              <w:framePr w:hSpace="0" w:wrap="auto" w:vAnchor="margin" w:hAnchor="text" w:yAlign="inline"/>
              <w:numPr>
                <w:ilvl w:val="0"/>
                <w:numId w:val="26"/>
              </w:numPr>
              <w:ind w:left="236" w:hanging="197"/>
              <w:rPr>
                <w:spacing w:val="-6"/>
              </w:rPr>
            </w:pPr>
            <w:r>
              <w:rPr>
                <w:spacing w:val="-6"/>
              </w:rPr>
              <w:t>Greater consistency of approach</w:t>
            </w:r>
          </w:p>
          <w:p w14:paraId="1CEAA219" w14:textId="11B80FDB" w:rsidR="007D1102" w:rsidRDefault="007D1102" w:rsidP="00834FE8">
            <w:pPr>
              <w:pStyle w:val="Tabletext"/>
              <w:framePr w:hSpace="0" w:wrap="auto" w:vAnchor="margin" w:hAnchor="text" w:yAlign="inline"/>
              <w:numPr>
                <w:ilvl w:val="0"/>
                <w:numId w:val="26"/>
              </w:numPr>
              <w:ind w:left="236" w:hanging="197"/>
              <w:rPr>
                <w:spacing w:val="-6"/>
              </w:rPr>
            </w:pPr>
            <w:r>
              <w:rPr>
                <w:spacing w:val="-6"/>
              </w:rPr>
              <w:t>Improved public interface</w:t>
            </w:r>
          </w:p>
          <w:p w14:paraId="7FEF64BB" w14:textId="66B8705D" w:rsidR="007D1102" w:rsidRDefault="007D1102" w:rsidP="00834FE8">
            <w:pPr>
              <w:pStyle w:val="Tabletext"/>
              <w:framePr w:hSpace="0" w:wrap="auto" w:vAnchor="margin" w:hAnchor="text" w:yAlign="inline"/>
              <w:numPr>
                <w:ilvl w:val="0"/>
                <w:numId w:val="26"/>
              </w:numPr>
              <w:ind w:left="236" w:hanging="197"/>
              <w:rPr>
                <w:spacing w:val="-6"/>
              </w:rPr>
            </w:pPr>
            <w:r>
              <w:rPr>
                <w:spacing w:val="-6"/>
              </w:rPr>
              <w:t xml:space="preserve">Dashboard to allow </w:t>
            </w:r>
            <w:r w:rsidR="007A625F">
              <w:rPr>
                <w:spacing w:val="-6"/>
              </w:rPr>
              <w:t xml:space="preserve">an </w:t>
            </w:r>
            <w:r w:rsidR="00CB040C">
              <w:rPr>
                <w:spacing w:val="-6"/>
              </w:rPr>
              <w:t>immediate overview of performance.</w:t>
            </w:r>
          </w:p>
          <w:p w14:paraId="4ADB9FFE" w14:textId="7A3C223F" w:rsidR="0050173D" w:rsidRDefault="00CB040C" w:rsidP="00834FE8">
            <w:pPr>
              <w:pStyle w:val="Tabletext"/>
              <w:framePr w:hSpace="0" w:wrap="auto" w:vAnchor="margin" w:hAnchor="text" w:yAlign="inline"/>
              <w:rPr>
                <w:spacing w:val="-6"/>
              </w:rPr>
            </w:pPr>
            <w:r>
              <w:rPr>
                <w:spacing w:val="-6"/>
              </w:rPr>
              <w:t>Feedback from providers and services has been consistently positive.</w:t>
            </w:r>
          </w:p>
        </w:tc>
        <w:tc>
          <w:tcPr>
            <w:tcW w:w="3260" w:type="dxa"/>
            <w:noWrap/>
          </w:tcPr>
          <w:p w14:paraId="6695AF22" w14:textId="2DDCE62A" w:rsidR="00D66DC9" w:rsidRPr="00FF67F8" w:rsidRDefault="00CB040C" w:rsidP="006E2B88">
            <w:pPr>
              <w:pStyle w:val="Tabletext"/>
              <w:framePr w:hSpace="0" w:wrap="auto" w:vAnchor="margin" w:hAnchor="text" w:yAlign="inline"/>
            </w:pPr>
            <w:r>
              <w:t xml:space="preserve">The </w:t>
            </w:r>
            <w:r w:rsidR="00BB50DC">
              <w:t>Commissioning Team will continue to explore the capabilities of the new system to further improve efficiency.</w:t>
            </w:r>
          </w:p>
        </w:tc>
        <w:tc>
          <w:tcPr>
            <w:tcW w:w="2127" w:type="dxa"/>
            <w:noWrap/>
          </w:tcPr>
          <w:p w14:paraId="176C9FB8" w14:textId="77777777" w:rsidR="00D66DC9" w:rsidRPr="001C3514" w:rsidRDefault="00D66DC9" w:rsidP="006E2B88">
            <w:pPr>
              <w:pStyle w:val="Tabletext"/>
              <w:framePr w:hSpace="0" w:wrap="auto" w:vAnchor="margin" w:hAnchor="text" w:yAlign="inline"/>
            </w:pPr>
          </w:p>
        </w:tc>
      </w:tr>
      <w:tr w:rsidR="00D66DC9" w:rsidRPr="001C3514" w14:paraId="001E5835" w14:textId="77777777" w:rsidTr="00DA4513">
        <w:trPr>
          <w:cantSplit/>
        </w:trPr>
        <w:tc>
          <w:tcPr>
            <w:tcW w:w="1408" w:type="dxa"/>
            <w:noWrap/>
          </w:tcPr>
          <w:p w14:paraId="74D9827C" w14:textId="42D65712" w:rsidR="00320719" w:rsidRDefault="00575457" w:rsidP="006E2B88">
            <w:pPr>
              <w:pStyle w:val="Tabletext"/>
              <w:framePr w:hSpace="0" w:wrap="auto" w:vAnchor="margin" w:hAnchor="text" w:yAlign="inline"/>
            </w:pPr>
            <w:r>
              <w:t xml:space="preserve">Award of Gold Standard for ICV </w:t>
            </w:r>
            <w:r w:rsidR="00320719">
              <w:t>(Independent Custody Visitor)</w:t>
            </w:r>
          </w:p>
          <w:p w14:paraId="2A4BBAA5" w14:textId="7AA05B3F" w:rsidR="00D66DC9" w:rsidRDefault="00575457" w:rsidP="006E2B88">
            <w:pPr>
              <w:pStyle w:val="Tabletext"/>
              <w:framePr w:hSpace="0" w:wrap="auto" w:vAnchor="margin" w:hAnchor="text" w:yAlign="inline"/>
            </w:pPr>
            <w:r>
              <w:t>Scheme</w:t>
            </w:r>
          </w:p>
        </w:tc>
        <w:tc>
          <w:tcPr>
            <w:tcW w:w="1701" w:type="dxa"/>
            <w:noWrap/>
          </w:tcPr>
          <w:p w14:paraId="36440556" w14:textId="21CFD9A2" w:rsidR="00D66DC9" w:rsidRPr="00FF67F8" w:rsidRDefault="0004722A" w:rsidP="006E2B88">
            <w:pPr>
              <w:pStyle w:val="Tabletext"/>
              <w:framePr w:hSpace="0" w:wrap="auto" w:vAnchor="margin" w:hAnchor="text" w:yAlign="inline"/>
            </w:pPr>
            <w:r>
              <w:t xml:space="preserve">Police and Crime Plan and </w:t>
            </w:r>
            <w:r w:rsidR="00F50BD9">
              <w:t xml:space="preserve">Other- </w:t>
            </w:r>
            <w:r>
              <w:t>legislative</w:t>
            </w:r>
          </w:p>
        </w:tc>
        <w:tc>
          <w:tcPr>
            <w:tcW w:w="6237" w:type="dxa"/>
            <w:noWrap/>
          </w:tcPr>
          <w:p w14:paraId="09D387E2" w14:textId="77777777" w:rsidR="00D66DC9" w:rsidRDefault="00575457" w:rsidP="000A5310">
            <w:pPr>
              <w:pStyle w:val="Tabletext"/>
              <w:framePr w:hSpace="0" w:wrap="auto" w:vAnchor="margin" w:hAnchor="text" w:yAlign="inline"/>
              <w:rPr>
                <w:spacing w:val="-6"/>
              </w:rPr>
            </w:pPr>
            <w:r>
              <w:rPr>
                <w:spacing w:val="-6"/>
              </w:rPr>
              <w:t xml:space="preserve">Assessment of </w:t>
            </w:r>
            <w:r w:rsidR="006E2BC7">
              <w:rPr>
                <w:spacing w:val="-6"/>
              </w:rPr>
              <w:t xml:space="preserve">nearly 100 </w:t>
            </w:r>
            <w:r w:rsidR="005A38EE">
              <w:rPr>
                <w:spacing w:val="-6"/>
              </w:rPr>
              <w:t>required areas across ‘Code Compliant’, ‘Silver’ and then Gold.</w:t>
            </w:r>
          </w:p>
          <w:p w14:paraId="6A8D9353" w14:textId="06D64FCF" w:rsidR="005A38EE" w:rsidRDefault="009C5B2E" w:rsidP="000A5310">
            <w:pPr>
              <w:pStyle w:val="Tabletext"/>
              <w:framePr w:hSpace="0" w:wrap="auto" w:vAnchor="margin" w:hAnchor="text" w:yAlign="inline"/>
              <w:rPr>
                <w:spacing w:val="-6"/>
              </w:rPr>
            </w:pPr>
            <w:r>
              <w:rPr>
                <w:spacing w:val="-6"/>
              </w:rPr>
              <w:t>Demonstrate</w:t>
            </w:r>
            <w:r w:rsidR="001A3AC4">
              <w:rPr>
                <w:spacing w:val="-6"/>
              </w:rPr>
              <w:t>d</w:t>
            </w:r>
            <w:r>
              <w:rPr>
                <w:spacing w:val="-6"/>
              </w:rPr>
              <w:t xml:space="preserve"> high levels of compliance with national requirements across recruitment and training; management of volunteers; communications; holding the Force to account; transparency and public reassurance; ensuring detainee welfare; support of Scheme Managers; ensuring volunteer voice is captured and acted upon.</w:t>
            </w:r>
            <w:r w:rsidR="005953A9">
              <w:rPr>
                <w:spacing w:val="-6"/>
              </w:rPr>
              <w:t xml:space="preserve"> </w:t>
            </w:r>
          </w:p>
        </w:tc>
        <w:tc>
          <w:tcPr>
            <w:tcW w:w="3260" w:type="dxa"/>
            <w:noWrap/>
          </w:tcPr>
          <w:p w14:paraId="5459C43F" w14:textId="458E9F1F" w:rsidR="00D66DC9" w:rsidRPr="00FF67F8" w:rsidRDefault="0034328B" w:rsidP="006E2B88">
            <w:pPr>
              <w:pStyle w:val="Tabletext"/>
              <w:framePr w:hSpace="0" w:wrap="auto" w:vAnchor="margin" w:hAnchor="text" w:yAlign="inline"/>
            </w:pPr>
            <w:r>
              <w:t xml:space="preserve">Aim to publicise achievement </w:t>
            </w:r>
            <w:r w:rsidR="00512CD9">
              <w:t xml:space="preserve">with Kent Police, and to highlight the work of the Scheme in Kent. </w:t>
            </w:r>
          </w:p>
        </w:tc>
        <w:tc>
          <w:tcPr>
            <w:tcW w:w="2127" w:type="dxa"/>
            <w:noWrap/>
          </w:tcPr>
          <w:p w14:paraId="12CA90B6" w14:textId="77777777" w:rsidR="00D66DC9" w:rsidRPr="001C3514" w:rsidRDefault="00D66DC9" w:rsidP="006E2B88">
            <w:pPr>
              <w:pStyle w:val="Tabletext"/>
              <w:framePr w:hSpace="0" w:wrap="auto" w:vAnchor="margin" w:hAnchor="text" w:yAlign="inline"/>
            </w:pPr>
          </w:p>
        </w:tc>
      </w:tr>
      <w:tr w:rsidR="00D66DC9" w:rsidRPr="001C3514" w14:paraId="60963D23" w14:textId="77777777" w:rsidTr="00DA4513">
        <w:trPr>
          <w:cantSplit/>
        </w:trPr>
        <w:tc>
          <w:tcPr>
            <w:tcW w:w="1408" w:type="dxa"/>
            <w:noWrap/>
          </w:tcPr>
          <w:p w14:paraId="272AA4AD" w14:textId="13DDAC3D" w:rsidR="00D66DC9" w:rsidRDefault="00DB3698" w:rsidP="006E2B88">
            <w:pPr>
              <w:pStyle w:val="Tabletext"/>
              <w:framePr w:hSpace="0" w:wrap="auto" w:vAnchor="margin" w:hAnchor="text" w:yAlign="inline"/>
            </w:pPr>
            <w:r>
              <w:t>Pension forfeiture guidance</w:t>
            </w:r>
          </w:p>
        </w:tc>
        <w:tc>
          <w:tcPr>
            <w:tcW w:w="1701" w:type="dxa"/>
            <w:noWrap/>
          </w:tcPr>
          <w:p w14:paraId="29FC35E6" w14:textId="2F387BA6" w:rsidR="00D66DC9" w:rsidRPr="00FF67F8" w:rsidRDefault="00C434FB" w:rsidP="006E2B88">
            <w:pPr>
              <w:pStyle w:val="Tabletext"/>
              <w:framePr w:hSpace="0" w:wrap="auto" w:vAnchor="margin" w:hAnchor="text" w:yAlign="inline"/>
            </w:pPr>
            <w:r>
              <w:t>Other- Home Office Guidance and other legislation</w:t>
            </w:r>
          </w:p>
        </w:tc>
        <w:tc>
          <w:tcPr>
            <w:tcW w:w="6237" w:type="dxa"/>
            <w:noWrap/>
          </w:tcPr>
          <w:p w14:paraId="2BC975AE" w14:textId="77777777" w:rsidR="00C434FB" w:rsidRDefault="009619BB" w:rsidP="000A5310">
            <w:pPr>
              <w:pStyle w:val="Tabletext"/>
              <w:framePr w:hSpace="0" w:wrap="auto" w:vAnchor="margin" w:hAnchor="text" w:yAlign="inline"/>
              <w:rPr>
                <w:spacing w:val="-6"/>
              </w:rPr>
            </w:pPr>
            <w:r>
              <w:rPr>
                <w:spacing w:val="-6"/>
              </w:rPr>
              <w:t xml:space="preserve">The PCC and his Office remain committed to seeking </w:t>
            </w:r>
            <w:r w:rsidR="00F50BD9">
              <w:rPr>
                <w:spacing w:val="-6"/>
              </w:rPr>
              <w:t>the reduction of officers’ pensions, where they have been convicted of an offence that can be linked to the</w:t>
            </w:r>
            <w:r w:rsidR="00C434FB">
              <w:rPr>
                <w:spacing w:val="-6"/>
              </w:rPr>
              <w:t xml:space="preserve"> officer’s service.</w:t>
            </w:r>
          </w:p>
          <w:p w14:paraId="748A4026" w14:textId="77777777" w:rsidR="00D66DC9" w:rsidRDefault="002E4E4D" w:rsidP="000A5310">
            <w:pPr>
              <w:pStyle w:val="Tabletext"/>
              <w:framePr w:hSpace="0" w:wrap="auto" w:vAnchor="margin" w:hAnchor="text" w:yAlign="inline"/>
              <w:rPr>
                <w:spacing w:val="-6"/>
              </w:rPr>
            </w:pPr>
            <w:r>
              <w:rPr>
                <w:spacing w:val="-6"/>
              </w:rPr>
              <w:t>The OPCC has introduced</w:t>
            </w:r>
            <w:r w:rsidR="00AF16F4">
              <w:rPr>
                <w:spacing w:val="-6"/>
              </w:rPr>
              <w:t xml:space="preserve"> an</w:t>
            </w:r>
            <w:r>
              <w:rPr>
                <w:spacing w:val="-6"/>
              </w:rPr>
              <w:t xml:space="preserve"> internal progress tracking </w:t>
            </w:r>
            <w:r w:rsidR="00AF16F4">
              <w:rPr>
                <w:spacing w:val="-6"/>
              </w:rPr>
              <w:t>process, and a linked process with the Force’s Professional Standards Department, to allow the early identification of cases</w:t>
            </w:r>
            <w:r w:rsidR="003130CF">
              <w:rPr>
                <w:spacing w:val="-6"/>
              </w:rPr>
              <w:t xml:space="preserve"> that may be suitable.</w:t>
            </w:r>
          </w:p>
          <w:p w14:paraId="4BAC917F" w14:textId="7F8516CA" w:rsidR="003130CF" w:rsidRDefault="003130CF" w:rsidP="000A5310">
            <w:pPr>
              <w:pStyle w:val="Tabletext"/>
              <w:framePr w:hSpace="0" w:wrap="auto" w:vAnchor="margin" w:hAnchor="text" w:yAlign="inline"/>
              <w:rPr>
                <w:spacing w:val="-6"/>
              </w:rPr>
            </w:pPr>
            <w:r>
              <w:rPr>
                <w:spacing w:val="-6"/>
              </w:rPr>
              <w:t>The OPCC has, on behalf of the Association of Police and Crime Commissioners’ Chief Executives and working with the Home Office, produced standardised national guidance.</w:t>
            </w:r>
            <w:r w:rsidR="005953A9">
              <w:rPr>
                <w:spacing w:val="-6"/>
              </w:rPr>
              <w:t xml:space="preserve"> </w:t>
            </w:r>
          </w:p>
        </w:tc>
        <w:tc>
          <w:tcPr>
            <w:tcW w:w="3260" w:type="dxa"/>
            <w:noWrap/>
          </w:tcPr>
          <w:p w14:paraId="36567FEB" w14:textId="77777777" w:rsidR="00D66DC9" w:rsidRPr="00FF67F8" w:rsidRDefault="00D66DC9" w:rsidP="006E2B88">
            <w:pPr>
              <w:pStyle w:val="Tabletext"/>
              <w:framePr w:hSpace="0" w:wrap="auto" w:vAnchor="margin" w:hAnchor="text" w:yAlign="inline"/>
            </w:pPr>
          </w:p>
        </w:tc>
        <w:tc>
          <w:tcPr>
            <w:tcW w:w="2127" w:type="dxa"/>
            <w:noWrap/>
          </w:tcPr>
          <w:p w14:paraId="2F76187D" w14:textId="77777777" w:rsidR="00D66DC9" w:rsidRPr="001C3514" w:rsidRDefault="00D66DC9" w:rsidP="006E2B88">
            <w:pPr>
              <w:pStyle w:val="Tabletext"/>
              <w:framePr w:hSpace="0" w:wrap="auto" w:vAnchor="margin" w:hAnchor="text" w:yAlign="inline"/>
            </w:pPr>
          </w:p>
        </w:tc>
      </w:tr>
    </w:tbl>
    <w:p w14:paraId="0AEC7D6F" w14:textId="77777777" w:rsidR="007A0BD7" w:rsidRDefault="007A0BD7" w:rsidP="006E2B88">
      <w:pPr>
        <w:sectPr w:rsidR="007A0BD7" w:rsidSect="000B208F">
          <w:headerReference w:type="default" r:id="rId18"/>
          <w:pgSz w:w="16838" w:h="11906" w:orient="landscape"/>
          <w:pgMar w:top="1814" w:right="1134" w:bottom="1440" w:left="1134" w:header="709" w:footer="471" w:gutter="0"/>
          <w:cols w:space="708"/>
          <w:docGrid w:linePitch="360"/>
        </w:sectPr>
      </w:pPr>
    </w:p>
    <w:tbl>
      <w:tblPr>
        <w:tblStyle w:val="TableGrid"/>
        <w:tblpPr w:leftFromText="180" w:rightFromText="180" w:vertAnchor="text" w:horzAnchor="margin" w:tblpY="227"/>
        <w:tblW w:w="14610" w:type="dxa"/>
        <w:tblLook w:val="04A0" w:firstRow="1" w:lastRow="0" w:firstColumn="1" w:lastColumn="0" w:noHBand="0" w:noVBand="1"/>
      </w:tblPr>
      <w:tblGrid>
        <w:gridCol w:w="1669"/>
        <w:gridCol w:w="1829"/>
        <w:gridCol w:w="6236"/>
        <w:gridCol w:w="2608"/>
        <w:gridCol w:w="2254"/>
        <w:gridCol w:w="14"/>
      </w:tblGrid>
      <w:tr w:rsidR="007A0BD7" w:rsidRPr="001C3514" w14:paraId="52A904E1" w14:textId="77777777" w:rsidTr="000C76C5">
        <w:trPr>
          <w:gridAfter w:val="1"/>
          <w:wAfter w:w="14" w:type="dxa"/>
        </w:trPr>
        <w:tc>
          <w:tcPr>
            <w:tcW w:w="14596" w:type="dxa"/>
            <w:gridSpan w:val="5"/>
            <w:shd w:val="clear" w:color="auto" w:fill="E2EFD9" w:themeFill="accent6" w:themeFillTint="33"/>
          </w:tcPr>
          <w:p w14:paraId="227F6476" w14:textId="77777777" w:rsidR="00BF240D" w:rsidRPr="001C3514" w:rsidRDefault="007A0BD7" w:rsidP="000A5310">
            <w:pPr>
              <w:pStyle w:val="HeadinginTable"/>
              <w:framePr w:hSpace="0" w:wrap="auto" w:vAnchor="margin" w:hAnchor="text" w:yAlign="inline"/>
            </w:pPr>
            <w:r w:rsidRPr="001C3514">
              <w:t>Core Principle of the Framework</w:t>
            </w:r>
          </w:p>
          <w:p w14:paraId="7A9E1877" w14:textId="40D35D6C" w:rsidR="007A0BD7" w:rsidRPr="001C3514" w:rsidRDefault="007A0BD7" w:rsidP="000A5310">
            <w:pPr>
              <w:pStyle w:val="Heading3"/>
              <w:framePr w:hSpace="0" w:wrap="auto" w:vAnchor="margin" w:hAnchor="text" w:yAlign="inline"/>
            </w:pPr>
            <w:r w:rsidRPr="001C3514">
              <w:t>Ensuring openness and comprehensive stakeholder engagement</w:t>
            </w:r>
            <w:r w:rsidR="00BF240D" w:rsidRPr="001C3514">
              <w:t>.</w:t>
            </w:r>
          </w:p>
          <w:p w14:paraId="56569543" w14:textId="1B5AED73" w:rsidR="007A0BD7" w:rsidRPr="001C3514" w:rsidRDefault="007A0BD7" w:rsidP="006E2B88">
            <w:pPr>
              <w:pStyle w:val="Tabletext"/>
              <w:framePr w:hSpace="0" w:wrap="auto" w:vAnchor="margin" w:hAnchor="text" w:yAlign="inline"/>
            </w:pPr>
            <w:r w:rsidRPr="001C3514">
              <w:t xml:space="preserve">The PCC has assessed compliance with the framework as set out in the </w:t>
            </w:r>
            <w:r w:rsidRPr="001C3514">
              <w:rPr>
                <w:highlight w:val="yellow"/>
              </w:rPr>
              <w:t>Local Code of Governance</w:t>
            </w:r>
            <w:r w:rsidRPr="001C3514">
              <w:t xml:space="preserve"> under section </w:t>
            </w:r>
            <w:r w:rsidR="00517184" w:rsidRPr="001C3514">
              <w:t xml:space="preserve">B. </w:t>
            </w:r>
            <w:r w:rsidRPr="001C3514">
              <w:t xml:space="preserve">He has assessed that there is adequate assurance, and that this is overall an area of </w:t>
            </w:r>
            <w:r w:rsidRPr="001C3514">
              <w:rPr>
                <w:u w:val="single"/>
              </w:rPr>
              <w:t>strength.</w:t>
            </w:r>
          </w:p>
        </w:tc>
      </w:tr>
      <w:tr w:rsidR="007A0BD7" w:rsidRPr="000A5310" w14:paraId="1328187D" w14:textId="77777777" w:rsidTr="000C76C5">
        <w:tc>
          <w:tcPr>
            <w:tcW w:w="1669" w:type="dxa"/>
          </w:tcPr>
          <w:p w14:paraId="392D07E7" w14:textId="77777777" w:rsidR="007A0BD7" w:rsidRPr="000A5310" w:rsidRDefault="007A0BD7" w:rsidP="006E2B88">
            <w:pPr>
              <w:pStyle w:val="Tabletext"/>
              <w:framePr w:hSpace="0" w:wrap="auto" w:vAnchor="margin" w:hAnchor="text" w:yAlign="inline"/>
              <w:rPr>
                <w:b/>
                <w:bCs/>
              </w:rPr>
            </w:pPr>
            <w:r w:rsidRPr="000A5310">
              <w:rPr>
                <w:b/>
                <w:bCs/>
              </w:rPr>
              <w:t>Issue</w:t>
            </w:r>
          </w:p>
        </w:tc>
        <w:tc>
          <w:tcPr>
            <w:tcW w:w="1829" w:type="dxa"/>
          </w:tcPr>
          <w:p w14:paraId="5F3F04B0" w14:textId="060D980D" w:rsidR="007A0BD7" w:rsidRPr="000A5310" w:rsidRDefault="007A0BD7" w:rsidP="006E2B88">
            <w:pPr>
              <w:pStyle w:val="Tabletext"/>
              <w:framePr w:hSpace="0" w:wrap="auto" w:vAnchor="margin" w:hAnchor="text" w:yAlign="inline"/>
              <w:rPr>
                <w:b/>
                <w:bCs/>
              </w:rPr>
            </w:pPr>
            <w:r w:rsidRPr="000A5310">
              <w:rPr>
                <w:b/>
                <w:bCs/>
              </w:rPr>
              <w:t>Identified from</w:t>
            </w:r>
          </w:p>
        </w:tc>
        <w:tc>
          <w:tcPr>
            <w:tcW w:w="6236" w:type="dxa"/>
            <w:shd w:val="clear" w:color="auto" w:fill="E2EFD9" w:themeFill="accent6" w:themeFillTint="33"/>
          </w:tcPr>
          <w:p w14:paraId="0FA3ADC8" w14:textId="77777777" w:rsidR="007A0BD7" w:rsidRPr="000A5310" w:rsidRDefault="007A0BD7" w:rsidP="006E2B88">
            <w:pPr>
              <w:pStyle w:val="Tabletext"/>
              <w:framePr w:hSpace="0" w:wrap="auto" w:vAnchor="margin" w:hAnchor="text" w:yAlign="inline"/>
              <w:rPr>
                <w:b/>
                <w:bCs/>
              </w:rPr>
            </w:pPr>
            <w:r w:rsidRPr="000A5310">
              <w:rPr>
                <w:b/>
                <w:bCs/>
              </w:rPr>
              <w:t>Strength</w:t>
            </w:r>
          </w:p>
        </w:tc>
        <w:tc>
          <w:tcPr>
            <w:tcW w:w="2608" w:type="dxa"/>
            <w:shd w:val="clear" w:color="auto" w:fill="FFF2CC" w:themeFill="accent4" w:themeFillTint="33"/>
          </w:tcPr>
          <w:p w14:paraId="154E7CF8" w14:textId="77777777" w:rsidR="007A0BD7" w:rsidRPr="000A5310" w:rsidRDefault="007A0BD7" w:rsidP="006E2B88">
            <w:pPr>
              <w:pStyle w:val="Tabletext"/>
              <w:framePr w:hSpace="0" w:wrap="auto" w:vAnchor="margin" w:hAnchor="text" w:yAlign="inline"/>
              <w:rPr>
                <w:b/>
                <w:bCs/>
              </w:rPr>
            </w:pPr>
            <w:r w:rsidRPr="000A5310">
              <w:rPr>
                <w:b/>
                <w:bCs/>
              </w:rPr>
              <w:t>Area for Improvement</w:t>
            </w:r>
          </w:p>
        </w:tc>
        <w:tc>
          <w:tcPr>
            <w:tcW w:w="2268" w:type="dxa"/>
            <w:gridSpan w:val="2"/>
            <w:shd w:val="clear" w:color="auto" w:fill="FED6CE"/>
          </w:tcPr>
          <w:p w14:paraId="7F1CE91E" w14:textId="77777777" w:rsidR="007A0BD7" w:rsidRPr="000A5310" w:rsidRDefault="007A0BD7" w:rsidP="006E2B88">
            <w:pPr>
              <w:pStyle w:val="Tabletext"/>
              <w:framePr w:hSpace="0" w:wrap="auto" w:vAnchor="margin" w:hAnchor="text" w:yAlign="inline"/>
              <w:rPr>
                <w:b/>
                <w:bCs/>
              </w:rPr>
            </w:pPr>
            <w:r w:rsidRPr="000A5310">
              <w:rPr>
                <w:b/>
                <w:bCs/>
              </w:rPr>
              <w:t>Area of challenge</w:t>
            </w:r>
          </w:p>
        </w:tc>
      </w:tr>
      <w:tr w:rsidR="004E5FF9" w:rsidRPr="00834FE8" w14:paraId="48697B68" w14:textId="77777777" w:rsidTr="000C76C5">
        <w:trPr>
          <w:trHeight w:val="983"/>
        </w:trPr>
        <w:tc>
          <w:tcPr>
            <w:tcW w:w="1669" w:type="dxa"/>
          </w:tcPr>
          <w:p w14:paraId="7168847A" w14:textId="0CEB27DA" w:rsidR="004E5FF9" w:rsidRPr="00834FE8" w:rsidRDefault="004E5FF9" w:rsidP="004E5FF9">
            <w:pPr>
              <w:pStyle w:val="Tabletext"/>
              <w:framePr w:hSpace="0" w:wrap="auto" w:vAnchor="margin" w:hAnchor="text" w:yAlign="inline"/>
              <w:rPr>
                <w:spacing w:val="0"/>
              </w:rPr>
            </w:pPr>
            <w:r w:rsidRPr="00834FE8">
              <w:rPr>
                <w:spacing w:val="0"/>
              </w:rPr>
              <w:t>New Communications Strategy</w:t>
            </w:r>
          </w:p>
        </w:tc>
        <w:tc>
          <w:tcPr>
            <w:tcW w:w="1829" w:type="dxa"/>
          </w:tcPr>
          <w:p w14:paraId="51AF2871" w14:textId="2F70286F" w:rsidR="004E5FF9" w:rsidRPr="00834FE8" w:rsidRDefault="00E640A6" w:rsidP="004E5FF9">
            <w:pPr>
              <w:pStyle w:val="Tabletext"/>
              <w:framePr w:hSpace="0" w:wrap="auto" w:vAnchor="margin" w:hAnchor="text" w:yAlign="inline"/>
              <w:rPr>
                <w:spacing w:val="0"/>
              </w:rPr>
            </w:pPr>
            <w:r w:rsidRPr="00834FE8">
              <w:rPr>
                <w:spacing w:val="0"/>
              </w:rPr>
              <w:t>Police and Crime Plan</w:t>
            </w:r>
          </w:p>
        </w:tc>
        <w:tc>
          <w:tcPr>
            <w:tcW w:w="6236" w:type="dxa"/>
          </w:tcPr>
          <w:p w14:paraId="73907B05" w14:textId="77777777" w:rsidR="00834FE8" w:rsidRPr="00834FE8" w:rsidRDefault="002B358A" w:rsidP="004E5FF9">
            <w:pPr>
              <w:pStyle w:val="Tabletext"/>
              <w:framePr w:hSpace="0" w:wrap="auto" w:vAnchor="margin" w:hAnchor="text" w:yAlign="inline"/>
              <w:rPr>
                <w:spacing w:val="0"/>
              </w:rPr>
            </w:pPr>
            <w:r w:rsidRPr="00834FE8">
              <w:rPr>
                <w:spacing w:val="0"/>
              </w:rPr>
              <w:t xml:space="preserve">Engaged an experienced external consultant to carry out a comprehensive review of the media and engagement </w:t>
            </w:r>
            <w:r w:rsidR="00C55C82" w:rsidRPr="00834FE8">
              <w:rPr>
                <w:spacing w:val="0"/>
              </w:rPr>
              <w:t>work of the OPCC, meet with the senior team, and produce a new strategy to give new clear direction.</w:t>
            </w:r>
          </w:p>
          <w:p w14:paraId="121BE4FA" w14:textId="75C5EC4E" w:rsidR="004E5FF9" w:rsidRPr="00834FE8" w:rsidRDefault="00C55C82" w:rsidP="004E5FF9">
            <w:pPr>
              <w:pStyle w:val="Tabletext"/>
              <w:framePr w:hSpace="0" w:wrap="auto" w:vAnchor="margin" w:hAnchor="text" w:yAlign="inline"/>
              <w:rPr>
                <w:spacing w:val="0"/>
              </w:rPr>
            </w:pPr>
            <w:r w:rsidRPr="00834FE8">
              <w:rPr>
                <w:spacing w:val="0"/>
              </w:rPr>
              <w:t xml:space="preserve">Overarching aim is </w:t>
            </w:r>
            <w:r w:rsidR="00942C48">
              <w:rPr>
                <w:spacing w:val="0"/>
              </w:rPr>
              <w:t xml:space="preserve">to </w:t>
            </w:r>
            <w:r w:rsidR="00E87FAE" w:rsidRPr="00834FE8">
              <w:rPr>
                <w:spacing w:val="0"/>
              </w:rPr>
              <w:t xml:space="preserve">broaden the strategy, to ensure that </w:t>
            </w:r>
            <w:r w:rsidR="00D31F53" w:rsidRPr="00834FE8">
              <w:rPr>
                <w:spacing w:val="0"/>
              </w:rPr>
              <w:t xml:space="preserve">it </w:t>
            </w:r>
            <w:r w:rsidR="007F7D8B" w:rsidRPr="00834FE8">
              <w:rPr>
                <w:spacing w:val="0"/>
              </w:rPr>
              <w:t>reflects</w:t>
            </w:r>
            <w:r w:rsidR="00D31F53" w:rsidRPr="00834FE8">
              <w:rPr>
                <w:spacing w:val="0"/>
              </w:rPr>
              <w:t xml:space="preserve"> the </w:t>
            </w:r>
            <w:r w:rsidR="007F7D8B" w:rsidRPr="00834FE8">
              <w:rPr>
                <w:spacing w:val="0"/>
              </w:rPr>
              <w:t xml:space="preserve">breadth of the </w:t>
            </w:r>
            <w:r w:rsidR="00D31F53" w:rsidRPr="00834FE8">
              <w:rPr>
                <w:spacing w:val="0"/>
              </w:rPr>
              <w:t>work of the OPCC and its staff, and not just the PCC himself.</w:t>
            </w:r>
            <w:r w:rsidR="005953A9">
              <w:rPr>
                <w:spacing w:val="0"/>
              </w:rPr>
              <w:t xml:space="preserve"> </w:t>
            </w:r>
          </w:p>
          <w:p w14:paraId="47AF5516" w14:textId="45076FD6" w:rsidR="004E5FF9" w:rsidRPr="00834FE8" w:rsidRDefault="0009592E" w:rsidP="004E5FF9">
            <w:pPr>
              <w:pStyle w:val="Tabletext"/>
              <w:framePr w:hSpace="0" w:wrap="auto" w:vAnchor="margin" w:hAnchor="text" w:yAlign="inline"/>
              <w:rPr>
                <w:spacing w:val="0"/>
              </w:rPr>
            </w:pPr>
            <w:r w:rsidRPr="00834FE8">
              <w:rPr>
                <w:spacing w:val="0"/>
              </w:rPr>
              <w:t xml:space="preserve">On a practical level, strategy to ensure that some media/engagement elements are mainstreamed, to build in the capacity to undertake significant one- off </w:t>
            </w:r>
            <w:r w:rsidR="00555AD6" w:rsidRPr="00834FE8">
              <w:rPr>
                <w:spacing w:val="0"/>
              </w:rPr>
              <w:t xml:space="preserve">events, such as the PCC’s recent focus on waste crime. </w:t>
            </w:r>
          </w:p>
        </w:tc>
        <w:tc>
          <w:tcPr>
            <w:tcW w:w="2608" w:type="dxa"/>
          </w:tcPr>
          <w:p w14:paraId="5934E1E0" w14:textId="77777777" w:rsidR="004E5FF9" w:rsidRPr="00834FE8" w:rsidRDefault="004E5FF9" w:rsidP="004E5FF9">
            <w:pPr>
              <w:pStyle w:val="Tabletext"/>
              <w:framePr w:hSpace="0" w:wrap="auto" w:vAnchor="margin" w:hAnchor="text" w:yAlign="inline"/>
              <w:rPr>
                <w:spacing w:val="0"/>
              </w:rPr>
            </w:pPr>
            <w:r w:rsidRPr="00834FE8">
              <w:rPr>
                <w:spacing w:val="0"/>
              </w:rPr>
              <w:t>Improve joint working with Force</w:t>
            </w:r>
          </w:p>
          <w:p w14:paraId="01A05519" w14:textId="77777777" w:rsidR="004E5FF9" w:rsidRPr="00834FE8" w:rsidRDefault="004E5FF9" w:rsidP="004E5FF9">
            <w:pPr>
              <w:pStyle w:val="Tabletext"/>
              <w:framePr w:hSpace="0" w:wrap="auto" w:vAnchor="margin" w:hAnchor="text" w:yAlign="inline"/>
              <w:rPr>
                <w:spacing w:val="0"/>
              </w:rPr>
            </w:pPr>
            <w:r w:rsidRPr="00834FE8">
              <w:rPr>
                <w:spacing w:val="0"/>
              </w:rPr>
              <w:t>Improve relationship with news outlets</w:t>
            </w:r>
          </w:p>
          <w:p w14:paraId="2C600542" w14:textId="0C34B132" w:rsidR="00E650A2" w:rsidRPr="00834FE8" w:rsidRDefault="00E650A2" w:rsidP="004E5FF9">
            <w:pPr>
              <w:pStyle w:val="Tabletext"/>
              <w:framePr w:hSpace="0" w:wrap="auto" w:vAnchor="margin" w:hAnchor="text" w:yAlign="inline"/>
              <w:rPr>
                <w:spacing w:val="0"/>
              </w:rPr>
            </w:pPr>
            <w:r w:rsidRPr="00834FE8">
              <w:rPr>
                <w:spacing w:val="0"/>
              </w:rPr>
              <w:t>Both elements required to ensure</w:t>
            </w:r>
            <w:r w:rsidR="00594111" w:rsidRPr="00834FE8">
              <w:rPr>
                <w:spacing w:val="0"/>
              </w:rPr>
              <w:t xml:space="preserve"> the strategy has the strongest impact.</w:t>
            </w:r>
            <w:r w:rsidR="005953A9">
              <w:rPr>
                <w:spacing w:val="0"/>
              </w:rPr>
              <w:t xml:space="preserve"> </w:t>
            </w:r>
          </w:p>
        </w:tc>
        <w:tc>
          <w:tcPr>
            <w:tcW w:w="2268" w:type="dxa"/>
            <w:gridSpan w:val="2"/>
          </w:tcPr>
          <w:p w14:paraId="7AB68DC3" w14:textId="7A435CF7" w:rsidR="004E5FF9" w:rsidRPr="00834FE8" w:rsidRDefault="004E5FF9" w:rsidP="004E5FF9">
            <w:pPr>
              <w:pStyle w:val="Tabletext"/>
              <w:framePr w:hSpace="0" w:wrap="auto" w:vAnchor="margin" w:hAnchor="text" w:yAlign="inline"/>
              <w:rPr>
                <w:spacing w:val="0"/>
              </w:rPr>
            </w:pPr>
            <w:r w:rsidRPr="00834FE8">
              <w:rPr>
                <w:spacing w:val="0"/>
              </w:rPr>
              <w:t>Without fully staffed Communications Team, will not be able to deliver</w:t>
            </w:r>
            <w:r w:rsidR="00594111" w:rsidRPr="00834FE8">
              <w:rPr>
                <w:spacing w:val="0"/>
              </w:rPr>
              <w:t xml:space="preserve"> the strategy</w:t>
            </w:r>
            <w:r w:rsidRPr="00834FE8">
              <w:rPr>
                <w:spacing w:val="0"/>
              </w:rPr>
              <w:t>.</w:t>
            </w:r>
            <w:r w:rsidR="005953A9">
              <w:rPr>
                <w:spacing w:val="0"/>
              </w:rPr>
              <w:t xml:space="preserve"> </w:t>
            </w:r>
          </w:p>
        </w:tc>
      </w:tr>
      <w:tr w:rsidR="00A80258" w:rsidRPr="00834FE8" w14:paraId="12246740" w14:textId="77777777" w:rsidTr="000C76C5">
        <w:trPr>
          <w:trHeight w:val="983"/>
        </w:trPr>
        <w:tc>
          <w:tcPr>
            <w:tcW w:w="1669" w:type="dxa"/>
          </w:tcPr>
          <w:p w14:paraId="19268955" w14:textId="4EF96E4C" w:rsidR="00A80258" w:rsidRPr="00834FE8" w:rsidRDefault="00E34705" w:rsidP="006E2B88">
            <w:pPr>
              <w:pStyle w:val="Tabletext"/>
              <w:framePr w:hSpace="0" w:wrap="auto" w:vAnchor="margin" w:hAnchor="text" w:yAlign="inline"/>
              <w:rPr>
                <w:spacing w:val="0"/>
              </w:rPr>
            </w:pPr>
            <w:r w:rsidRPr="00834FE8">
              <w:rPr>
                <w:spacing w:val="0"/>
              </w:rPr>
              <w:t xml:space="preserve">Joint working with NHS England, including </w:t>
            </w:r>
            <w:r w:rsidR="00EF7703" w:rsidRPr="00834FE8">
              <w:rPr>
                <w:spacing w:val="0"/>
              </w:rPr>
              <w:t>co-commission</w:t>
            </w:r>
            <w:r w:rsidR="005A6E2C" w:rsidRPr="00834FE8">
              <w:rPr>
                <w:spacing w:val="0"/>
              </w:rPr>
              <w:t>ing</w:t>
            </w:r>
            <w:r w:rsidR="00EF7703" w:rsidRPr="00834FE8">
              <w:rPr>
                <w:spacing w:val="0"/>
              </w:rPr>
              <w:t xml:space="preserve"> SARC </w:t>
            </w:r>
            <w:r w:rsidR="00F279ED" w:rsidRPr="00834FE8">
              <w:rPr>
                <w:spacing w:val="0"/>
              </w:rPr>
              <w:t xml:space="preserve">(sexual assault referral centre) </w:t>
            </w:r>
            <w:r w:rsidR="00EF7703" w:rsidRPr="00834FE8">
              <w:rPr>
                <w:spacing w:val="0"/>
              </w:rPr>
              <w:t>contract</w:t>
            </w:r>
            <w:r w:rsidR="003D45EE" w:rsidRPr="00834FE8">
              <w:rPr>
                <w:spacing w:val="0"/>
              </w:rPr>
              <w:t xml:space="preserve"> </w:t>
            </w:r>
          </w:p>
        </w:tc>
        <w:tc>
          <w:tcPr>
            <w:tcW w:w="1829" w:type="dxa"/>
          </w:tcPr>
          <w:p w14:paraId="766F3BB8" w14:textId="14DA0A8F" w:rsidR="00A80258" w:rsidRPr="00834FE8" w:rsidRDefault="0097678A" w:rsidP="006E2B88">
            <w:pPr>
              <w:pStyle w:val="Tabletext"/>
              <w:framePr w:hSpace="0" w:wrap="auto" w:vAnchor="margin" w:hAnchor="text" w:yAlign="inline"/>
              <w:rPr>
                <w:spacing w:val="0"/>
              </w:rPr>
            </w:pPr>
            <w:r w:rsidRPr="00834FE8">
              <w:rPr>
                <w:spacing w:val="0"/>
              </w:rPr>
              <w:t>Other- Commissioning Strategy</w:t>
            </w:r>
          </w:p>
        </w:tc>
        <w:tc>
          <w:tcPr>
            <w:tcW w:w="6236" w:type="dxa"/>
          </w:tcPr>
          <w:p w14:paraId="1F751355" w14:textId="44EAE906" w:rsidR="00A80258" w:rsidRPr="00834FE8" w:rsidRDefault="00E531DF" w:rsidP="006E2B88">
            <w:pPr>
              <w:pStyle w:val="Tabletext"/>
              <w:framePr w:hSpace="0" w:wrap="auto" w:vAnchor="margin" w:hAnchor="text" w:yAlign="inline"/>
              <w:rPr>
                <w:spacing w:val="0"/>
              </w:rPr>
            </w:pPr>
            <w:r w:rsidRPr="00834FE8">
              <w:rPr>
                <w:spacing w:val="0"/>
              </w:rPr>
              <w:t xml:space="preserve">The PCC has co-commissioned the </w:t>
            </w:r>
            <w:r w:rsidR="00DF6A61" w:rsidRPr="00834FE8">
              <w:rPr>
                <w:spacing w:val="0"/>
              </w:rPr>
              <w:t>SARC contract with NHS England</w:t>
            </w:r>
            <w:r w:rsidR="00396AD3" w:rsidRPr="00834FE8">
              <w:rPr>
                <w:spacing w:val="0"/>
              </w:rPr>
              <w:t xml:space="preserve"> for the first time.</w:t>
            </w:r>
            <w:r w:rsidR="005953A9">
              <w:rPr>
                <w:spacing w:val="0"/>
              </w:rPr>
              <w:t xml:space="preserve"> </w:t>
            </w:r>
            <w:r w:rsidR="00EA48FB" w:rsidRPr="00834FE8">
              <w:rPr>
                <w:spacing w:val="0"/>
              </w:rPr>
              <w:t>Previously there were</w:t>
            </w:r>
            <w:r w:rsidR="00653A70" w:rsidRPr="00834FE8">
              <w:rPr>
                <w:spacing w:val="0"/>
              </w:rPr>
              <w:t xml:space="preserve"> two separate contracts, one for the SARC and </w:t>
            </w:r>
            <w:r w:rsidR="00D03880" w:rsidRPr="00834FE8">
              <w:rPr>
                <w:spacing w:val="0"/>
              </w:rPr>
              <w:t>Therapeutic</w:t>
            </w:r>
            <w:r w:rsidR="00653A70" w:rsidRPr="00834FE8">
              <w:rPr>
                <w:spacing w:val="0"/>
              </w:rPr>
              <w:t xml:space="preserve"> work, one for community-based support, with notable overlap</w:t>
            </w:r>
            <w:r w:rsidR="006D589C" w:rsidRPr="00834FE8">
              <w:rPr>
                <w:spacing w:val="0"/>
              </w:rPr>
              <w:t>.</w:t>
            </w:r>
          </w:p>
          <w:p w14:paraId="6703B252" w14:textId="56F749AA" w:rsidR="006D589C" w:rsidRPr="00834FE8" w:rsidRDefault="006D589C" w:rsidP="006E2B88">
            <w:pPr>
              <w:pStyle w:val="Tabletext"/>
              <w:framePr w:hSpace="0" w:wrap="auto" w:vAnchor="margin" w:hAnchor="text" w:yAlign="inline"/>
              <w:rPr>
                <w:spacing w:val="0"/>
              </w:rPr>
            </w:pPr>
            <w:r w:rsidRPr="00834FE8">
              <w:rPr>
                <w:spacing w:val="0"/>
              </w:rPr>
              <w:t>The OPCC worked closely with NHS England and other wider stakeholders, and aligned funding streams, to commission one service.</w:t>
            </w:r>
          </w:p>
          <w:p w14:paraId="10480652" w14:textId="6127E8B1" w:rsidR="00396AD3" w:rsidRPr="00834FE8" w:rsidRDefault="00396AD3" w:rsidP="006E2B88">
            <w:pPr>
              <w:pStyle w:val="Tabletext"/>
              <w:framePr w:hSpace="0" w:wrap="auto" w:vAnchor="margin" w:hAnchor="text" w:yAlign="inline"/>
              <w:rPr>
                <w:spacing w:val="0"/>
              </w:rPr>
            </w:pPr>
            <w:r w:rsidRPr="00834FE8">
              <w:rPr>
                <w:spacing w:val="0"/>
              </w:rPr>
              <w:t xml:space="preserve">This has allowed a </w:t>
            </w:r>
            <w:r w:rsidR="005F0DB5" w:rsidRPr="00834FE8">
              <w:rPr>
                <w:spacing w:val="0"/>
              </w:rPr>
              <w:t>joined-up</w:t>
            </w:r>
            <w:r w:rsidRPr="00834FE8">
              <w:rPr>
                <w:spacing w:val="0"/>
              </w:rPr>
              <w:t xml:space="preserve"> approach</w:t>
            </w:r>
            <w:r w:rsidR="005A5025" w:rsidRPr="00834FE8">
              <w:rPr>
                <w:spacing w:val="0"/>
              </w:rPr>
              <w:t xml:space="preserve"> with </w:t>
            </w:r>
            <w:r w:rsidR="009416D1" w:rsidRPr="00834FE8">
              <w:rPr>
                <w:spacing w:val="0"/>
              </w:rPr>
              <w:t xml:space="preserve">the </w:t>
            </w:r>
            <w:r w:rsidR="00D03880" w:rsidRPr="00834FE8">
              <w:rPr>
                <w:spacing w:val="0"/>
              </w:rPr>
              <w:t>ISVA and Therapeutic</w:t>
            </w:r>
            <w:r w:rsidR="00A4056B" w:rsidRPr="00834FE8">
              <w:rPr>
                <w:spacing w:val="0"/>
              </w:rPr>
              <w:t xml:space="preserve"> Service delivered by KSAAS (which is commissioned by the OPCC) </w:t>
            </w:r>
            <w:r w:rsidR="00533911" w:rsidRPr="00834FE8">
              <w:rPr>
                <w:spacing w:val="0"/>
              </w:rPr>
              <w:t>to enable a co-ordinated referral pathway with the SARC</w:t>
            </w:r>
          </w:p>
          <w:p w14:paraId="24530ABD" w14:textId="726B9C33" w:rsidR="00DF6A61" w:rsidRPr="00834FE8" w:rsidRDefault="00D03880" w:rsidP="006E2B88">
            <w:pPr>
              <w:pStyle w:val="Tabletext"/>
              <w:framePr w:hSpace="0" w:wrap="auto" w:vAnchor="margin" w:hAnchor="text" w:yAlign="inline"/>
              <w:rPr>
                <w:spacing w:val="0"/>
              </w:rPr>
            </w:pPr>
            <w:r w:rsidRPr="00834FE8">
              <w:rPr>
                <w:spacing w:val="0"/>
              </w:rPr>
              <w:t xml:space="preserve">This has cemented a positive working relationship that can hopefully be built upon. </w:t>
            </w:r>
          </w:p>
        </w:tc>
        <w:tc>
          <w:tcPr>
            <w:tcW w:w="2608" w:type="dxa"/>
          </w:tcPr>
          <w:p w14:paraId="20CFC91B" w14:textId="77777777" w:rsidR="00A80258" w:rsidRPr="00834FE8" w:rsidRDefault="00A80258" w:rsidP="006E2B88">
            <w:pPr>
              <w:pStyle w:val="Tabletext"/>
              <w:framePr w:hSpace="0" w:wrap="auto" w:vAnchor="margin" w:hAnchor="text" w:yAlign="inline"/>
              <w:rPr>
                <w:spacing w:val="0"/>
              </w:rPr>
            </w:pPr>
          </w:p>
        </w:tc>
        <w:tc>
          <w:tcPr>
            <w:tcW w:w="2268" w:type="dxa"/>
            <w:gridSpan w:val="2"/>
          </w:tcPr>
          <w:p w14:paraId="5E62DF7B" w14:textId="2513E496" w:rsidR="00A80258" w:rsidRPr="00834FE8" w:rsidRDefault="00D03880" w:rsidP="006E2B88">
            <w:pPr>
              <w:pStyle w:val="Tabletext"/>
              <w:framePr w:hSpace="0" w:wrap="auto" w:vAnchor="margin" w:hAnchor="text" w:yAlign="inline"/>
              <w:rPr>
                <w:spacing w:val="0"/>
              </w:rPr>
            </w:pPr>
            <w:r w:rsidRPr="00834FE8">
              <w:rPr>
                <w:spacing w:val="0"/>
              </w:rPr>
              <w:t>Upcoming abolition of OPCCs and changes to Local Authorities threatens contract stability and provision of service</w:t>
            </w:r>
          </w:p>
        </w:tc>
      </w:tr>
      <w:tr w:rsidR="00835EC0" w:rsidRPr="00834FE8" w14:paraId="35626403" w14:textId="77777777" w:rsidTr="000C76C5">
        <w:trPr>
          <w:trHeight w:val="983"/>
        </w:trPr>
        <w:tc>
          <w:tcPr>
            <w:tcW w:w="1669" w:type="dxa"/>
          </w:tcPr>
          <w:p w14:paraId="447BF369" w14:textId="443D9BB5" w:rsidR="00835EC0" w:rsidRPr="00834FE8" w:rsidRDefault="00835EC0" w:rsidP="006E2B88">
            <w:pPr>
              <w:pStyle w:val="Tabletext"/>
              <w:framePr w:hSpace="0" w:wrap="auto" w:vAnchor="margin" w:hAnchor="text" w:yAlign="inline"/>
              <w:rPr>
                <w:spacing w:val="0"/>
              </w:rPr>
            </w:pPr>
            <w:r w:rsidRPr="00834FE8">
              <w:rPr>
                <w:spacing w:val="0"/>
              </w:rPr>
              <w:t>Work with KCC</w:t>
            </w:r>
            <w:r w:rsidR="0097678A" w:rsidRPr="00834FE8">
              <w:rPr>
                <w:spacing w:val="0"/>
              </w:rPr>
              <w:t xml:space="preserve"> (Kent County Council) and </w:t>
            </w:r>
          </w:p>
          <w:p w14:paraId="26955DA9" w14:textId="43DC67C5" w:rsidR="00835EC0" w:rsidRPr="00834FE8" w:rsidRDefault="003F5F12" w:rsidP="006E2B88">
            <w:pPr>
              <w:pStyle w:val="Tabletext"/>
              <w:framePr w:hSpace="0" w:wrap="auto" w:vAnchor="margin" w:hAnchor="text" w:yAlign="inline"/>
              <w:rPr>
                <w:spacing w:val="0"/>
              </w:rPr>
            </w:pPr>
            <w:r w:rsidRPr="00834FE8">
              <w:rPr>
                <w:spacing w:val="0"/>
              </w:rPr>
              <w:t>KIDAS</w:t>
            </w:r>
            <w:r w:rsidR="0097678A" w:rsidRPr="00834FE8">
              <w:rPr>
                <w:spacing w:val="0"/>
              </w:rPr>
              <w:t xml:space="preserve"> </w:t>
            </w:r>
            <w:r w:rsidR="00014612" w:rsidRPr="00834FE8">
              <w:rPr>
                <w:spacing w:val="0"/>
              </w:rPr>
              <w:t>(Kent Integrated Domestic Abuse Service)</w:t>
            </w:r>
          </w:p>
        </w:tc>
        <w:tc>
          <w:tcPr>
            <w:tcW w:w="1829" w:type="dxa"/>
          </w:tcPr>
          <w:p w14:paraId="4B36DC4F" w14:textId="1C4E8B3D" w:rsidR="00835EC0" w:rsidRPr="00834FE8" w:rsidRDefault="00014612" w:rsidP="006E2B88">
            <w:pPr>
              <w:pStyle w:val="Tabletext"/>
              <w:framePr w:hSpace="0" w:wrap="auto" w:vAnchor="margin" w:hAnchor="text" w:yAlign="inline"/>
              <w:rPr>
                <w:spacing w:val="0"/>
              </w:rPr>
            </w:pPr>
            <w:r w:rsidRPr="00834FE8">
              <w:rPr>
                <w:spacing w:val="0"/>
              </w:rPr>
              <w:t>Other- Commissioning Strategy</w:t>
            </w:r>
          </w:p>
        </w:tc>
        <w:tc>
          <w:tcPr>
            <w:tcW w:w="6236" w:type="dxa"/>
          </w:tcPr>
          <w:p w14:paraId="2BDA9A4A" w14:textId="5C35D4A6" w:rsidR="00835EC0" w:rsidRPr="00834FE8" w:rsidRDefault="00D03880" w:rsidP="006E2B88">
            <w:pPr>
              <w:pStyle w:val="Tabletext"/>
              <w:framePr w:hSpace="0" w:wrap="auto" w:vAnchor="margin" w:hAnchor="text" w:yAlign="inline"/>
              <w:rPr>
                <w:spacing w:val="0"/>
              </w:rPr>
            </w:pPr>
            <w:r w:rsidRPr="00834FE8">
              <w:rPr>
                <w:spacing w:val="0"/>
              </w:rPr>
              <w:t xml:space="preserve">The </w:t>
            </w:r>
            <w:r w:rsidR="00E10F9E" w:rsidRPr="00834FE8">
              <w:rPr>
                <w:spacing w:val="0"/>
              </w:rPr>
              <w:t>PCC</w:t>
            </w:r>
            <w:r w:rsidRPr="00834FE8">
              <w:rPr>
                <w:spacing w:val="0"/>
              </w:rPr>
              <w:t>’s Victim Support contract</w:t>
            </w:r>
            <w:r w:rsidR="00830148" w:rsidRPr="00834FE8">
              <w:rPr>
                <w:spacing w:val="0"/>
              </w:rPr>
              <w:t xml:space="preserve"> now </w:t>
            </w:r>
            <w:r w:rsidR="00E10F9E" w:rsidRPr="00834FE8">
              <w:rPr>
                <w:spacing w:val="0"/>
              </w:rPr>
              <w:t xml:space="preserve">provides initial referral and triage for KIDAS </w:t>
            </w:r>
            <w:r w:rsidR="00830148" w:rsidRPr="00834FE8">
              <w:rPr>
                <w:spacing w:val="0"/>
              </w:rPr>
              <w:t xml:space="preserve">service, which supports </w:t>
            </w:r>
            <w:r w:rsidR="009E3D6D" w:rsidRPr="00834FE8">
              <w:rPr>
                <w:spacing w:val="0"/>
              </w:rPr>
              <w:t>victims of domestic abuse.</w:t>
            </w:r>
            <w:r w:rsidR="005953A9">
              <w:rPr>
                <w:spacing w:val="0"/>
              </w:rPr>
              <w:t xml:space="preserve"> </w:t>
            </w:r>
          </w:p>
          <w:p w14:paraId="0417CD05" w14:textId="69435DED" w:rsidR="00E10F9E" w:rsidRPr="00834FE8" w:rsidRDefault="009E3D6D" w:rsidP="006E2B88">
            <w:pPr>
              <w:pStyle w:val="Tabletext"/>
              <w:framePr w:hSpace="0" w:wrap="auto" w:vAnchor="margin" w:hAnchor="text" w:yAlign="inline"/>
              <w:rPr>
                <w:spacing w:val="0"/>
              </w:rPr>
            </w:pPr>
            <w:r w:rsidRPr="00834FE8">
              <w:rPr>
                <w:spacing w:val="0"/>
              </w:rPr>
              <w:t>This has created a c</w:t>
            </w:r>
            <w:r w:rsidR="00E10F9E" w:rsidRPr="00834FE8">
              <w:rPr>
                <w:spacing w:val="0"/>
              </w:rPr>
              <w:t xml:space="preserve">onsistent </w:t>
            </w:r>
            <w:r w:rsidRPr="00834FE8">
              <w:rPr>
                <w:spacing w:val="0"/>
              </w:rPr>
              <w:t>‘</w:t>
            </w:r>
            <w:r w:rsidR="00E10F9E" w:rsidRPr="00834FE8">
              <w:rPr>
                <w:spacing w:val="0"/>
              </w:rPr>
              <w:t>front door</w:t>
            </w:r>
            <w:r w:rsidRPr="00834FE8">
              <w:rPr>
                <w:spacing w:val="0"/>
              </w:rPr>
              <w:t>’ and established pathway</w:t>
            </w:r>
            <w:r w:rsidR="00E10F9E" w:rsidRPr="00834FE8">
              <w:rPr>
                <w:spacing w:val="0"/>
              </w:rPr>
              <w:t xml:space="preserve"> for abuse victims in Kent</w:t>
            </w:r>
          </w:p>
          <w:p w14:paraId="12AE9A38" w14:textId="5DC1C1F8" w:rsidR="00E10F9E" w:rsidRPr="00834FE8" w:rsidRDefault="0005059C" w:rsidP="006E2B88">
            <w:pPr>
              <w:pStyle w:val="Tabletext"/>
              <w:framePr w:hSpace="0" w:wrap="auto" w:vAnchor="margin" w:hAnchor="text" w:yAlign="inline"/>
              <w:rPr>
                <w:spacing w:val="0"/>
              </w:rPr>
            </w:pPr>
            <w:r w:rsidRPr="00834FE8">
              <w:rPr>
                <w:spacing w:val="0"/>
              </w:rPr>
              <w:t>In addition, there is an e</w:t>
            </w:r>
            <w:r w:rsidR="00E10F9E" w:rsidRPr="00834FE8">
              <w:rPr>
                <w:spacing w:val="0"/>
              </w:rPr>
              <w:t xml:space="preserve">nhanced offer </w:t>
            </w:r>
            <w:r w:rsidRPr="00834FE8">
              <w:rPr>
                <w:spacing w:val="0"/>
              </w:rPr>
              <w:t xml:space="preserve">for victims, </w:t>
            </w:r>
            <w:r w:rsidR="00E10F9E" w:rsidRPr="00834FE8">
              <w:rPr>
                <w:spacing w:val="0"/>
              </w:rPr>
              <w:t>with V</w:t>
            </w:r>
            <w:r w:rsidRPr="00834FE8">
              <w:rPr>
                <w:spacing w:val="0"/>
              </w:rPr>
              <w:t>ictim Support</w:t>
            </w:r>
            <w:r w:rsidR="00E10F9E" w:rsidRPr="00834FE8">
              <w:rPr>
                <w:spacing w:val="0"/>
              </w:rPr>
              <w:t xml:space="preserve"> providing</w:t>
            </w:r>
            <w:r w:rsidRPr="00834FE8">
              <w:rPr>
                <w:spacing w:val="0"/>
              </w:rPr>
              <w:t xml:space="preserve"> a</w:t>
            </w:r>
            <w:r w:rsidR="00E10F9E" w:rsidRPr="00834FE8">
              <w:rPr>
                <w:spacing w:val="0"/>
              </w:rPr>
              <w:t xml:space="preserve"> sanctuary point of contact</w:t>
            </w:r>
            <w:r w:rsidRPr="00834FE8">
              <w:rPr>
                <w:spacing w:val="0"/>
              </w:rPr>
              <w:t>.</w:t>
            </w:r>
          </w:p>
        </w:tc>
        <w:tc>
          <w:tcPr>
            <w:tcW w:w="2608" w:type="dxa"/>
          </w:tcPr>
          <w:p w14:paraId="4F5F0FD0" w14:textId="77777777" w:rsidR="00835EC0" w:rsidRPr="00834FE8" w:rsidRDefault="00835EC0" w:rsidP="006E2B88">
            <w:pPr>
              <w:pStyle w:val="Tabletext"/>
              <w:framePr w:hSpace="0" w:wrap="auto" w:vAnchor="margin" w:hAnchor="text" w:yAlign="inline"/>
              <w:rPr>
                <w:spacing w:val="0"/>
              </w:rPr>
            </w:pPr>
          </w:p>
        </w:tc>
        <w:tc>
          <w:tcPr>
            <w:tcW w:w="2268" w:type="dxa"/>
            <w:gridSpan w:val="2"/>
          </w:tcPr>
          <w:p w14:paraId="0CEE849E" w14:textId="7C552510" w:rsidR="00835EC0" w:rsidRPr="00834FE8" w:rsidRDefault="003855F2" w:rsidP="006E2B88">
            <w:pPr>
              <w:pStyle w:val="Tabletext"/>
              <w:framePr w:hSpace="0" w:wrap="auto" w:vAnchor="margin" w:hAnchor="text" w:yAlign="inline"/>
              <w:rPr>
                <w:spacing w:val="0"/>
              </w:rPr>
            </w:pPr>
            <w:r w:rsidRPr="00834FE8">
              <w:rPr>
                <w:spacing w:val="0"/>
              </w:rPr>
              <w:t xml:space="preserve">Upcoming </w:t>
            </w:r>
            <w:r w:rsidR="00D03880" w:rsidRPr="00834FE8">
              <w:rPr>
                <w:spacing w:val="0"/>
              </w:rPr>
              <w:t>abolition of</w:t>
            </w:r>
            <w:r w:rsidRPr="00834FE8">
              <w:rPr>
                <w:spacing w:val="0"/>
              </w:rPr>
              <w:t xml:space="preserve"> OPCCs and </w:t>
            </w:r>
            <w:r w:rsidR="00D03880" w:rsidRPr="00834FE8">
              <w:rPr>
                <w:spacing w:val="0"/>
              </w:rPr>
              <w:t>changes to Local Authorities</w:t>
            </w:r>
            <w:r w:rsidRPr="00834FE8">
              <w:rPr>
                <w:spacing w:val="0"/>
              </w:rPr>
              <w:t xml:space="preserve"> threatens contract</w:t>
            </w:r>
            <w:r w:rsidR="00D03880" w:rsidRPr="00834FE8">
              <w:rPr>
                <w:spacing w:val="0"/>
              </w:rPr>
              <w:t xml:space="preserve"> stability and provision of service</w:t>
            </w:r>
          </w:p>
        </w:tc>
      </w:tr>
      <w:tr w:rsidR="00A222FB" w:rsidRPr="00834FE8" w14:paraId="04DABF2B" w14:textId="77777777" w:rsidTr="000C76C5">
        <w:trPr>
          <w:trHeight w:val="983"/>
        </w:trPr>
        <w:tc>
          <w:tcPr>
            <w:tcW w:w="1669" w:type="dxa"/>
          </w:tcPr>
          <w:p w14:paraId="12394757" w14:textId="4A042EAC" w:rsidR="00A222FB" w:rsidRPr="00834FE8" w:rsidRDefault="00A222FB" w:rsidP="006E2B88">
            <w:pPr>
              <w:pStyle w:val="Tabletext"/>
              <w:framePr w:hSpace="0" w:wrap="auto" w:vAnchor="margin" w:hAnchor="text" w:yAlign="inline"/>
              <w:rPr>
                <w:spacing w:val="0"/>
              </w:rPr>
            </w:pPr>
            <w:r w:rsidRPr="00834FE8">
              <w:rPr>
                <w:spacing w:val="0"/>
              </w:rPr>
              <w:t xml:space="preserve">IOPC </w:t>
            </w:r>
            <w:r w:rsidR="009E53AE" w:rsidRPr="00834FE8">
              <w:rPr>
                <w:spacing w:val="0"/>
              </w:rPr>
              <w:t xml:space="preserve">(Independent Office for Police Conduct) </w:t>
            </w:r>
            <w:r w:rsidRPr="00834FE8">
              <w:rPr>
                <w:spacing w:val="0"/>
              </w:rPr>
              <w:t>engagement</w:t>
            </w:r>
            <w:r w:rsidR="009E53AE" w:rsidRPr="00834FE8">
              <w:rPr>
                <w:spacing w:val="0"/>
              </w:rPr>
              <w:t xml:space="preserve"> </w:t>
            </w:r>
            <w:r w:rsidRPr="00834FE8">
              <w:rPr>
                <w:spacing w:val="0"/>
              </w:rPr>
              <w:t>event</w:t>
            </w:r>
            <w:r w:rsidR="00C53896" w:rsidRPr="00834FE8">
              <w:rPr>
                <w:spacing w:val="0"/>
              </w:rPr>
              <w:t>s</w:t>
            </w:r>
          </w:p>
        </w:tc>
        <w:tc>
          <w:tcPr>
            <w:tcW w:w="1829" w:type="dxa"/>
          </w:tcPr>
          <w:p w14:paraId="3A7296C5" w14:textId="2165AA1F" w:rsidR="00A222FB" w:rsidRPr="00834FE8" w:rsidRDefault="0062291D" w:rsidP="006E2B88">
            <w:pPr>
              <w:pStyle w:val="Tabletext"/>
              <w:framePr w:hSpace="0" w:wrap="auto" w:vAnchor="margin" w:hAnchor="text" w:yAlign="inline"/>
              <w:rPr>
                <w:spacing w:val="0"/>
              </w:rPr>
            </w:pPr>
            <w:r w:rsidRPr="00834FE8">
              <w:rPr>
                <w:spacing w:val="0"/>
              </w:rPr>
              <w:t>Police and Crime Plan</w:t>
            </w:r>
          </w:p>
        </w:tc>
        <w:tc>
          <w:tcPr>
            <w:tcW w:w="6236" w:type="dxa"/>
          </w:tcPr>
          <w:p w14:paraId="78A97AAB" w14:textId="6401B965" w:rsidR="00A222FB" w:rsidRPr="00834FE8" w:rsidRDefault="00D66AE6" w:rsidP="006E2B88">
            <w:pPr>
              <w:pStyle w:val="Tabletext"/>
              <w:framePr w:hSpace="0" w:wrap="auto" w:vAnchor="margin" w:hAnchor="text" w:yAlign="inline"/>
              <w:rPr>
                <w:spacing w:val="0"/>
              </w:rPr>
            </w:pPr>
            <w:r w:rsidRPr="00834FE8">
              <w:rPr>
                <w:spacing w:val="0"/>
              </w:rPr>
              <w:t xml:space="preserve">Joint engagement between the IOPC, Kent Police (both PSD and </w:t>
            </w:r>
            <w:r w:rsidR="00C04147" w:rsidRPr="00834FE8">
              <w:rPr>
                <w:spacing w:val="0"/>
              </w:rPr>
              <w:t>Rape/DA section) and OPCC (both complaints and commissioning) with a range of commissioned services.</w:t>
            </w:r>
            <w:r w:rsidR="005953A9">
              <w:rPr>
                <w:spacing w:val="0"/>
              </w:rPr>
              <w:t xml:space="preserve"> </w:t>
            </w:r>
            <w:r w:rsidR="00C04147" w:rsidRPr="00834FE8">
              <w:rPr>
                <w:spacing w:val="0"/>
              </w:rPr>
              <w:t>Kent was the pathfinder for this event.</w:t>
            </w:r>
          </w:p>
          <w:p w14:paraId="25FEC539" w14:textId="24745BE3" w:rsidR="00CD1470" w:rsidRPr="00834FE8" w:rsidRDefault="00CD1470" w:rsidP="006E2B88">
            <w:pPr>
              <w:pStyle w:val="Tabletext"/>
              <w:framePr w:hSpace="0" w:wrap="auto" w:vAnchor="margin" w:hAnchor="text" w:yAlign="inline"/>
              <w:rPr>
                <w:spacing w:val="0"/>
              </w:rPr>
            </w:pPr>
            <w:r w:rsidRPr="00834FE8">
              <w:rPr>
                <w:spacing w:val="0"/>
              </w:rPr>
              <w:t>Two events held, in September and April</w:t>
            </w:r>
          </w:p>
          <w:p w14:paraId="3A4464D8" w14:textId="70F01A0E" w:rsidR="00C04147" w:rsidRPr="00834FE8" w:rsidRDefault="00A31995" w:rsidP="006E2B88">
            <w:pPr>
              <w:pStyle w:val="Tabletext"/>
              <w:framePr w:hSpace="0" w:wrap="auto" w:vAnchor="margin" w:hAnchor="text" w:yAlign="inline"/>
              <w:rPr>
                <w:spacing w:val="0"/>
              </w:rPr>
            </w:pPr>
            <w:r w:rsidRPr="00834FE8">
              <w:rPr>
                <w:spacing w:val="0"/>
              </w:rPr>
              <w:t xml:space="preserve">Two-way process: highlighted to services how they could better access the complaints process, and hearing services’ views on how engagement with both the police generally and complaints specifically could be </w:t>
            </w:r>
            <w:r w:rsidR="00C27691" w:rsidRPr="00834FE8">
              <w:rPr>
                <w:spacing w:val="0"/>
              </w:rPr>
              <w:t>improved.</w:t>
            </w:r>
            <w:r w:rsidR="005953A9">
              <w:rPr>
                <w:spacing w:val="0"/>
              </w:rPr>
              <w:t xml:space="preserve"> </w:t>
            </w:r>
          </w:p>
          <w:p w14:paraId="590EC5F4" w14:textId="7F968EF1" w:rsidR="00C04147" w:rsidRPr="00834FE8" w:rsidRDefault="00ED73E5" w:rsidP="006E2B88">
            <w:pPr>
              <w:pStyle w:val="Tabletext"/>
              <w:framePr w:hSpace="0" w:wrap="auto" w:vAnchor="margin" w:hAnchor="text" w:yAlign="inline"/>
              <w:rPr>
                <w:spacing w:val="0"/>
              </w:rPr>
            </w:pPr>
            <w:r w:rsidRPr="00834FE8">
              <w:rPr>
                <w:spacing w:val="0"/>
              </w:rPr>
              <w:t xml:space="preserve">Feedback from attendees </w:t>
            </w:r>
            <w:r w:rsidR="00447AF8" w:rsidRPr="00834FE8">
              <w:rPr>
                <w:spacing w:val="0"/>
              </w:rPr>
              <w:t xml:space="preserve">was </w:t>
            </w:r>
            <w:r w:rsidRPr="00834FE8">
              <w:rPr>
                <w:spacing w:val="0"/>
              </w:rPr>
              <w:t>extremely positive</w:t>
            </w:r>
            <w:r w:rsidR="00E42670" w:rsidRPr="00834FE8">
              <w:rPr>
                <w:spacing w:val="0"/>
              </w:rPr>
              <w:t xml:space="preserve">; allowed some barriers to be broken down, and gave </w:t>
            </w:r>
            <w:r w:rsidR="00447AF8" w:rsidRPr="00834FE8">
              <w:rPr>
                <w:spacing w:val="0"/>
              </w:rPr>
              <w:t xml:space="preserve">the </w:t>
            </w:r>
            <w:r w:rsidR="00E42670" w:rsidRPr="00834FE8">
              <w:rPr>
                <w:spacing w:val="0"/>
              </w:rPr>
              <w:t>chance to highlight positive working relationships across media</w:t>
            </w:r>
            <w:r w:rsidR="00447AF8" w:rsidRPr="00834FE8">
              <w:rPr>
                <w:spacing w:val="0"/>
              </w:rPr>
              <w:t>, such as LinkedIn</w:t>
            </w:r>
            <w:r w:rsidR="00E42670" w:rsidRPr="00834FE8">
              <w:rPr>
                <w:spacing w:val="0"/>
              </w:rPr>
              <w:t>.</w:t>
            </w:r>
            <w:r w:rsidR="005953A9">
              <w:rPr>
                <w:spacing w:val="0"/>
              </w:rPr>
              <w:t xml:space="preserve"> </w:t>
            </w:r>
          </w:p>
        </w:tc>
        <w:tc>
          <w:tcPr>
            <w:tcW w:w="2608" w:type="dxa"/>
          </w:tcPr>
          <w:p w14:paraId="26CCF8EF" w14:textId="2AB9F927" w:rsidR="00A222FB" w:rsidRPr="00834FE8" w:rsidRDefault="00DA560A" w:rsidP="006E2B88">
            <w:pPr>
              <w:pStyle w:val="Tabletext"/>
              <w:framePr w:hSpace="0" w:wrap="auto" w:vAnchor="margin" w:hAnchor="text" w:yAlign="inline"/>
              <w:rPr>
                <w:spacing w:val="0"/>
              </w:rPr>
            </w:pPr>
            <w:r w:rsidRPr="00834FE8">
              <w:rPr>
                <w:spacing w:val="0"/>
              </w:rPr>
              <w:t>Need to ensure that learning from the event is captured, and acted upon by the relevant stakeholders</w:t>
            </w:r>
          </w:p>
        </w:tc>
        <w:tc>
          <w:tcPr>
            <w:tcW w:w="2268" w:type="dxa"/>
            <w:gridSpan w:val="2"/>
          </w:tcPr>
          <w:p w14:paraId="2076B3C1" w14:textId="77777777" w:rsidR="00A222FB" w:rsidRPr="00834FE8" w:rsidRDefault="00A222FB" w:rsidP="006E2B88">
            <w:pPr>
              <w:pStyle w:val="Tabletext"/>
              <w:framePr w:hSpace="0" w:wrap="auto" w:vAnchor="margin" w:hAnchor="text" w:yAlign="inline"/>
              <w:rPr>
                <w:spacing w:val="0"/>
              </w:rPr>
            </w:pPr>
          </w:p>
        </w:tc>
      </w:tr>
      <w:tr w:rsidR="001640CF" w:rsidRPr="00834FE8" w14:paraId="34B63B57" w14:textId="77777777" w:rsidTr="000C76C5">
        <w:trPr>
          <w:trHeight w:val="983"/>
        </w:trPr>
        <w:tc>
          <w:tcPr>
            <w:tcW w:w="1669" w:type="dxa"/>
          </w:tcPr>
          <w:p w14:paraId="364EEAEE" w14:textId="1C85A27B" w:rsidR="001640CF" w:rsidRPr="00834FE8" w:rsidRDefault="001536FC" w:rsidP="006E2B88">
            <w:pPr>
              <w:pStyle w:val="Tabletext"/>
              <w:framePr w:hSpace="0" w:wrap="auto" w:vAnchor="margin" w:hAnchor="text" w:yAlign="inline"/>
              <w:rPr>
                <w:spacing w:val="0"/>
              </w:rPr>
            </w:pPr>
            <w:r w:rsidRPr="00834FE8">
              <w:rPr>
                <w:spacing w:val="0"/>
              </w:rPr>
              <w:t>AA</w:t>
            </w:r>
            <w:r w:rsidR="009E53AE" w:rsidRPr="00834FE8">
              <w:rPr>
                <w:spacing w:val="0"/>
              </w:rPr>
              <w:t xml:space="preserve"> (Appropriate Adult)</w:t>
            </w:r>
            <w:r w:rsidRPr="00834FE8">
              <w:rPr>
                <w:spacing w:val="0"/>
              </w:rPr>
              <w:t xml:space="preserve"> re-commissioning</w:t>
            </w:r>
          </w:p>
        </w:tc>
        <w:tc>
          <w:tcPr>
            <w:tcW w:w="1829" w:type="dxa"/>
          </w:tcPr>
          <w:p w14:paraId="0C977E23" w14:textId="5CF68D71" w:rsidR="001640CF" w:rsidRPr="00834FE8" w:rsidRDefault="0062291D" w:rsidP="006E2B88">
            <w:pPr>
              <w:pStyle w:val="Tabletext"/>
              <w:framePr w:hSpace="0" w:wrap="auto" w:vAnchor="margin" w:hAnchor="text" w:yAlign="inline"/>
              <w:rPr>
                <w:spacing w:val="0"/>
              </w:rPr>
            </w:pPr>
            <w:r w:rsidRPr="00834FE8">
              <w:rPr>
                <w:spacing w:val="0"/>
              </w:rPr>
              <w:t>Other- Commissioning Strategy</w:t>
            </w:r>
          </w:p>
        </w:tc>
        <w:tc>
          <w:tcPr>
            <w:tcW w:w="6236" w:type="dxa"/>
          </w:tcPr>
          <w:p w14:paraId="2F0D5456" w14:textId="77777777" w:rsidR="006F5708" w:rsidRPr="000C76C5" w:rsidRDefault="006F5708" w:rsidP="006E2B88">
            <w:pPr>
              <w:pStyle w:val="Tabletext"/>
              <w:framePr w:hSpace="0" w:wrap="auto" w:vAnchor="margin" w:hAnchor="text" w:yAlign="inline"/>
              <w:rPr>
                <w:spacing w:val="-4"/>
              </w:rPr>
            </w:pPr>
            <w:r w:rsidRPr="000C76C5">
              <w:rPr>
                <w:spacing w:val="-4"/>
              </w:rPr>
              <w:t>New contract to be awarded for Appropriate Adult Scheme.</w:t>
            </w:r>
          </w:p>
          <w:p w14:paraId="1E77E5B6" w14:textId="77777777" w:rsidR="008C7539" w:rsidRPr="000C76C5" w:rsidRDefault="008C7539" w:rsidP="006E2B88">
            <w:pPr>
              <w:pStyle w:val="Tabletext"/>
              <w:framePr w:hSpace="0" w:wrap="auto" w:vAnchor="margin" w:hAnchor="text" w:yAlign="inline"/>
              <w:rPr>
                <w:spacing w:val="-4"/>
              </w:rPr>
            </w:pPr>
            <w:r w:rsidRPr="000C76C5">
              <w:rPr>
                <w:spacing w:val="-4"/>
              </w:rPr>
              <w:t>Significant m</w:t>
            </w:r>
            <w:r w:rsidR="001536FC" w:rsidRPr="000C76C5">
              <w:rPr>
                <w:spacing w:val="-4"/>
              </w:rPr>
              <w:t>arket engagement process</w:t>
            </w:r>
            <w:r w:rsidRPr="000C76C5">
              <w:rPr>
                <w:spacing w:val="-4"/>
              </w:rPr>
              <w:t>, with extensive information provided.</w:t>
            </w:r>
          </w:p>
          <w:p w14:paraId="1BDADA00" w14:textId="77777777" w:rsidR="001A25EE" w:rsidRPr="000C76C5" w:rsidRDefault="002E5D9B" w:rsidP="006E2B88">
            <w:pPr>
              <w:pStyle w:val="Tabletext"/>
              <w:framePr w:hSpace="0" w:wrap="auto" w:vAnchor="margin" w:hAnchor="text" w:yAlign="inline"/>
              <w:rPr>
                <w:spacing w:val="-4"/>
              </w:rPr>
            </w:pPr>
            <w:r w:rsidRPr="000C76C5">
              <w:rPr>
                <w:spacing w:val="-4"/>
              </w:rPr>
              <w:t>Engagement with Kent Police to ensure that specifications were up to date and reflected current service need</w:t>
            </w:r>
            <w:r w:rsidR="001A25EE" w:rsidRPr="000C76C5">
              <w:rPr>
                <w:spacing w:val="-4"/>
              </w:rPr>
              <w:t>s.</w:t>
            </w:r>
          </w:p>
          <w:p w14:paraId="2ACEB7BE" w14:textId="0BAC6D6F" w:rsidR="001640CF" w:rsidRPr="00834FE8" w:rsidRDefault="001A25EE" w:rsidP="006E2B88">
            <w:pPr>
              <w:pStyle w:val="Tabletext"/>
              <w:framePr w:hSpace="0" w:wrap="auto" w:vAnchor="margin" w:hAnchor="text" w:yAlign="inline"/>
              <w:rPr>
                <w:spacing w:val="0"/>
              </w:rPr>
            </w:pPr>
            <w:r w:rsidRPr="000C76C5">
              <w:rPr>
                <w:spacing w:val="-4"/>
              </w:rPr>
              <w:t xml:space="preserve">Engaged with a </w:t>
            </w:r>
            <w:r w:rsidR="001536FC" w:rsidRPr="000C76C5">
              <w:rPr>
                <w:spacing w:val="-4"/>
              </w:rPr>
              <w:t>wide range of potential service providers</w:t>
            </w:r>
            <w:r w:rsidRPr="000C76C5">
              <w:rPr>
                <w:spacing w:val="-4"/>
              </w:rPr>
              <w:t xml:space="preserve"> through the process.</w:t>
            </w:r>
            <w:r w:rsidRPr="00834FE8">
              <w:rPr>
                <w:spacing w:val="0"/>
              </w:rPr>
              <w:t xml:space="preserve"> </w:t>
            </w:r>
          </w:p>
        </w:tc>
        <w:tc>
          <w:tcPr>
            <w:tcW w:w="2608" w:type="dxa"/>
          </w:tcPr>
          <w:p w14:paraId="576BC23F" w14:textId="77777777" w:rsidR="001640CF" w:rsidRPr="00834FE8" w:rsidRDefault="001640CF" w:rsidP="006E2B88">
            <w:pPr>
              <w:pStyle w:val="Tabletext"/>
              <w:framePr w:hSpace="0" w:wrap="auto" w:vAnchor="margin" w:hAnchor="text" w:yAlign="inline"/>
              <w:rPr>
                <w:spacing w:val="0"/>
              </w:rPr>
            </w:pPr>
          </w:p>
        </w:tc>
        <w:tc>
          <w:tcPr>
            <w:tcW w:w="2268" w:type="dxa"/>
            <w:gridSpan w:val="2"/>
          </w:tcPr>
          <w:p w14:paraId="5C07DD00" w14:textId="77777777" w:rsidR="001640CF" w:rsidRPr="00834FE8" w:rsidRDefault="001640CF" w:rsidP="006E2B88">
            <w:pPr>
              <w:pStyle w:val="Tabletext"/>
              <w:framePr w:hSpace="0" w:wrap="auto" w:vAnchor="margin" w:hAnchor="text" w:yAlign="inline"/>
              <w:rPr>
                <w:spacing w:val="0"/>
              </w:rPr>
            </w:pPr>
          </w:p>
        </w:tc>
      </w:tr>
      <w:tr w:rsidR="00F17498" w:rsidRPr="00834FE8" w14:paraId="0121EE4C" w14:textId="77777777" w:rsidTr="000C76C5">
        <w:trPr>
          <w:trHeight w:val="983"/>
        </w:trPr>
        <w:tc>
          <w:tcPr>
            <w:tcW w:w="1669" w:type="dxa"/>
          </w:tcPr>
          <w:p w14:paraId="4213D0BC" w14:textId="613DB09A" w:rsidR="00F17498" w:rsidRPr="00834FE8" w:rsidRDefault="00F17498" w:rsidP="00F17498">
            <w:pPr>
              <w:pStyle w:val="Tabletext"/>
              <w:framePr w:hSpace="0" w:wrap="auto" w:vAnchor="margin" w:hAnchor="text" w:yAlign="inline"/>
              <w:rPr>
                <w:spacing w:val="0"/>
              </w:rPr>
            </w:pPr>
            <w:r w:rsidRPr="00834FE8">
              <w:rPr>
                <w:spacing w:val="0"/>
              </w:rPr>
              <w:t>KCJB Victim and Witness Sub-Group established</w:t>
            </w:r>
          </w:p>
        </w:tc>
        <w:tc>
          <w:tcPr>
            <w:tcW w:w="1829" w:type="dxa"/>
          </w:tcPr>
          <w:p w14:paraId="0D3B98FD" w14:textId="4C0C1EF6" w:rsidR="00F17498" w:rsidRPr="00834FE8" w:rsidRDefault="0062291D" w:rsidP="00F17498">
            <w:pPr>
              <w:pStyle w:val="Tabletext"/>
              <w:framePr w:hSpace="0" w:wrap="auto" w:vAnchor="margin" w:hAnchor="text" w:yAlign="inline"/>
              <w:rPr>
                <w:spacing w:val="0"/>
              </w:rPr>
            </w:pPr>
            <w:r w:rsidRPr="00834FE8">
              <w:rPr>
                <w:spacing w:val="0"/>
              </w:rPr>
              <w:t>Police and Crime Plan</w:t>
            </w:r>
          </w:p>
        </w:tc>
        <w:tc>
          <w:tcPr>
            <w:tcW w:w="6236" w:type="dxa"/>
          </w:tcPr>
          <w:p w14:paraId="02CD824A" w14:textId="48F2A71A" w:rsidR="00F17498" w:rsidRPr="00834FE8" w:rsidRDefault="00F17498" w:rsidP="00F17498">
            <w:pPr>
              <w:pStyle w:val="Tabletext"/>
              <w:framePr w:hSpace="0" w:wrap="auto" w:vAnchor="margin" w:hAnchor="text" w:yAlign="inline"/>
              <w:rPr>
                <w:spacing w:val="0"/>
              </w:rPr>
            </w:pPr>
            <w:r w:rsidRPr="00834FE8">
              <w:rPr>
                <w:spacing w:val="0"/>
              </w:rPr>
              <w:t xml:space="preserve">New sub-group of KCJB established with aim </w:t>
            </w:r>
            <w:commentRangeStart w:id="4"/>
            <w:r w:rsidRPr="00834FE8">
              <w:rPr>
                <w:spacing w:val="0"/>
              </w:rPr>
              <w:t>of</w:t>
            </w:r>
            <w:commentRangeEnd w:id="4"/>
            <w:r w:rsidRPr="00834FE8">
              <w:rPr>
                <w:rStyle w:val="CommentReference"/>
                <w:spacing w:val="0"/>
                <w:sz w:val="18"/>
                <w:szCs w:val="18"/>
              </w:rPr>
              <w:commentReference w:id="4"/>
            </w:r>
            <w:r w:rsidRPr="00834FE8">
              <w:rPr>
                <w:spacing w:val="0"/>
              </w:rPr>
              <w:t xml:space="preserve"> </w:t>
            </w:r>
            <w:r w:rsidR="00D0706C" w:rsidRPr="00834FE8">
              <w:rPr>
                <w:spacing w:val="0"/>
              </w:rPr>
              <w:t>improving processes and procedures across the CJS to deliver an improved experience for victims and witnesses where they feel supported, engaged and informed.</w:t>
            </w:r>
          </w:p>
          <w:p w14:paraId="210BF2E7" w14:textId="69405D1B" w:rsidR="00F17498" w:rsidRPr="00834FE8" w:rsidRDefault="00243090" w:rsidP="00F17498">
            <w:pPr>
              <w:pStyle w:val="Tabletext"/>
              <w:framePr w:hSpace="0" w:wrap="auto" w:vAnchor="margin" w:hAnchor="text" w:yAlign="inline"/>
              <w:rPr>
                <w:spacing w:val="0"/>
              </w:rPr>
            </w:pPr>
            <w:r w:rsidRPr="00834FE8">
              <w:rPr>
                <w:spacing w:val="0"/>
              </w:rPr>
              <w:t>I</w:t>
            </w:r>
            <w:r w:rsidR="001A25EE" w:rsidRPr="00834FE8">
              <w:rPr>
                <w:spacing w:val="0"/>
              </w:rPr>
              <w:t>ncludes representative</w:t>
            </w:r>
            <w:r w:rsidR="00A22745" w:rsidRPr="00834FE8">
              <w:rPr>
                <w:spacing w:val="0"/>
              </w:rPr>
              <w:t>s</w:t>
            </w:r>
            <w:r w:rsidR="001A25EE" w:rsidRPr="00834FE8">
              <w:rPr>
                <w:spacing w:val="0"/>
              </w:rPr>
              <w:t xml:space="preserve"> from a range of </w:t>
            </w:r>
            <w:r w:rsidR="00F17498" w:rsidRPr="00834FE8">
              <w:rPr>
                <w:spacing w:val="0"/>
              </w:rPr>
              <w:t>partner agencies and commissioned victims</w:t>
            </w:r>
            <w:r w:rsidR="00942C48">
              <w:rPr>
                <w:spacing w:val="0"/>
              </w:rPr>
              <w:t>’</w:t>
            </w:r>
            <w:r w:rsidR="00F17498" w:rsidRPr="00834FE8">
              <w:rPr>
                <w:spacing w:val="0"/>
              </w:rPr>
              <w:t xml:space="preserve"> services</w:t>
            </w:r>
          </w:p>
          <w:p w14:paraId="4268C979" w14:textId="0B5AF073" w:rsidR="00F17498" w:rsidRPr="00834FE8" w:rsidRDefault="00256E64" w:rsidP="00F17498">
            <w:pPr>
              <w:pStyle w:val="Tabletext"/>
              <w:framePr w:hSpace="0" w:wrap="auto" w:vAnchor="margin" w:hAnchor="text" w:yAlign="inline"/>
              <w:rPr>
                <w:spacing w:val="0"/>
              </w:rPr>
            </w:pPr>
            <w:r w:rsidRPr="00834FE8">
              <w:rPr>
                <w:spacing w:val="0"/>
              </w:rPr>
              <w:t>Enhanced approach e</w:t>
            </w:r>
            <w:r w:rsidR="00F17498" w:rsidRPr="00834FE8">
              <w:rPr>
                <w:spacing w:val="0"/>
              </w:rPr>
              <w:t xml:space="preserve">nsures </w:t>
            </w:r>
            <w:r w:rsidRPr="00834FE8">
              <w:rPr>
                <w:spacing w:val="0"/>
              </w:rPr>
              <w:t>that the victims’ voice is at the heart of the CJS, and any decision making within it.</w:t>
            </w:r>
            <w:r w:rsidR="005953A9">
              <w:rPr>
                <w:spacing w:val="0"/>
              </w:rPr>
              <w:t xml:space="preserve"> </w:t>
            </w:r>
          </w:p>
        </w:tc>
        <w:tc>
          <w:tcPr>
            <w:tcW w:w="2608" w:type="dxa"/>
          </w:tcPr>
          <w:p w14:paraId="4905FD33" w14:textId="77777777" w:rsidR="00F17498" w:rsidRPr="00834FE8" w:rsidRDefault="00F17498" w:rsidP="00F17498">
            <w:pPr>
              <w:pStyle w:val="Tabletext"/>
              <w:framePr w:hSpace="0" w:wrap="auto" w:vAnchor="margin" w:hAnchor="text" w:yAlign="inline"/>
              <w:rPr>
                <w:spacing w:val="0"/>
              </w:rPr>
            </w:pPr>
          </w:p>
        </w:tc>
        <w:tc>
          <w:tcPr>
            <w:tcW w:w="2268" w:type="dxa"/>
            <w:gridSpan w:val="2"/>
          </w:tcPr>
          <w:p w14:paraId="05CF69FE" w14:textId="77777777" w:rsidR="00F17498" w:rsidRPr="00834FE8" w:rsidRDefault="00F17498" w:rsidP="00F17498">
            <w:pPr>
              <w:pStyle w:val="Tabletext"/>
              <w:framePr w:hSpace="0" w:wrap="auto" w:vAnchor="margin" w:hAnchor="text" w:yAlign="inline"/>
              <w:rPr>
                <w:spacing w:val="0"/>
              </w:rPr>
            </w:pPr>
          </w:p>
        </w:tc>
      </w:tr>
      <w:tr w:rsidR="007F4361" w:rsidRPr="00834FE8" w14:paraId="4067FF04" w14:textId="77777777" w:rsidTr="000C76C5">
        <w:trPr>
          <w:trHeight w:val="983"/>
        </w:trPr>
        <w:tc>
          <w:tcPr>
            <w:tcW w:w="1669" w:type="dxa"/>
          </w:tcPr>
          <w:p w14:paraId="1CBBF572" w14:textId="2553897C" w:rsidR="007F4361" w:rsidRPr="00834FE8" w:rsidRDefault="007F4361" w:rsidP="006E2B88">
            <w:pPr>
              <w:pStyle w:val="Tabletext"/>
              <w:framePr w:hSpace="0" w:wrap="auto" w:vAnchor="margin" w:hAnchor="text" w:yAlign="inline"/>
              <w:rPr>
                <w:spacing w:val="0"/>
              </w:rPr>
            </w:pPr>
            <w:r w:rsidRPr="00834FE8">
              <w:rPr>
                <w:spacing w:val="0"/>
              </w:rPr>
              <w:t xml:space="preserve">ICV recruitment strategy </w:t>
            </w:r>
          </w:p>
        </w:tc>
        <w:tc>
          <w:tcPr>
            <w:tcW w:w="1829" w:type="dxa"/>
          </w:tcPr>
          <w:p w14:paraId="71C3CF6F" w14:textId="4B029FA0" w:rsidR="007F4361" w:rsidRPr="00834FE8" w:rsidRDefault="0004722A" w:rsidP="006E2B88">
            <w:pPr>
              <w:pStyle w:val="Tabletext"/>
              <w:framePr w:hSpace="0" w:wrap="auto" w:vAnchor="margin" w:hAnchor="text" w:yAlign="inline"/>
              <w:rPr>
                <w:spacing w:val="0"/>
              </w:rPr>
            </w:pPr>
            <w:r w:rsidRPr="00834FE8">
              <w:rPr>
                <w:spacing w:val="0"/>
              </w:rPr>
              <w:t>Police and Crime Plan and Other- legislative</w:t>
            </w:r>
          </w:p>
        </w:tc>
        <w:tc>
          <w:tcPr>
            <w:tcW w:w="6236" w:type="dxa"/>
          </w:tcPr>
          <w:p w14:paraId="7BB77A7C" w14:textId="77777777" w:rsidR="007F4361" w:rsidRPr="00834FE8" w:rsidRDefault="00ED73E5" w:rsidP="006E2B88">
            <w:pPr>
              <w:pStyle w:val="Tabletext"/>
              <w:framePr w:hSpace="0" w:wrap="auto" w:vAnchor="margin" w:hAnchor="text" w:yAlign="inline"/>
              <w:rPr>
                <w:spacing w:val="0"/>
              </w:rPr>
            </w:pPr>
            <w:r w:rsidRPr="00834FE8">
              <w:rPr>
                <w:spacing w:val="0"/>
              </w:rPr>
              <w:t>ICV recruitment strategy revised with the assistance</w:t>
            </w:r>
            <w:r w:rsidR="00356021" w:rsidRPr="00834FE8">
              <w:rPr>
                <w:spacing w:val="0"/>
              </w:rPr>
              <w:t xml:space="preserve"> of new </w:t>
            </w:r>
            <w:r w:rsidR="00BC0CD3" w:rsidRPr="00834FE8">
              <w:rPr>
                <w:spacing w:val="0"/>
              </w:rPr>
              <w:t>communications staff in OPCC</w:t>
            </w:r>
          </w:p>
          <w:p w14:paraId="741599FB" w14:textId="0385781C" w:rsidR="00BC0CD3" w:rsidRPr="00834FE8" w:rsidRDefault="000846EE" w:rsidP="006E2B88">
            <w:pPr>
              <w:pStyle w:val="Tabletext"/>
              <w:framePr w:hSpace="0" w:wrap="auto" w:vAnchor="margin" w:hAnchor="text" w:yAlign="inline"/>
              <w:rPr>
                <w:spacing w:val="0"/>
              </w:rPr>
            </w:pPr>
            <w:r w:rsidRPr="00834FE8">
              <w:rPr>
                <w:spacing w:val="0"/>
              </w:rPr>
              <w:t xml:space="preserve">There was greater </w:t>
            </w:r>
            <w:r w:rsidR="00732327" w:rsidRPr="00834FE8">
              <w:rPr>
                <w:spacing w:val="0"/>
              </w:rPr>
              <w:t>visibility across</w:t>
            </w:r>
            <w:r w:rsidR="006A041A" w:rsidRPr="00834FE8">
              <w:rPr>
                <w:spacing w:val="0"/>
              </w:rPr>
              <w:t xml:space="preserve"> all forms of social media</w:t>
            </w:r>
            <w:r w:rsidR="0099711C" w:rsidRPr="00834FE8">
              <w:rPr>
                <w:spacing w:val="0"/>
              </w:rPr>
              <w:t>, changing the format to suit each platform.</w:t>
            </w:r>
            <w:r w:rsidR="005953A9">
              <w:rPr>
                <w:spacing w:val="0"/>
              </w:rPr>
              <w:t xml:space="preserve"> </w:t>
            </w:r>
            <w:r w:rsidR="00515984" w:rsidRPr="00834FE8">
              <w:rPr>
                <w:spacing w:val="0"/>
              </w:rPr>
              <w:t>There was enhanced engagement with harder-to-reach communities</w:t>
            </w:r>
            <w:r w:rsidR="00A46B78" w:rsidRPr="00834FE8">
              <w:rPr>
                <w:spacing w:val="0"/>
              </w:rPr>
              <w:t>.</w:t>
            </w:r>
          </w:p>
          <w:p w14:paraId="7FF9B7ED" w14:textId="46A486BF" w:rsidR="00A46B78" w:rsidRPr="00834FE8" w:rsidRDefault="00A46B78" w:rsidP="006E2B88">
            <w:pPr>
              <w:pStyle w:val="Tabletext"/>
              <w:framePr w:hSpace="0" w:wrap="auto" w:vAnchor="margin" w:hAnchor="text" w:yAlign="inline"/>
              <w:rPr>
                <w:spacing w:val="0"/>
              </w:rPr>
            </w:pPr>
            <w:r w:rsidRPr="00834FE8">
              <w:rPr>
                <w:spacing w:val="0"/>
              </w:rPr>
              <w:t xml:space="preserve">Applications to the Scheme </w:t>
            </w:r>
            <w:r w:rsidR="00AE7910" w:rsidRPr="00834FE8">
              <w:rPr>
                <w:spacing w:val="0"/>
              </w:rPr>
              <w:t>were at three times the level of previous recruitment rounds.</w:t>
            </w:r>
            <w:r w:rsidR="005953A9">
              <w:rPr>
                <w:spacing w:val="0"/>
              </w:rPr>
              <w:t xml:space="preserve"> </w:t>
            </w:r>
          </w:p>
        </w:tc>
        <w:tc>
          <w:tcPr>
            <w:tcW w:w="2608" w:type="dxa"/>
          </w:tcPr>
          <w:p w14:paraId="2A1200CD" w14:textId="77777777" w:rsidR="007F4361" w:rsidRPr="00834FE8" w:rsidRDefault="007F4361" w:rsidP="006E2B88">
            <w:pPr>
              <w:pStyle w:val="Tabletext"/>
              <w:framePr w:hSpace="0" w:wrap="auto" w:vAnchor="margin" w:hAnchor="text" w:yAlign="inline"/>
              <w:rPr>
                <w:spacing w:val="0"/>
              </w:rPr>
            </w:pPr>
          </w:p>
        </w:tc>
        <w:tc>
          <w:tcPr>
            <w:tcW w:w="2268" w:type="dxa"/>
            <w:gridSpan w:val="2"/>
          </w:tcPr>
          <w:p w14:paraId="0FB57C23" w14:textId="77777777" w:rsidR="007F4361" w:rsidRPr="00834FE8" w:rsidRDefault="007F4361" w:rsidP="006E2B88">
            <w:pPr>
              <w:pStyle w:val="Tabletext"/>
              <w:framePr w:hSpace="0" w:wrap="auto" w:vAnchor="margin" w:hAnchor="text" w:yAlign="inline"/>
              <w:rPr>
                <w:spacing w:val="0"/>
              </w:rPr>
            </w:pPr>
          </w:p>
        </w:tc>
      </w:tr>
      <w:tr w:rsidR="00956610" w:rsidRPr="00834FE8" w14:paraId="73073C55" w14:textId="77777777" w:rsidTr="000C76C5">
        <w:trPr>
          <w:trHeight w:val="983"/>
        </w:trPr>
        <w:tc>
          <w:tcPr>
            <w:tcW w:w="1669" w:type="dxa"/>
          </w:tcPr>
          <w:p w14:paraId="54FAACCA" w14:textId="5C757309" w:rsidR="00956610" w:rsidRPr="00834FE8" w:rsidRDefault="00A27F31" w:rsidP="006E2B88">
            <w:pPr>
              <w:pStyle w:val="Tabletext"/>
              <w:framePr w:hSpace="0" w:wrap="auto" w:vAnchor="margin" w:hAnchor="text" w:yAlign="inline"/>
              <w:rPr>
                <w:spacing w:val="0"/>
              </w:rPr>
            </w:pPr>
            <w:r w:rsidRPr="00834FE8">
              <w:rPr>
                <w:spacing w:val="0"/>
              </w:rPr>
              <w:t xml:space="preserve">Revised engagement programme for </w:t>
            </w:r>
            <w:r w:rsidR="00F10297" w:rsidRPr="00834FE8">
              <w:rPr>
                <w:spacing w:val="0"/>
              </w:rPr>
              <w:t>Annual Survey</w:t>
            </w:r>
          </w:p>
        </w:tc>
        <w:tc>
          <w:tcPr>
            <w:tcW w:w="1829" w:type="dxa"/>
          </w:tcPr>
          <w:p w14:paraId="2FC3B60C" w14:textId="05D30381" w:rsidR="00956610" w:rsidRPr="00834FE8" w:rsidRDefault="00E21CA0" w:rsidP="006E2B88">
            <w:pPr>
              <w:pStyle w:val="Tabletext"/>
              <w:framePr w:hSpace="0" w:wrap="auto" w:vAnchor="margin" w:hAnchor="text" w:yAlign="inline"/>
              <w:rPr>
                <w:spacing w:val="0"/>
              </w:rPr>
            </w:pPr>
            <w:r w:rsidRPr="00834FE8">
              <w:rPr>
                <w:spacing w:val="0"/>
              </w:rPr>
              <w:t>Police and Crime Plan</w:t>
            </w:r>
          </w:p>
        </w:tc>
        <w:tc>
          <w:tcPr>
            <w:tcW w:w="6236" w:type="dxa"/>
          </w:tcPr>
          <w:p w14:paraId="2B0B3760" w14:textId="07DBDD65" w:rsidR="009525C6" w:rsidRPr="00834FE8" w:rsidRDefault="009525C6" w:rsidP="006E2B88">
            <w:pPr>
              <w:pStyle w:val="Tabletext"/>
              <w:framePr w:hSpace="0" w:wrap="auto" w:vAnchor="margin" w:hAnchor="text" w:yAlign="inline"/>
              <w:rPr>
                <w:spacing w:val="0"/>
              </w:rPr>
            </w:pPr>
            <w:r w:rsidRPr="00834FE8">
              <w:rPr>
                <w:spacing w:val="0"/>
              </w:rPr>
              <w:t>Utilised staff to conduct additional engagement exercises.</w:t>
            </w:r>
            <w:r w:rsidR="005953A9">
              <w:rPr>
                <w:spacing w:val="0"/>
              </w:rPr>
              <w:t xml:space="preserve"> </w:t>
            </w:r>
          </w:p>
          <w:p w14:paraId="76865035" w14:textId="76A96732" w:rsidR="00956610" w:rsidRPr="00834FE8" w:rsidRDefault="009525C6" w:rsidP="006E2B88">
            <w:pPr>
              <w:pStyle w:val="Tabletext"/>
              <w:framePr w:hSpace="0" w:wrap="auto" w:vAnchor="margin" w:hAnchor="text" w:yAlign="inline"/>
              <w:rPr>
                <w:spacing w:val="0"/>
              </w:rPr>
            </w:pPr>
            <w:r w:rsidRPr="00834FE8">
              <w:rPr>
                <w:spacing w:val="0"/>
              </w:rPr>
              <w:t>Targeted</w:t>
            </w:r>
            <w:r w:rsidR="005369A3" w:rsidRPr="00834FE8">
              <w:rPr>
                <w:spacing w:val="0"/>
              </w:rPr>
              <w:t xml:space="preserve"> high street communities that </w:t>
            </w:r>
            <w:r w:rsidRPr="00834FE8">
              <w:rPr>
                <w:spacing w:val="0"/>
              </w:rPr>
              <w:t xml:space="preserve">had not previously featured in the engagement programme, specifically </w:t>
            </w:r>
            <w:r w:rsidR="005369A3" w:rsidRPr="00834FE8">
              <w:rPr>
                <w:spacing w:val="0"/>
              </w:rPr>
              <w:t>small towns</w:t>
            </w:r>
            <w:r w:rsidR="00AA186C" w:rsidRPr="00834FE8">
              <w:rPr>
                <w:spacing w:val="0"/>
              </w:rPr>
              <w:t>/large villages</w:t>
            </w:r>
            <w:r w:rsidR="005369A3" w:rsidRPr="00834FE8">
              <w:rPr>
                <w:spacing w:val="0"/>
              </w:rPr>
              <w:t xml:space="preserve"> in rural locations.</w:t>
            </w:r>
            <w:r w:rsidR="005953A9">
              <w:rPr>
                <w:spacing w:val="0"/>
              </w:rPr>
              <w:t xml:space="preserve"> </w:t>
            </w:r>
          </w:p>
          <w:p w14:paraId="022BBD16" w14:textId="0E7F1524" w:rsidR="000C04BB" w:rsidRPr="00834FE8" w:rsidRDefault="00AA186C" w:rsidP="006E2B88">
            <w:pPr>
              <w:pStyle w:val="Tabletext"/>
              <w:framePr w:hSpace="0" w:wrap="auto" w:vAnchor="margin" w:hAnchor="text" w:yAlign="inline"/>
              <w:rPr>
                <w:spacing w:val="0"/>
              </w:rPr>
            </w:pPr>
            <w:r w:rsidRPr="00834FE8">
              <w:rPr>
                <w:spacing w:val="0"/>
              </w:rPr>
              <w:t>This gave a new</w:t>
            </w:r>
            <w:r w:rsidR="000C04BB" w:rsidRPr="00834FE8">
              <w:rPr>
                <w:spacing w:val="0"/>
              </w:rPr>
              <w:t xml:space="preserve"> opportunity to </w:t>
            </w:r>
            <w:r w:rsidR="003742CB" w:rsidRPr="00834FE8">
              <w:rPr>
                <w:spacing w:val="0"/>
              </w:rPr>
              <w:t>businesses and retailers</w:t>
            </w:r>
            <w:r w:rsidRPr="00834FE8">
              <w:rPr>
                <w:spacing w:val="0"/>
              </w:rPr>
              <w:t xml:space="preserve"> in these areas</w:t>
            </w:r>
            <w:r w:rsidR="000C04BB" w:rsidRPr="00834FE8">
              <w:rPr>
                <w:spacing w:val="0"/>
              </w:rPr>
              <w:t xml:space="preserve"> to participate in </w:t>
            </w:r>
            <w:r w:rsidRPr="00834FE8">
              <w:rPr>
                <w:spacing w:val="0"/>
              </w:rPr>
              <w:t xml:space="preserve">the </w:t>
            </w:r>
            <w:r w:rsidR="000C04BB" w:rsidRPr="00834FE8">
              <w:rPr>
                <w:spacing w:val="0"/>
              </w:rPr>
              <w:t>survey</w:t>
            </w:r>
            <w:r w:rsidR="004E5FF9" w:rsidRPr="00834FE8">
              <w:rPr>
                <w:spacing w:val="0"/>
              </w:rPr>
              <w:t>, aligning with the work of both the Rural and Retail Crime Boards</w:t>
            </w:r>
          </w:p>
        </w:tc>
        <w:tc>
          <w:tcPr>
            <w:tcW w:w="2608" w:type="dxa"/>
          </w:tcPr>
          <w:p w14:paraId="244A0BD2" w14:textId="77777777" w:rsidR="00956610" w:rsidRPr="00834FE8" w:rsidRDefault="000C04BB" w:rsidP="006E2B88">
            <w:pPr>
              <w:pStyle w:val="Tabletext"/>
              <w:framePr w:hSpace="0" w:wrap="auto" w:vAnchor="margin" w:hAnchor="text" w:yAlign="inline"/>
              <w:rPr>
                <w:spacing w:val="0"/>
              </w:rPr>
            </w:pPr>
            <w:r w:rsidRPr="00834FE8">
              <w:rPr>
                <w:spacing w:val="0"/>
              </w:rPr>
              <w:t>Lack of capacity within team reduced possibilities for innovation</w:t>
            </w:r>
          </w:p>
          <w:p w14:paraId="54DF9781" w14:textId="77777777" w:rsidR="00021F79" w:rsidRPr="00834FE8" w:rsidRDefault="00021F79" w:rsidP="006E2B88">
            <w:pPr>
              <w:pStyle w:val="Tabletext"/>
              <w:framePr w:hSpace="0" w:wrap="auto" w:vAnchor="margin" w:hAnchor="text" w:yAlign="inline"/>
              <w:rPr>
                <w:spacing w:val="0"/>
              </w:rPr>
            </w:pPr>
            <w:r w:rsidRPr="00834FE8">
              <w:rPr>
                <w:spacing w:val="0"/>
              </w:rPr>
              <w:t xml:space="preserve">Loss of Open Day reduced number of responses to </w:t>
            </w:r>
            <w:r w:rsidR="00CF49CD" w:rsidRPr="00834FE8">
              <w:rPr>
                <w:spacing w:val="0"/>
              </w:rPr>
              <w:t xml:space="preserve">Annual Survey </w:t>
            </w:r>
          </w:p>
          <w:p w14:paraId="6301967C" w14:textId="6100CC82" w:rsidR="00254C7D" w:rsidRPr="00834FE8" w:rsidRDefault="00254C7D" w:rsidP="006E2B88">
            <w:pPr>
              <w:pStyle w:val="Tabletext"/>
              <w:framePr w:hSpace="0" w:wrap="auto" w:vAnchor="margin" w:hAnchor="text" w:yAlign="inline"/>
              <w:rPr>
                <w:spacing w:val="0"/>
              </w:rPr>
            </w:pPr>
            <w:r w:rsidRPr="00834FE8">
              <w:rPr>
                <w:spacing w:val="0"/>
              </w:rPr>
              <w:t xml:space="preserve">The team will have to review </w:t>
            </w:r>
            <w:r w:rsidR="00681ECE" w:rsidRPr="00834FE8">
              <w:rPr>
                <w:spacing w:val="0"/>
              </w:rPr>
              <w:t>how to effectively manage these risks, in line with the new Communications Strategy</w:t>
            </w:r>
          </w:p>
        </w:tc>
        <w:tc>
          <w:tcPr>
            <w:tcW w:w="2268" w:type="dxa"/>
            <w:gridSpan w:val="2"/>
          </w:tcPr>
          <w:p w14:paraId="4EF6F44E" w14:textId="77777777" w:rsidR="00956610" w:rsidRPr="00834FE8" w:rsidRDefault="00956610" w:rsidP="006E2B88">
            <w:pPr>
              <w:pStyle w:val="Tabletext"/>
              <w:framePr w:hSpace="0" w:wrap="auto" w:vAnchor="margin" w:hAnchor="text" w:yAlign="inline"/>
              <w:rPr>
                <w:spacing w:val="0"/>
              </w:rPr>
            </w:pPr>
          </w:p>
        </w:tc>
      </w:tr>
      <w:tr w:rsidR="00103362" w:rsidRPr="00834FE8" w14:paraId="307AD25F" w14:textId="77777777" w:rsidTr="000C76C5">
        <w:trPr>
          <w:trHeight w:val="983"/>
        </w:trPr>
        <w:tc>
          <w:tcPr>
            <w:tcW w:w="1669" w:type="dxa"/>
          </w:tcPr>
          <w:p w14:paraId="7BAC0EF7" w14:textId="255AD04E" w:rsidR="00103362" w:rsidRPr="00834FE8" w:rsidRDefault="00D8270A" w:rsidP="006E2B88">
            <w:pPr>
              <w:pStyle w:val="Tabletext"/>
              <w:framePr w:hSpace="0" w:wrap="auto" w:vAnchor="margin" w:hAnchor="text" w:yAlign="inline"/>
              <w:rPr>
                <w:spacing w:val="0"/>
              </w:rPr>
            </w:pPr>
            <w:r w:rsidRPr="00834FE8">
              <w:rPr>
                <w:spacing w:val="0"/>
              </w:rPr>
              <w:t>Waste crime engagement</w:t>
            </w:r>
          </w:p>
        </w:tc>
        <w:tc>
          <w:tcPr>
            <w:tcW w:w="1829" w:type="dxa"/>
          </w:tcPr>
          <w:p w14:paraId="12C709FA" w14:textId="5E9A189B" w:rsidR="00103362" w:rsidRPr="00834FE8" w:rsidRDefault="0072464F" w:rsidP="006E2B88">
            <w:pPr>
              <w:pStyle w:val="Tabletext"/>
              <w:framePr w:hSpace="0" w:wrap="auto" w:vAnchor="margin" w:hAnchor="text" w:yAlign="inline"/>
              <w:rPr>
                <w:spacing w:val="0"/>
              </w:rPr>
            </w:pPr>
            <w:r w:rsidRPr="00834FE8">
              <w:rPr>
                <w:spacing w:val="0"/>
              </w:rPr>
              <w:t>Other- PCC manifesto and engagement programme</w:t>
            </w:r>
          </w:p>
        </w:tc>
        <w:tc>
          <w:tcPr>
            <w:tcW w:w="6236" w:type="dxa"/>
          </w:tcPr>
          <w:p w14:paraId="7A35A1BE" w14:textId="0FCF3E2C" w:rsidR="00103362" w:rsidRPr="00834FE8" w:rsidRDefault="008954AA" w:rsidP="006E2B88">
            <w:pPr>
              <w:pStyle w:val="Tabletext"/>
              <w:framePr w:hSpace="0" w:wrap="auto" w:vAnchor="margin" w:hAnchor="text" w:yAlign="inline"/>
              <w:rPr>
                <w:spacing w:val="0"/>
              </w:rPr>
            </w:pPr>
            <w:r w:rsidRPr="00834FE8">
              <w:rPr>
                <w:spacing w:val="0"/>
              </w:rPr>
              <w:t>This issue arose with PCCs across the South-East region working together, and with partner agencies in their area.</w:t>
            </w:r>
            <w:r w:rsidR="005953A9">
              <w:rPr>
                <w:spacing w:val="0"/>
              </w:rPr>
              <w:t xml:space="preserve"> </w:t>
            </w:r>
            <w:r w:rsidRPr="00834FE8">
              <w:rPr>
                <w:spacing w:val="0"/>
              </w:rPr>
              <w:t>Identified waste crime as both an issue of serious criminality, and having a significant impact on residents’ lives.</w:t>
            </w:r>
          </w:p>
          <w:p w14:paraId="75500661" w14:textId="6B61F535" w:rsidR="00A61AE9" w:rsidRPr="00834FE8" w:rsidRDefault="008954AA" w:rsidP="006E2B88">
            <w:pPr>
              <w:pStyle w:val="Tabletext"/>
              <w:framePr w:hSpace="0" w:wrap="auto" w:vAnchor="margin" w:hAnchor="text" w:yAlign="inline"/>
              <w:rPr>
                <w:spacing w:val="0"/>
              </w:rPr>
            </w:pPr>
            <w:r w:rsidRPr="00834FE8">
              <w:rPr>
                <w:spacing w:val="0"/>
              </w:rPr>
              <w:t xml:space="preserve">The PCC has hosted a round table event </w:t>
            </w:r>
            <w:r w:rsidR="00A61AE9" w:rsidRPr="00834FE8">
              <w:rPr>
                <w:spacing w:val="0"/>
              </w:rPr>
              <w:t>to bring all the SE Region PCCs and the relevant partner agencies, such as the Police</w:t>
            </w:r>
            <w:r w:rsidR="00454078" w:rsidRPr="00834FE8">
              <w:rPr>
                <w:spacing w:val="0"/>
              </w:rPr>
              <w:t xml:space="preserve"> (both local</w:t>
            </w:r>
            <w:r w:rsidR="00930EC7" w:rsidRPr="00834FE8">
              <w:rPr>
                <w:spacing w:val="0"/>
              </w:rPr>
              <w:t xml:space="preserve"> and </w:t>
            </w:r>
            <w:r w:rsidR="00454078" w:rsidRPr="00834FE8">
              <w:rPr>
                <w:spacing w:val="0"/>
              </w:rPr>
              <w:t>the Regional Organised Crime Units)</w:t>
            </w:r>
            <w:r w:rsidR="00930EC7" w:rsidRPr="00834FE8">
              <w:rPr>
                <w:spacing w:val="0"/>
              </w:rPr>
              <w:t>, local government</w:t>
            </w:r>
            <w:r w:rsidR="00E02D90" w:rsidRPr="00834FE8">
              <w:rPr>
                <w:spacing w:val="0"/>
              </w:rPr>
              <w:t>,</w:t>
            </w:r>
            <w:r w:rsidR="00A61AE9" w:rsidRPr="00834FE8">
              <w:rPr>
                <w:spacing w:val="0"/>
              </w:rPr>
              <w:t xml:space="preserve"> Environment Agency </w:t>
            </w:r>
            <w:r w:rsidR="00E02D90" w:rsidRPr="00834FE8">
              <w:rPr>
                <w:spacing w:val="0"/>
              </w:rPr>
              <w:t xml:space="preserve">and representatives from the rural community </w:t>
            </w:r>
            <w:r w:rsidR="00A61AE9" w:rsidRPr="00834FE8">
              <w:rPr>
                <w:spacing w:val="0"/>
              </w:rPr>
              <w:t>together.</w:t>
            </w:r>
            <w:r w:rsidR="005953A9">
              <w:rPr>
                <w:spacing w:val="0"/>
              </w:rPr>
              <w:t xml:space="preserve"> </w:t>
            </w:r>
            <w:r w:rsidR="00454078" w:rsidRPr="00834FE8">
              <w:rPr>
                <w:spacing w:val="0"/>
              </w:rPr>
              <w:t>Examined involvement of Organised Criminal Gangs.</w:t>
            </w:r>
            <w:r w:rsidR="005953A9">
              <w:rPr>
                <w:spacing w:val="0"/>
              </w:rPr>
              <w:t xml:space="preserve"> </w:t>
            </w:r>
          </w:p>
          <w:p w14:paraId="41BF07C5" w14:textId="7813FDCD" w:rsidR="0072464F" w:rsidRPr="00834FE8" w:rsidRDefault="00A61AE9" w:rsidP="006E2B88">
            <w:pPr>
              <w:pStyle w:val="Tabletext"/>
              <w:framePr w:hSpace="0" w:wrap="auto" w:vAnchor="margin" w:hAnchor="text" w:yAlign="inline"/>
              <w:rPr>
                <w:spacing w:val="0"/>
              </w:rPr>
            </w:pPr>
            <w:r w:rsidRPr="00834FE8">
              <w:rPr>
                <w:spacing w:val="0"/>
              </w:rPr>
              <w:t xml:space="preserve">The </w:t>
            </w:r>
            <w:r w:rsidR="0072464F" w:rsidRPr="00834FE8">
              <w:rPr>
                <w:spacing w:val="0"/>
              </w:rPr>
              <w:t xml:space="preserve">PCC </w:t>
            </w:r>
            <w:r w:rsidRPr="00834FE8">
              <w:rPr>
                <w:spacing w:val="0"/>
              </w:rPr>
              <w:t>has also given evidence to the House of Lords enq</w:t>
            </w:r>
            <w:r w:rsidR="00454078" w:rsidRPr="00834FE8">
              <w:rPr>
                <w:spacing w:val="0"/>
              </w:rPr>
              <w:t>uiry on the subject.</w:t>
            </w:r>
            <w:r w:rsidR="005953A9">
              <w:rPr>
                <w:spacing w:val="0"/>
              </w:rPr>
              <w:t xml:space="preserve"> </w:t>
            </w:r>
          </w:p>
          <w:p w14:paraId="78D67330" w14:textId="5FDD963D" w:rsidR="00E851CF" w:rsidRPr="00834FE8" w:rsidRDefault="00AB4204" w:rsidP="00834FE8">
            <w:pPr>
              <w:pStyle w:val="Tabletext"/>
              <w:framePr w:hSpace="0" w:wrap="auto" w:vAnchor="margin" w:hAnchor="text" w:yAlign="inline"/>
              <w:rPr>
                <w:spacing w:val="0"/>
              </w:rPr>
            </w:pPr>
            <w:r w:rsidRPr="00834FE8">
              <w:rPr>
                <w:spacing w:val="0"/>
              </w:rPr>
              <w:t xml:space="preserve">The </w:t>
            </w:r>
            <w:r w:rsidR="004F02BC" w:rsidRPr="00834FE8">
              <w:rPr>
                <w:spacing w:val="0"/>
              </w:rPr>
              <w:t xml:space="preserve">EA continues </w:t>
            </w:r>
            <w:r w:rsidRPr="00834FE8">
              <w:rPr>
                <w:spacing w:val="0"/>
              </w:rPr>
              <w:t xml:space="preserve">to </w:t>
            </w:r>
            <w:r w:rsidR="004F02BC" w:rsidRPr="00834FE8">
              <w:rPr>
                <w:spacing w:val="0"/>
              </w:rPr>
              <w:t xml:space="preserve">engage </w:t>
            </w:r>
            <w:r w:rsidR="009A323A" w:rsidRPr="00834FE8">
              <w:rPr>
                <w:spacing w:val="0"/>
              </w:rPr>
              <w:t xml:space="preserve">with </w:t>
            </w:r>
            <w:r w:rsidR="004A62D3" w:rsidRPr="00834FE8">
              <w:rPr>
                <w:spacing w:val="0"/>
              </w:rPr>
              <w:t xml:space="preserve">the </w:t>
            </w:r>
            <w:r w:rsidR="009A323A" w:rsidRPr="00834FE8">
              <w:rPr>
                <w:spacing w:val="0"/>
              </w:rPr>
              <w:t>PCC and Kent communit</w:t>
            </w:r>
            <w:r w:rsidR="00152EDE" w:rsidRPr="00834FE8">
              <w:rPr>
                <w:spacing w:val="0"/>
              </w:rPr>
              <w:t xml:space="preserve">y representatives </w:t>
            </w:r>
            <w:r w:rsidR="009A323A" w:rsidRPr="00834FE8">
              <w:rPr>
                <w:spacing w:val="0"/>
              </w:rPr>
              <w:t xml:space="preserve">through </w:t>
            </w:r>
            <w:r w:rsidR="004A62D3" w:rsidRPr="00834FE8">
              <w:rPr>
                <w:spacing w:val="0"/>
              </w:rPr>
              <w:t xml:space="preserve">the </w:t>
            </w:r>
            <w:r w:rsidR="009A323A" w:rsidRPr="00834FE8">
              <w:rPr>
                <w:spacing w:val="0"/>
              </w:rPr>
              <w:t xml:space="preserve">Rural Crime Board. They have committed to </w:t>
            </w:r>
            <w:r w:rsidR="00D26557" w:rsidRPr="00834FE8">
              <w:rPr>
                <w:spacing w:val="0"/>
              </w:rPr>
              <w:t>providing regular upd</w:t>
            </w:r>
            <w:r w:rsidR="00AE25E5" w:rsidRPr="00834FE8">
              <w:rPr>
                <w:spacing w:val="0"/>
              </w:rPr>
              <w:t>a</w:t>
            </w:r>
            <w:r w:rsidR="00D26557" w:rsidRPr="00834FE8">
              <w:rPr>
                <w:spacing w:val="0"/>
              </w:rPr>
              <w:t xml:space="preserve">tes </w:t>
            </w:r>
            <w:r w:rsidR="00AE25E5" w:rsidRPr="00834FE8">
              <w:rPr>
                <w:spacing w:val="0"/>
              </w:rPr>
              <w:t xml:space="preserve">on progress against </w:t>
            </w:r>
            <w:r w:rsidR="009A323A" w:rsidRPr="00834FE8">
              <w:rPr>
                <w:spacing w:val="0"/>
              </w:rPr>
              <w:t xml:space="preserve">their </w:t>
            </w:r>
            <w:r w:rsidR="00AE25E5" w:rsidRPr="00834FE8">
              <w:rPr>
                <w:spacing w:val="0"/>
              </w:rPr>
              <w:t xml:space="preserve">recently </w:t>
            </w:r>
            <w:r w:rsidR="004A62D3" w:rsidRPr="00834FE8">
              <w:rPr>
                <w:spacing w:val="0"/>
              </w:rPr>
              <w:t xml:space="preserve">announced </w:t>
            </w:r>
            <w:r w:rsidR="009C6217" w:rsidRPr="00834FE8">
              <w:rPr>
                <w:spacing w:val="0"/>
              </w:rPr>
              <w:t>Waste Crime 10-Point Plan.</w:t>
            </w:r>
          </w:p>
        </w:tc>
        <w:tc>
          <w:tcPr>
            <w:tcW w:w="2608" w:type="dxa"/>
          </w:tcPr>
          <w:p w14:paraId="58B123C4" w14:textId="77777777" w:rsidR="00103362" w:rsidRPr="00834FE8" w:rsidRDefault="00E439A4" w:rsidP="006E2B88">
            <w:pPr>
              <w:pStyle w:val="Tabletext"/>
              <w:framePr w:hSpace="0" w:wrap="auto" w:vAnchor="margin" w:hAnchor="text" w:yAlign="inline"/>
              <w:rPr>
                <w:spacing w:val="0"/>
              </w:rPr>
            </w:pPr>
            <w:r w:rsidRPr="00834FE8">
              <w:rPr>
                <w:spacing w:val="0"/>
              </w:rPr>
              <w:t xml:space="preserve">Consideration needs to be given as to whether this </w:t>
            </w:r>
            <w:r w:rsidR="000A2924" w:rsidRPr="00834FE8">
              <w:rPr>
                <w:spacing w:val="0"/>
              </w:rPr>
              <w:t xml:space="preserve">will </w:t>
            </w:r>
            <w:r w:rsidR="00546FBB" w:rsidRPr="00834FE8">
              <w:rPr>
                <w:spacing w:val="0"/>
              </w:rPr>
              <w:t>remain a priority for policing/PCC</w:t>
            </w:r>
          </w:p>
          <w:p w14:paraId="560E018E" w14:textId="41077BDF" w:rsidR="00C132AF" w:rsidRPr="00834FE8" w:rsidRDefault="00C132AF" w:rsidP="006E2B88">
            <w:pPr>
              <w:pStyle w:val="Tabletext"/>
              <w:framePr w:hSpace="0" w:wrap="auto" w:vAnchor="margin" w:hAnchor="text" w:yAlign="inline"/>
              <w:rPr>
                <w:spacing w:val="0"/>
              </w:rPr>
            </w:pPr>
            <w:r w:rsidRPr="00834FE8">
              <w:rPr>
                <w:spacing w:val="0"/>
              </w:rPr>
              <w:t xml:space="preserve">Lack of capacity within </w:t>
            </w:r>
            <w:r w:rsidR="00787925" w:rsidRPr="00834FE8">
              <w:rPr>
                <w:spacing w:val="0"/>
              </w:rPr>
              <w:t xml:space="preserve">the Environment </w:t>
            </w:r>
            <w:r w:rsidRPr="00834FE8">
              <w:rPr>
                <w:spacing w:val="0"/>
              </w:rPr>
              <w:t>A</w:t>
            </w:r>
            <w:r w:rsidR="00787925" w:rsidRPr="00834FE8">
              <w:rPr>
                <w:spacing w:val="0"/>
              </w:rPr>
              <w:t>gency, as the lead partner,</w:t>
            </w:r>
            <w:r w:rsidRPr="00834FE8">
              <w:rPr>
                <w:spacing w:val="0"/>
              </w:rPr>
              <w:t xml:space="preserve"> to manage this.</w:t>
            </w:r>
            <w:r w:rsidR="005953A9">
              <w:rPr>
                <w:spacing w:val="0"/>
              </w:rPr>
              <w:t xml:space="preserve"> </w:t>
            </w:r>
          </w:p>
        </w:tc>
        <w:tc>
          <w:tcPr>
            <w:tcW w:w="2268" w:type="dxa"/>
            <w:gridSpan w:val="2"/>
          </w:tcPr>
          <w:p w14:paraId="725E8E02" w14:textId="77777777" w:rsidR="00103362" w:rsidRPr="00834FE8" w:rsidRDefault="00103362" w:rsidP="006E2B88">
            <w:pPr>
              <w:pStyle w:val="Tabletext"/>
              <w:framePr w:hSpace="0" w:wrap="auto" w:vAnchor="margin" w:hAnchor="text" w:yAlign="inline"/>
              <w:rPr>
                <w:spacing w:val="0"/>
              </w:rPr>
            </w:pPr>
          </w:p>
        </w:tc>
      </w:tr>
    </w:tbl>
    <w:p w14:paraId="73A9DD7F" w14:textId="77777777" w:rsidR="00C55457" w:rsidRDefault="00C55457" w:rsidP="006E2B88">
      <w:pPr>
        <w:sectPr w:rsidR="00C55457" w:rsidSect="000B208F">
          <w:pgSz w:w="16838" w:h="11906" w:orient="landscape"/>
          <w:pgMar w:top="1814" w:right="1134" w:bottom="1440" w:left="1134" w:header="709" w:footer="471" w:gutter="0"/>
          <w:cols w:space="708"/>
          <w:docGrid w:linePitch="360"/>
        </w:sectPr>
      </w:pPr>
    </w:p>
    <w:tbl>
      <w:tblPr>
        <w:tblStyle w:val="TableGrid"/>
        <w:tblpPr w:leftFromText="180" w:rightFromText="180" w:vertAnchor="text" w:horzAnchor="margin" w:tblpY="227"/>
        <w:tblW w:w="14600" w:type="dxa"/>
        <w:tblLook w:val="04A0" w:firstRow="1" w:lastRow="0" w:firstColumn="1" w:lastColumn="0" w:noHBand="0" w:noVBand="1"/>
      </w:tblPr>
      <w:tblGrid>
        <w:gridCol w:w="1980"/>
        <w:gridCol w:w="1701"/>
        <w:gridCol w:w="5528"/>
        <w:gridCol w:w="2839"/>
        <w:gridCol w:w="2552"/>
      </w:tblGrid>
      <w:tr w:rsidR="00C55457" w:rsidRPr="00C67424" w14:paraId="502D8F7C" w14:textId="77777777" w:rsidTr="0164B651">
        <w:tc>
          <w:tcPr>
            <w:tcW w:w="14600" w:type="dxa"/>
            <w:gridSpan w:val="5"/>
            <w:shd w:val="clear" w:color="auto" w:fill="E2EFD9" w:themeFill="accent6" w:themeFillTint="33"/>
          </w:tcPr>
          <w:p w14:paraId="43E6BF95" w14:textId="77777777" w:rsidR="00BF240D" w:rsidRPr="00C67424" w:rsidRDefault="00C55457" w:rsidP="003C6074">
            <w:pPr>
              <w:pStyle w:val="HeadinginTable"/>
              <w:framePr w:hSpace="0" w:wrap="auto" w:vAnchor="margin" w:hAnchor="text" w:yAlign="inline"/>
            </w:pPr>
            <w:r w:rsidRPr="00C67424">
              <w:t>Core Principle of the Framework</w:t>
            </w:r>
          </w:p>
          <w:p w14:paraId="373FA77D" w14:textId="594A039B" w:rsidR="00C55457" w:rsidRPr="00C67424" w:rsidRDefault="00C55457" w:rsidP="003C6074">
            <w:pPr>
              <w:pStyle w:val="Heading3"/>
              <w:framePr w:hSpace="0" w:wrap="auto" w:vAnchor="margin" w:hAnchor="text" w:yAlign="inline"/>
            </w:pPr>
            <w:r w:rsidRPr="00C67424">
              <w:t>Defining outcomes in terms of sustainable service and economic benefits</w:t>
            </w:r>
          </w:p>
          <w:p w14:paraId="1ADA9FB4" w14:textId="77A02A8C" w:rsidR="00C55457" w:rsidRPr="00C67424" w:rsidRDefault="00C55457" w:rsidP="006E2B88">
            <w:pPr>
              <w:pStyle w:val="Tabletext"/>
              <w:framePr w:hSpace="0" w:wrap="auto" w:vAnchor="margin" w:hAnchor="text" w:yAlign="inline"/>
              <w:rPr>
                <w:u w:val="single"/>
              </w:rPr>
            </w:pPr>
            <w:r w:rsidRPr="00C67424">
              <w:t xml:space="preserve">The PCC has assessed compliance with the framework as set out in the </w:t>
            </w:r>
            <w:r w:rsidRPr="00C67424">
              <w:rPr>
                <w:highlight w:val="yellow"/>
              </w:rPr>
              <w:t>Local Code of Governance</w:t>
            </w:r>
            <w:r w:rsidRPr="00C67424">
              <w:t xml:space="preserve"> under section </w:t>
            </w:r>
            <w:r w:rsidR="00517184" w:rsidRPr="00C67424">
              <w:t xml:space="preserve">C. </w:t>
            </w:r>
            <w:r w:rsidRPr="00C67424">
              <w:t xml:space="preserve">He has assessed that there is adequate assurance, and that this is overall an </w:t>
            </w:r>
            <w:r w:rsidRPr="00C67424">
              <w:rPr>
                <w:u w:val="single"/>
              </w:rPr>
              <w:t xml:space="preserve">area </w:t>
            </w:r>
            <w:r w:rsidR="00534C44">
              <w:rPr>
                <w:u w:val="single"/>
              </w:rPr>
              <w:t>of strength</w:t>
            </w:r>
          </w:p>
        </w:tc>
      </w:tr>
      <w:tr w:rsidR="00C55457" w:rsidRPr="00C67424" w14:paraId="0F349552" w14:textId="77777777" w:rsidTr="0164B651">
        <w:tc>
          <w:tcPr>
            <w:tcW w:w="1980" w:type="dxa"/>
          </w:tcPr>
          <w:p w14:paraId="7EE672BE" w14:textId="77777777" w:rsidR="00C55457" w:rsidRPr="003C6074" w:rsidRDefault="00C55457" w:rsidP="006E2B88">
            <w:pPr>
              <w:pStyle w:val="Tabletext"/>
              <w:framePr w:hSpace="0" w:wrap="auto" w:vAnchor="margin" w:hAnchor="text" w:yAlign="inline"/>
              <w:rPr>
                <w:b/>
                <w:bCs/>
              </w:rPr>
            </w:pPr>
            <w:r w:rsidRPr="003C6074">
              <w:rPr>
                <w:b/>
                <w:bCs/>
              </w:rPr>
              <w:t>Issue</w:t>
            </w:r>
          </w:p>
        </w:tc>
        <w:tc>
          <w:tcPr>
            <w:tcW w:w="1701" w:type="dxa"/>
          </w:tcPr>
          <w:p w14:paraId="723C1093" w14:textId="1943480B" w:rsidR="00C55457" w:rsidRPr="003C6074" w:rsidRDefault="00C55457" w:rsidP="006E2B88">
            <w:pPr>
              <w:pStyle w:val="Tabletext"/>
              <w:framePr w:hSpace="0" w:wrap="auto" w:vAnchor="margin" w:hAnchor="text" w:yAlign="inline"/>
              <w:rPr>
                <w:b/>
                <w:bCs/>
              </w:rPr>
            </w:pPr>
            <w:r w:rsidRPr="003C6074">
              <w:rPr>
                <w:b/>
                <w:bCs/>
              </w:rPr>
              <w:t>Identified from</w:t>
            </w:r>
          </w:p>
        </w:tc>
        <w:tc>
          <w:tcPr>
            <w:tcW w:w="5528" w:type="dxa"/>
            <w:shd w:val="clear" w:color="auto" w:fill="E2EFD9" w:themeFill="accent6" w:themeFillTint="33"/>
          </w:tcPr>
          <w:p w14:paraId="0554DA88" w14:textId="77777777" w:rsidR="00C55457" w:rsidRPr="003C6074" w:rsidRDefault="00C55457" w:rsidP="006E2B88">
            <w:pPr>
              <w:pStyle w:val="Tabletext"/>
              <w:framePr w:hSpace="0" w:wrap="auto" w:vAnchor="margin" w:hAnchor="text" w:yAlign="inline"/>
              <w:rPr>
                <w:b/>
                <w:bCs/>
              </w:rPr>
            </w:pPr>
            <w:r w:rsidRPr="003C6074">
              <w:rPr>
                <w:b/>
                <w:bCs/>
              </w:rPr>
              <w:t>Strength</w:t>
            </w:r>
          </w:p>
        </w:tc>
        <w:tc>
          <w:tcPr>
            <w:tcW w:w="2839" w:type="dxa"/>
            <w:shd w:val="clear" w:color="auto" w:fill="FFF2CC" w:themeFill="accent4" w:themeFillTint="33"/>
          </w:tcPr>
          <w:p w14:paraId="23504217" w14:textId="77777777" w:rsidR="00C55457" w:rsidRPr="003C6074" w:rsidRDefault="00C55457" w:rsidP="006E2B88">
            <w:pPr>
              <w:pStyle w:val="Tabletext"/>
              <w:framePr w:hSpace="0" w:wrap="auto" w:vAnchor="margin" w:hAnchor="text" w:yAlign="inline"/>
              <w:rPr>
                <w:b/>
                <w:bCs/>
              </w:rPr>
            </w:pPr>
            <w:r w:rsidRPr="003C6074">
              <w:rPr>
                <w:b/>
                <w:bCs/>
              </w:rPr>
              <w:t>Area for Improvement</w:t>
            </w:r>
          </w:p>
        </w:tc>
        <w:tc>
          <w:tcPr>
            <w:tcW w:w="2552" w:type="dxa"/>
            <w:shd w:val="clear" w:color="auto" w:fill="FED6CE"/>
          </w:tcPr>
          <w:p w14:paraId="5904260D" w14:textId="77777777" w:rsidR="00C55457" w:rsidRPr="003C6074" w:rsidRDefault="00C55457" w:rsidP="006E2B88">
            <w:pPr>
              <w:pStyle w:val="Tabletext"/>
              <w:framePr w:hSpace="0" w:wrap="auto" w:vAnchor="margin" w:hAnchor="text" w:yAlign="inline"/>
              <w:rPr>
                <w:b/>
                <w:bCs/>
              </w:rPr>
            </w:pPr>
            <w:r w:rsidRPr="003C6074">
              <w:rPr>
                <w:b/>
                <w:bCs/>
              </w:rPr>
              <w:t>Area of challenge</w:t>
            </w:r>
          </w:p>
        </w:tc>
      </w:tr>
      <w:tr w:rsidR="00775C5B" w:rsidRPr="00C67424" w14:paraId="1624EF1B" w14:textId="77777777" w:rsidTr="0164B651">
        <w:trPr>
          <w:trHeight w:val="983"/>
        </w:trPr>
        <w:tc>
          <w:tcPr>
            <w:tcW w:w="1980" w:type="dxa"/>
          </w:tcPr>
          <w:p w14:paraId="5DEB98BE" w14:textId="1B1BAF28" w:rsidR="00775C5B" w:rsidRPr="00C67424" w:rsidRDefault="0060552C" w:rsidP="006E2B88">
            <w:pPr>
              <w:pStyle w:val="Tabletext"/>
              <w:framePr w:hSpace="0" w:wrap="auto" w:vAnchor="margin" w:hAnchor="text" w:yAlign="inline"/>
            </w:pPr>
            <w:r>
              <w:t xml:space="preserve">Preparatory work </w:t>
            </w:r>
            <w:r w:rsidR="00BC6FF9">
              <w:t>for sale of part of Sutton Road site</w:t>
            </w:r>
          </w:p>
        </w:tc>
        <w:tc>
          <w:tcPr>
            <w:tcW w:w="1701" w:type="dxa"/>
          </w:tcPr>
          <w:p w14:paraId="324FAA55" w14:textId="0140B1DD" w:rsidR="00775C5B" w:rsidRPr="00C67424" w:rsidRDefault="00D776CB" w:rsidP="006E2B88">
            <w:pPr>
              <w:pStyle w:val="Tabletext"/>
              <w:framePr w:hSpace="0" w:wrap="auto" w:vAnchor="margin" w:hAnchor="text" w:yAlign="inline"/>
            </w:pPr>
            <w:r>
              <w:t>Other-PCC policy</w:t>
            </w:r>
          </w:p>
        </w:tc>
        <w:tc>
          <w:tcPr>
            <w:tcW w:w="5528" w:type="dxa"/>
          </w:tcPr>
          <w:p w14:paraId="7C7054B7" w14:textId="33555D46" w:rsidR="001C0643" w:rsidRDefault="00A22EE8" w:rsidP="001C0643">
            <w:pPr>
              <w:pStyle w:val="Tabletext"/>
              <w:framePr w:hSpace="0" w:wrap="auto" w:vAnchor="margin" w:hAnchor="text" w:yAlign="inline"/>
            </w:pPr>
            <w:r>
              <w:t>Negotiations have been undertaken with the preferred bidder.</w:t>
            </w:r>
            <w:r w:rsidR="005953A9">
              <w:t xml:space="preserve"> </w:t>
            </w:r>
          </w:p>
          <w:p w14:paraId="41CD8684" w14:textId="736F4A40" w:rsidR="00A22EE8" w:rsidRDefault="00A22EE8" w:rsidP="001C0643">
            <w:pPr>
              <w:pStyle w:val="Tabletext"/>
              <w:framePr w:hSpace="0" w:wrap="auto" w:vAnchor="margin" w:hAnchor="text" w:yAlign="inline"/>
            </w:pPr>
            <w:r>
              <w:t>Site is now prepared for sale.</w:t>
            </w:r>
          </w:p>
          <w:p w14:paraId="4F21E47D" w14:textId="68FB01EC" w:rsidR="00A22EE8" w:rsidRDefault="006C4CAF" w:rsidP="001C0643">
            <w:pPr>
              <w:pStyle w:val="Tabletext"/>
              <w:framePr w:hSpace="0" w:wrap="auto" w:vAnchor="margin" w:hAnchor="text" w:yAlign="inline"/>
            </w:pPr>
            <w:r>
              <w:t>As the legal owner of the Kent Police Estate, there are frequent briefings to the PCC, as well as to the CFO and Chief Executive.</w:t>
            </w:r>
            <w:r w:rsidR="005953A9">
              <w:t xml:space="preserve"> </w:t>
            </w:r>
            <w:r w:rsidR="00821335">
              <w:t>This is in addition to OPCC representation on the Kent Police Boards that manage the governance arrangements.</w:t>
            </w:r>
            <w:r w:rsidR="005953A9">
              <w:t xml:space="preserve"> </w:t>
            </w:r>
          </w:p>
          <w:p w14:paraId="35465BA4" w14:textId="77E706B3" w:rsidR="0099753C" w:rsidRDefault="0099753C" w:rsidP="00834FE8">
            <w:pPr>
              <w:pStyle w:val="Tabletext"/>
              <w:framePr w:hSpace="0" w:wrap="auto" w:vAnchor="margin" w:hAnchor="text" w:yAlign="inline"/>
            </w:pPr>
            <w:r>
              <w:t>Aim to generate significant receipt, and will be able to evidence best value for the public.</w:t>
            </w:r>
          </w:p>
        </w:tc>
        <w:tc>
          <w:tcPr>
            <w:tcW w:w="2839" w:type="dxa"/>
          </w:tcPr>
          <w:p w14:paraId="67367778" w14:textId="74C7CB24" w:rsidR="00775C5B" w:rsidRPr="00C67424" w:rsidRDefault="006004E3" w:rsidP="006E2B88">
            <w:pPr>
              <w:pStyle w:val="Tabletext"/>
              <w:framePr w:hSpace="0" w:wrap="auto" w:vAnchor="margin" w:hAnchor="text" w:yAlign="inline"/>
            </w:pPr>
            <w:r>
              <w:t xml:space="preserve">PCC will have responsibility to ensure Force get best use of remaining site. </w:t>
            </w:r>
          </w:p>
        </w:tc>
        <w:tc>
          <w:tcPr>
            <w:tcW w:w="2552" w:type="dxa"/>
          </w:tcPr>
          <w:p w14:paraId="2F922F14" w14:textId="57F1B15E" w:rsidR="00775C5B" w:rsidRPr="00C67424" w:rsidRDefault="66F87512" w:rsidP="006E2B88">
            <w:pPr>
              <w:pStyle w:val="Tabletext"/>
              <w:framePr w:hSpace="0" w:wrap="auto" w:vAnchor="margin" w:hAnchor="text" w:yAlign="inline"/>
            </w:pPr>
            <w:r>
              <w:t>The biggest asset sale in Kent PCC history provides a number of complexities to ensure the sale gets over the line</w:t>
            </w:r>
            <w:r w:rsidR="6C1DF7E3">
              <w:t>.</w:t>
            </w:r>
          </w:p>
        </w:tc>
      </w:tr>
      <w:tr w:rsidR="009E0A51" w:rsidRPr="00C67424" w14:paraId="3948C472" w14:textId="77777777" w:rsidTr="0164B651">
        <w:trPr>
          <w:trHeight w:val="983"/>
        </w:trPr>
        <w:tc>
          <w:tcPr>
            <w:tcW w:w="1980" w:type="dxa"/>
          </w:tcPr>
          <w:p w14:paraId="3A56DD2B" w14:textId="554D23A2" w:rsidR="009E0A51" w:rsidRPr="00C67424" w:rsidRDefault="00562B26" w:rsidP="006E2B88">
            <w:pPr>
              <w:pStyle w:val="Tabletext"/>
              <w:framePr w:hSpace="0" w:wrap="auto" w:vAnchor="margin" w:hAnchor="text" w:yAlign="inline"/>
            </w:pPr>
            <w:r>
              <w:t>Property Fund</w:t>
            </w:r>
          </w:p>
        </w:tc>
        <w:tc>
          <w:tcPr>
            <w:tcW w:w="1701" w:type="dxa"/>
          </w:tcPr>
          <w:p w14:paraId="316F9A3B" w14:textId="54ECBB62" w:rsidR="009E0A51" w:rsidRPr="00C67424" w:rsidRDefault="00FF1428" w:rsidP="006E2B88">
            <w:pPr>
              <w:pStyle w:val="Tabletext"/>
              <w:framePr w:hSpace="0" w:wrap="auto" w:vAnchor="margin" w:hAnchor="text" w:yAlign="inline"/>
            </w:pPr>
            <w:r>
              <w:t xml:space="preserve">Other- </w:t>
            </w:r>
            <w:r w:rsidR="00291054">
              <w:t>legislative</w:t>
            </w:r>
          </w:p>
        </w:tc>
        <w:tc>
          <w:tcPr>
            <w:tcW w:w="5528" w:type="dxa"/>
          </w:tcPr>
          <w:p w14:paraId="44F94C65" w14:textId="6170D662" w:rsidR="00FE2D6E" w:rsidRDefault="00FE2D6E" w:rsidP="006E2B88">
            <w:pPr>
              <w:pStyle w:val="Tabletext"/>
              <w:framePr w:hSpace="0" w:wrap="auto" w:vAnchor="margin" w:hAnchor="text" w:yAlign="inline"/>
            </w:pPr>
            <w:r>
              <w:t xml:space="preserve">After </w:t>
            </w:r>
            <w:r w:rsidR="00DA33ED">
              <w:t xml:space="preserve">a </w:t>
            </w:r>
            <w:r>
              <w:t xml:space="preserve">review of </w:t>
            </w:r>
            <w:r w:rsidR="00DA33ED">
              <w:t xml:space="preserve">relevant </w:t>
            </w:r>
            <w:r>
              <w:t>legislation, PCC took ownership of Property Fund</w:t>
            </w:r>
            <w:r w:rsidR="009B1697">
              <w:t>.</w:t>
            </w:r>
          </w:p>
          <w:p w14:paraId="06914EA1" w14:textId="7607BC0C" w:rsidR="009B1697" w:rsidRDefault="009B1697" w:rsidP="006E2B88">
            <w:pPr>
              <w:pStyle w:val="Tabletext"/>
              <w:framePr w:hSpace="0" w:wrap="auto" w:vAnchor="margin" w:hAnchor="text" w:yAlign="inline"/>
            </w:pPr>
            <w:r>
              <w:t>Comprehensive governance framework established, and new process for bidding.</w:t>
            </w:r>
          </w:p>
          <w:p w14:paraId="53F4370B" w14:textId="055A5CB7" w:rsidR="005522CD" w:rsidRDefault="005522CD" w:rsidP="006E2B88">
            <w:pPr>
              <w:pStyle w:val="Tabletext"/>
              <w:framePr w:hSpace="0" w:wrap="auto" w:vAnchor="margin" w:hAnchor="text" w:yAlign="inline"/>
            </w:pPr>
            <w:r>
              <w:t>Effective sifting and scoring process, and a panel with an independent member to decide on successful bids.</w:t>
            </w:r>
          </w:p>
          <w:p w14:paraId="47CB9C82" w14:textId="2F28772F" w:rsidR="009B1697" w:rsidRDefault="00F326F4" w:rsidP="006E2B88">
            <w:pPr>
              <w:pStyle w:val="Tabletext"/>
              <w:framePr w:hSpace="0" w:wrap="auto" w:vAnchor="margin" w:hAnchor="text" w:yAlign="inline"/>
            </w:pPr>
            <w:r>
              <w:t>Aligned with the PCC’s Police and Crime P</w:t>
            </w:r>
            <w:r w:rsidR="00DA5540">
              <w:t>l</w:t>
            </w:r>
            <w:r>
              <w:t>an; funds are disturbed in a more targeted way.</w:t>
            </w:r>
          </w:p>
          <w:p w14:paraId="217C9A95" w14:textId="74F8FEFB" w:rsidR="00076A97" w:rsidRDefault="005522CD" w:rsidP="00834FE8">
            <w:pPr>
              <w:pStyle w:val="Tabletext"/>
              <w:framePr w:hSpace="0" w:wrap="auto" w:vAnchor="margin" w:hAnchor="text" w:yAlign="inline"/>
            </w:pPr>
            <w:r>
              <w:t>Introduced themes for each bidding round.</w:t>
            </w:r>
          </w:p>
        </w:tc>
        <w:tc>
          <w:tcPr>
            <w:tcW w:w="2839" w:type="dxa"/>
          </w:tcPr>
          <w:p w14:paraId="54989245" w14:textId="55D44EBA" w:rsidR="009E0A51" w:rsidRDefault="00D71A94" w:rsidP="00D71A94">
            <w:pPr>
              <w:pStyle w:val="Tabletext"/>
              <w:framePr w:hSpace="0" w:wrap="auto" w:vAnchor="margin" w:hAnchor="text" w:yAlign="inline"/>
            </w:pPr>
            <w:r>
              <w:t>Managing expectations and demand</w:t>
            </w:r>
            <w:r w:rsidR="00EF45DE">
              <w:t xml:space="preserve"> of organisations bidding in to the Fund</w:t>
            </w:r>
          </w:p>
          <w:p w14:paraId="4443151A" w14:textId="4DC2C28F" w:rsidR="00D71A94" w:rsidRPr="00C67424" w:rsidRDefault="00EF45DE" w:rsidP="00D71A94">
            <w:pPr>
              <w:pStyle w:val="Tabletext"/>
              <w:framePr w:hSpace="0" w:wrap="auto" w:vAnchor="margin" w:hAnchor="text" w:yAlign="inline"/>
            </w:pPr>
            <w:r>
              <w:t>Significant a</w:t>
            </w:r>
            <w:r w:rsidR="00D71A94">
              <w:t>dministrative burden</w:t>
            </w:r>
            <w:r>
              <w:t xml:space="preserve"> on an already </w:t>
            </w:r>
            <w:r w:rsidR="00A33417">
              <w:t xml:space="preserve">busy team. </w:t>
            </w:r>
          </w:p>
        </w:tc>
        <w:tc>
          <w:tcPr>
            <w:tcW w:w="2552" w:type="dxa"/>
          </w:tcPr>
          <w:p w14:paraId="5C8D7184" w14:textId="77777777" w:rsidR="009E0A51" w:rsidRPr="00C67424" w:rsidRDefault="009E0A51" w:rsidP="006E2B88">
            <w:pPr>
              <w:pStyle w:val="Tabletext"/>
              <w:framePr w:hSpace="0" w:wrap="auto" w:vAnchor="margin" w:hAnchor="text" w:yAlign="inline"/>
            </w:pPr>
          </w:p>
        </w:tc>
      </w:tr>
      <w:tr w:rsidR="004960FC" w:rsidRPr="00C67424" w14:paraId="33778EBA" w14:textId="77777777" w:rsidTr="0164B651">
        <w:trPr>
          <w:trHeight w:val="983"/>
        </w:trPr>
        <w:tc>
          <w:tcPr>
            <w:tcW w:w="1980" w:type="dxa"/>
          </w:tcPr>
          <w:p w14:paraId="6FDFF746" w14:textId="2CDF8D16" w:rsidR="004960FC" w:rsidRDefault="000D6A28" w:rsidP="006E2B88">
            <w:pPr>
              <w:pStyle w:val="Tabletext"/>
              <w:framePr w:hSpace="0" w:wrap="auto" w:vAnchor="margin" w:hAnchor="text" w:yAlign="inline"/>
            </w:pPr>
            <w:r>
              <w:t xml:space="preserve">Improving Kent CJS </w:t>
            </w:r>
          </w:p>
        </w:tc>
        <w:tc>
          <w:tcPr>
            <w:tcW w:w="1701" w:type="dxa"/>
          </w:tcPr>
          <w:p w14:paraId="7E1E29F1" w14:textId="7663E2C9" w:rsidR="004960FC" w:rsidRDefault="00790890" w:rsidP="006E2B88">
            <w:pPr>
              <w:pStyle w:val="Tabletext"/>
              <w:framePr w:hSpace="0" w:wrap="auto" w:vAnchor="margin" w:hAnchor="text" w:yAlign="inline"/>
            </w:pPr>
            <w:r>
              <w:t>Police and Crime Plan</w:t>
            </w:r>
          </w:p>
        </w:tc>
        <w:tc>
          <w:tcPr>
            <w:tcW w:w="5528" w:type="dxa"/>
          </w:tcPr>
          <w:p w14:paraId="16837071" w14:textId="2FDE6CF8" w:rsidR="004960FC" w:rsidRDefault="005522CD" w:rsidP="006E2B88">
            <w:pPr>
              <w:pStyle w:val="Tabletext"/>
              <w:framePr w:hSpace="0" w:wrap="auto" w:vAnchor="margin" w:hAnchor="text" w:yAlign="inline"/>
            </w:pPr>
            <w:r>
              <w:t>Defined</w:t>
            </w:r>
            <w:r w:rsidR="000D6A28">
              <w:t xml:space="preserve"> meeting structure</w:t>
            </w:r>
            <w:r w:rsidR="00B417FB">
              <w:t xml:space="preserve"> for the new boards which underpin the KC</w:t>
            </w:r>
            <w:r w:rsidR="000D6A28">
              <w:t>JB</w:t>
            </w:r>
            <w:r w:rsidR="000A54D8">
              <w:t xml:space="preserve">, with new </w:t>
            </w:r>
            <w:r w:rsidR="00B417FB">
              <w:t>terms of reference</w:t>
            </w:r>
          </w:p>
          <w:p w14:paraId="34EBF24E" w14:textId="22E33792" w:rsidR="00A06347" w:rsidRDefault="00A06347" w:rsidP="006E2B88">
            <w:pPr>
              <w:pStyle w:val="Tabletext"/>
              <w:framePr w:hSpace="0" w:wrap="auto" w:vAnchor="margin" w:hAnchor="text" w:yAlign="inline"/>
            </w:pPr>
            <w:r>
              <w:t>Re-introduction of the Victim and Witness sub</w:t>
            </w:r>
            <w:r w:rsidR="00A143D6">
              <w:t>group, to consider Victims’ Code compliance across all CJ agencies.</w:t>
            </w:r>
            <w:r w:rsidR="005953A9">
              <w:t xml:space="preserve"> </w:t>
            </w:r>
          </w:p>
          <w:p w14:paraId="4DFB26F3" w14:textId="4A77E0C6" w:rsidR="000A54D8" w:rsidRDefault="000A54D8" w:rsidP="006E2B88">
            <w:pPr>
              <w:pStyle w:val="Tabletext"/>
              <w:framePr w:hSpace="0" w:wrap="auto" w:vAnchor="margin" w:hAnchor="text" w:yAlign="inline"/>
            </w:pPr>
            <w:r>
              <w:t>Data pack continues to improve</w:t>
            </w:r>
            <w:r w:rsidR="00B417FB">
              <w:t xml:space="preserve">, with partners providing more </w:t>
            </w:r>
            <w:r w:rsidR="00A3637C">
              <w:t>and improved information.</w:t>
            </w:r>
            <w:r w:rsidR="005953A9">
              <w:t xml:space="preserve"> </w:t>
            </w:r>
          </w:p>
          <w:p w14:paraId="585F6AFD" w14:textId="1813DB54" w:rsidR="00A3637C" w:rsidRDefault="00A3637C" w:rsidP="006E2B88">
            <w:pPr>
              <w:pStyle w:val="Tabletext"/>
              <w:framePr w:hSpace="0" w:wrap="auto" w:vAnchor="margin" w:hAnchor="text" w:yAlign="inline"/>
            </w:pPr>
            <w:r>
              <w:t>Regular updates to the Police and Crime Panel on the CJS</w:t>
            </w:r>
            <w:r w:rsidR="008C2772">
              <w:t>; Panel supportive of the specific challenges that Kent fac</w:t>
            </w:r>
            <w:r w:rsidR="007F76A5">
              <w:t>es</w:t>
            </w:r>
            <w:r w:rsidR="008C2772">
              <w:t>, and as a result have written to the Minister</w:t>
            </w:r>
            <w:r w:rsidR="00367EC8">
              <w:t xml:space="preserve"> outlining their concerns and seeking assurances.</w:t>
            </w:r>
          </w:p>
          <w:p w14:paraId="416A084E" w14:textId="641CD525" w:rsidR="00367EC8" w:rsidRDefault="00367EC8" w:rsidP="006E2B88">
            <w:pPr>
              <w:pStyle w:val="Tabletext"/>
              <w:framePr w:hSpace="0" w:wrap="auto" w:vAnchor="margin" w:hAnchor="text" w:yAlign="inline"/>
            </w:pPr>
            <w:r>
              <w:t xml:space="preserve">Two workshops convened by the </w:t>
            </w:r>
            <w:r w:rsidR="008B380F">
              <w:t>KCJB Manager</w:t>
            </w:r>
            <w:r>
              <w:t>, attended by a wide range of CJS partners.</w:t>
            </w:r>
            <w:r w:rsidR="005953A9">
              <w:t xml:space="preserve"> </w:t>
            </w:r>
            <w:r>
              <w:t xml:space="preserve">Evidences both </w:t>
            </w:r>
            <w:r w:rsidR="004A1144">
              <w:t>commitment to partnership working, and joint aim to tackle backlog</w:t>
            </w:r>
            <w:r w:rsidR="00A06347">
              <w:t>.</w:t>
            </w:r>
          </w:p>
          <w:p w14:paraId="246DA740" w14:textId="7ABF88CA" w:rsidR="00A06347" w:rsidRDefault="00A06347" w:rsidP="006E2B88">
            <w:pPr>
              <w:pStyle w:val="Tabletext"/>
              <w:framePr w:hSpace="0" w:wrap="auto" w:vAnchor="margin" w:hAnchor="text" w:yAlign="inline"/>
            </w:pPr>
            <w:r>
              <w:t xml:space="preserve">KCJB </w:t>
            </w:r>
            <w:r w:rsidR="003109A5">
              <w:t>M</w:t>
            </w:r>
            <w:r>
              <w:t xml:space="preserve">anager has developed an excellent working relationship at the operational level with </w:t>
            </w:r>
            <w:r w:rsidR="00E41960">
              <w:t>partners</w:t>
            </w:r>
            <w:r>
              <w:t xml:space="preserve"> across the CJS.</w:t>
            </w:r>
            <w:r w:rsidR="005953A9">
              <w:t xml:space="preserve"> </w:t>
            </w:r>
          </w:p>
          <w:p w14:paraId="3EDE5C07" w14:textId="1D0DE6CE" w:rsidR="00A143D6" w:rsidRDefault="004753E4" w:rsidP="006E2B88">
            <w:pPr>
              <w:pStyle w:val="Tabletext"/>
              <w:framePr w:hSpace="0" w:wrap="auto" w:vAnchor="margin" w:hAnchor="text" w:yAlign="inline"/>
            </w:pPr>
            <w:r>
              <w:t>Following the KCJB’s identification of specific areas where delays were contributing to the backlog, HMCTS has awarded Kent financial supp</w:t>
            </w:r>
            <w:r w:rsidR="005D45FC">
              <w:t xml:space="preserve">ort to </w:t>
            </w:r>
            <w:r w:rsidR="00FD389A">
              <w:t>pilot</w:t>
            </w:r>
            <w:r w:rsidR="00236D32">
              <w:t xml:space="preserve"> </w:t>
            </w:r>
            <w:r w:rsidR="005D45FC">
              <w:t>virtual remand hearings</w:t>
            </w:r>
            <w:r w:rsidR="00FD389A">
              <w:t xml:space="preserve"> for a period of</w:t>
            </w:r>
            <w:r w:rsidR="005D45FC">
              <w:t xml:space="preserve"> six months.</w:t>
            </w:r>
            <w:r w:rsidR="005953A9">
              <w:t xml:space="preserve"> </w:t>
            </w:r>
            <w:r w:rsidR="005D45FC">
              <w:t>There is national interest in this pilot scheme, with the possibility of a nation-wide roll out.</w:t>
            </w:r>
            <w:r w:rsidR="005953A9">
              <w:t xml:space="preserve"> </w:t>
            </w:r>
          </w:p>
          <w:p w14:paraId="663C09F2" w14:textId="2A4A09CB" w:rsidR="00B13800" w:rsidRDefault="00B13800" w:rsidP="006E2B88">
            <w:pPr>
              <w:pStyle w:val="Tabletext"/>
              <w:framePr w:hSpace="0" w:wrap="auto" w:vAnchor="margin" w:hAnchor="text" w:yAlign="inline"/>
            </w:pPr>
            <w:r>
              <w:t xml:space="preserve">PCC </w:t>
            </w:r>
            <w:r w:rsidR="00185BB9">
              <w:t xml:space="preserve">has provided Prisoners Building Homes </w:t>
            </w:r>
            <w:r w:rsidR="000F2100">
              <w:t>(PBH</w:t>
            </w:r>
            <w:r w:rsidR="006F59A6">
              <w:t xml:space="preserve">) </w:t>
            </w:r>
            <w:r w:rsidR="009A051B">
              <w:t>with</w:t>
            </w:r>
            <w:r>
              <w:t>£25k s</w:t>
            </w:r>
            <w:r w:rsidR="00766A95">
              <w:t>eed funding</w:t>
            </w:r>
            <w:r w:rsidR="009A051B">
              <w:t xml:space="preserve">. </w:t>
            </w:r>
            <w:r w:rsidR="006F59A6">
              <w:t xml:space="preserve">PBH is a </w:t>
            </w:r>
            <w:r w:rsidR="000F2100" w:rsidRPr="000F2100">
              <w:t>program where prisoners construct low-cost, low-carbon modular homes, gaining skills and qualifications that reduce reoffending while addressing housing shortages.</w:t>
            </w:r>
            <w:r w:rsidR="00766A95">
              <w:t xml:space="preserve"> </w:t>
            </w:r>
            <w:r w:rsidR="005A397E" w:rsidRPr="005A397E">
              <w:t>Thanet</w:t>
            </w:r>
            <w:r w:rsidR="00335E34">
              <w:t xml:space="preserve"> District Council </w:t>
            </w:r>
            <w:r w:rsidR="00C03F76">
              <w:t xml:space="preserve">is engaged and </w:t>
            </w:r>
            <w:r w:rsidR="00335E34">
              <w:t>ha</w:t>
            </w:r>
            <w:r w:rsidR="00A963EA">
              <w:t>s</w:t>
            </w:r>
            <w:r w:rsidR="00335E34">
              <w:t xml:space="preserve"> identified suitable development</w:t>
            </w:r>
            <w:r w:rsidR="00C03F76">
              <w:t xml:space="preserve"> opportunity</w:t>
            </w:r>
            <w:r w:rsidR="007D0B2D">
              <w:t xml:space="preserve">; currently </w:t>
            </w:r>
            <w:r w:rsidR="00C03F76">
              <w:t>l</w:t>
            </w:r>
            <w:r w:rsidR="005A397E" w:rsidRPr="005A397E">
              <w:t xml:space="preserve">ooking </w:t>
            </w:r>
            <w:r w:rsidR="007D0B2D">
              <w:t xml:space="preserve">to </w:t>
            </w:r>
            <w:r w:rsidR="005A397E" w:rsidRPr="005A397E">
              <w:t>procure</w:t>
            </w:r>
            <w:r w:rsidR="007D0B2D">
              <w:t xml:space="preserve"> </w:t>
            </w:r>
            <w:r w:rsidR="005A397E" w:rsidRPr="005A397E">
              <w:t xml:space="preserve">housebuilder </w:t>
            </w:r>
            <w:r w:rsidR="00631D0F">
              <w:t xml:space="preserve">and </w:t>
            </w:r>
            <w:r w:rsidR="00990D46">
              <w:t xml:space="preserve">awaiting outcome of </w:t>
            </w:r>
            <w:r w:rsidR="005A397E" w:rsidRPr="005A397E">
              <w:t>planning application</w:t>
            </w:r>
            <w:r w:rsidR="00990D46">
              <w:t>.</w:t>
            </w:r>
            <w:r w:rsidR="005953A9">
              <w:t xml:space="preserve">  </w:t>
            </w:r>
          </w:p>
        </w:tc>
        <w:tc>
          <w:tcPr>
            <w:tcW w:w="2839" w:type="dxa"/>
          </w:tcPr>
          <w:p w14:paraId="28566B72" w14:textId="72DB4AEF" w:rsidR="004960FC" w:rsidRDefault="00D427F4" w:rsidP="00D71A94">
            <w:pPr>
              <w:pStyle w:val="Tabletext"/>
              <w:framePr w:hSpace="0" w:wrap="auto" w:vAnchor="margin" w:hAnchor="text" w:yAlign="inline"/>
            </w:pPr>
            <w:r>
              <w:t xml:space="preserve">Owing to </w:t>
            </w:r>
            <w:r w:rsidR="00AD7D59">
              <w:t>demands</w:t>
            </w:r>
            <w:r>
              <w:t xml:space="preserve"> at operational level across all services, </w:t>
            </w:r>
            <w:r w:rsidR="00AD7D59">
              <w:t>challenging</w:t>
            </w:r>
            <w:r>
              <w:t xml:space="preserve"> to progress issues. </w:t>
            </w:r>
          </w:p>
        </w:tc>
        <w:tc>
          <w:tcPr>
            <w:tcW w:w="2552" w:type="dxa"/>
          </w:tcPr>
          <w:p w14:paraId="1664C8C9" w14:textId="77777777" w:rsidR="004960FC" w:rsidRPr="00C67424" w:rsidRDefault="004960FC" w:rsidP="006E2B88">
            <w:pPr>
              <w:pStyle w:val="Tabletext"/>
              <w:framePr w:hSpace="0" w:wrap="auto" w:vAnchor="margin" w:hAnchor="text" w:yAlign="inline"/>
            </w:pPr>
          </w:p>
        </w:tc>
      </w:tr>
      <w:tr w:rsidR="00B40795" w:rsidRPr="00C67424" w14:paraId="66343860" w14:textId="77777777" w:rsidTr="0164B651">
        <w:trPr>
          <w:trHeight w:val="983"/>
        </w:trPr>
        <w:tc>
          <w:tcPr>
            <w:tcW w:w="1980" w:type="dxa"/>
          </w:tcPr>
          <w:p w14:paraId="3C080AA3" w14:textId="0F4072F8" w:rsidR="00B40795" w:rsidRDefault="00F36DD9" w:rsidP="006E2B88">
            <w:pPr>
              <w:pStyle w:val="Tabletext"/>
              <w:framePr w:hSpace="0" w:wrap="auto" w:vAnchor="margin" w:hAnchor="text" w:yAlign="inline"/>
            </w:pPr>
            <w:r>
              <w:t>M</w:t>
            </w:r>
            <w:r w:rsidR="001A1FEB">
              <w:t xml:space="preserve">edium </w:t>
            </w:r>
            <w:r>
              <w:t>T</w:t>
            </w:r>
            <w:r w:rsidR="001A1FEB">
              <w:t xml:space="preserve">erm </w:t>
            </w:r>
            <w:r>
              <w:t>F</w:t>
            </w:r>
            <w:r w:rsidR="001A1FEB">
              <w:t xml:space="preserve">inancial </w:t>
            </w:r>
            <w:r>
              <w:t>P</w:t>
            </w:r>
            <w:r w:rsidR="001A1FEB">
              <w:t>lan</w:t>
            </w:r>
          </w:p>
        </w:tc>
        <w:tc>
          <w:tcPr>
            <w:tcW w:w="1701" w:type="dxa"/>
          </w:tcPr>
          <w:p w14:paraId="1B8CD979" w14:textId="297541A3" w:rsidR="00B40795" w:rsidRPr="00C67424" w:rsidRDefault="00F36DD9" w:rsidP="006E2B88">
            <w:pPr>
              <w:pStyle w:val="Tabletext"/>
              <w:framePr w:hSpace="0" w:wrap="auto" w:vAnchor="margin" w:hAnchor="text" w:yAlign="inline"/>
            </w:pPr>
            <w:r>
              <w:t>Internal Audit</w:t>
            </w:r>
          </w:p>
        </w:tc>
        <w:tc>
          <w:tcPr>
            <w:tcW w:w="5528" w:type="dxa"/>
          </w:tcPr>
          <w:p w14:paraId="057FAAA9" w14:textId="7530C417" w:rsidR="00B40795" w:rsidRDefault="00F36DD9" w:rsidP="006E2B88">
            <w:pPr>
              <w:pStyle w:val="Tabletext"/>
              <w:framePr w:hSpace="0" w:wrap="auto" w:vAnchor="margin" w:hAnchor="text" w:yAlign="inline"/>
            </w:pPr>
            <w:r>
              <w:t>Received substantial assurance</w:t>
            </w:r>
            <w:r w:rsidR="00B84CBB">
              <w:t>.</w:t>
            </w:r>
            <w:r w:rsidR="005953A9">
              <w:t xml:space="preserve"> </w:t>
            </w:r>
            <w:r w:rsidR="00B84CBB">
              <w:t xml:space="preserve">Audit noted </w:t>
            </w:r>
            <w:r w:rsidR="00480123">
              <w:t xml:space="preserve">strength of </w:t>
            </w:r>
            <w:r w:rsidR="00615FC8">
              <w:t>Financial Regulation documents; communication between OPCC and Force CFOs; on-going review of assumptions underlying the plan</w:t>
            </w:r>
            <w:r w:rsidR="00344905">
              <w:t>; and that appropriate governance and reporting processes are in place.</w:t>
            </w:r>
          </w:p>
        </w:tc>
        <w:tc>
          <w:tcPr>
            <w:tcW w:w="2839" w:type="dxa"/>
          </w:tcPr>
          <w:p w14:paraId="0DC2D59D" w14:textId="77777777" w:rsidR="00B40795" w:rsidRPr="00C67424" w:rsidRDefault="00B40795" w:rsidP="006E2B88">
            <w:pPr>
              <w:pStyle w:val="Tabletext"/>
              <w:framePr w:hSpace="0" w:wrap="auto" w:vAnchor="margin" w:hAnchor="text" w:yAlign="inline"/>
            </w:pPr>
          </w:p>
        </w:tc>
        <w:tc>
          <w:tcPr>
            <w:tcW w:w="2552" w:type="dxa"/>
          </w:tcPr>
          <w:p w14:paraId="06898EB4" w14:textId="77777777" w:rsidR="00B40795" w:rsidRPr="00C67424" w:rsidRDefault="00B40795" w:rsidP="006E2B88">
            <w:pPr>
              <w:pStyle w:val="Tabletext"/>
              <w:framePr w:hSpace="0" w:wrap="auto" w:vAnchor="margin" w:hAnchor="text" w:yAlign="inline"/>
            </w:pPr>
          </w:p>
        </w:tc>
      </w:tr>
      <w:tr w:rsidR="001C0643" w:rsidRPr="00C67424" w14:paraId="03795CD6" w14:textId="77777777" w:rsidTr="0164B651">
        <w:trPr>
          <w:trHeight w:val="983"/>
        </w:trPr>
        <w:tc>
          <w:tcPr>
            <w:tcW w:w="1980" w:type="dxa"/>
          </w:tcPr>
          <w:p w14:paraId="320939A6" w14:textId="373449C9" w:rsidR="001C0643" w:rsidRDefault="000A7686" w:rsidP="006E2B88">
            <w:pPr>
              <w:pStyle w:val="Tabletext"/>
              <w:framePr w:hSpace="0" w:wrap="auto" w:vAnchor="margin" w:hAnchor="text" w:yAlign="inline"/>
            </w:pPr>
            <w:r>
              <w:t>Work with NHS England and with Kent County Council</w:t>
            </w:r>
          </w:p>
        </w:tc>
        <w:tc>
          <w:tcPr>
            <w:tcW w:w="1701" w:type="dxa"/>
          </w:tcPr>
          <w:p w14:paraId="26F57331" w14:textId="77777777" w:rsidR="001C0643" w:rsidRDefault="001C0643" w:rsidP="006E2B88">
            <w:pPr>
              <w:pStyle w:val="Tabletext"/>
              <w:framePr w:hSpace="0" w:wrap="auto" w:vAnchor="margin" w:hAnchor="text" w:yAlign="inline"/>
            </w:pPr>
          </w:p>
        </w:tc>
        <w:tc>
          <w:tcPr>
            <w:tcW w:w="5528" w:type="dxa"/>
          </w:tcPr>
          <w:p w14:paraId="3150E922" w14:textId="53B55B81" w:rsidR="001C0643" w:rsidRDefault="001C0643" w:rsidP="006E2B88">
            <w:pPr>
              <w:pStyle w:val="Tabletext"/>
              <w:framePr w:hSpace="0" w:wrap="auto" w:vAnchor="margin" w:hAnchor="text" w:yAlign="inline"/>
            </w:pPr>
            <w:r>
              <w:t xml:space="preserve">See section B </w:t>
            </w:r>
          </w:p>
        </w:tc>
        <w:tc>
          <w:tcPr>
            <w:tcW w:w="2839" w:type="dxa"/>
          </w:tcPr>
          <w:p w14:paraId="080C7806" w14:textId="77777777" w:rsidR="001C0643" w:rsidRPr="00C67424" w:rsidRDefault="001C0643" w:rsidP="006E2B88">
            <w:pPr>
              <w:pStyle w:val="Tabletext"/>
              <w:framePr w:hSpace="0" w:wrap="auto" w:vAnchor="margin" w:hAnchor="text" w:yAlign="inline"/>
            </w:pPr>
          </w:p>
        </w:tc>
        <w:tc>
          <w:tcPr>
            <w:tcW w:w="2552" w:type="dxa"/>
          </w:tcPr>
          <w:p w14:paraId="61653A45" w14:textId="77777777" w:rsidR="001C0643" w:rsidRPr="00C67424" w:rsidRDefault="001C0643" w:rsidP="006E2B88">
            <w:pPr>
              <w:pStyle w:val="Tabletext"/>
              <w:framePr w:hSpace="0" w:wrap="auto" w:vAnchor="margin" w:hAnchor="text" w:yAlign="inline"/>
            </w:pPr>
          </w:p>
        </w:tc>
      </w:tr>
    </w:tbl>
    <w:p w14:paraId="5F45B238" w14:textId="77777777" w:rsidR="00C55457" w:rsidRDefault="00C55457" w:rsidP="006E2B88">
      <w:pPr>
        <w:sectPr w:rsidR="00C55457" w:rsidSect="000B208F">
          <w:pgSz w:w="16838" w:h="11906" w:orient="landscape"/>
          <w:pgMar w:top="1814" w:right="1134" w:bottom="1440" w:left="1134" w:header="709" w:footer="471" w:gutter="0"/>
          <w:cols w:space="708"/>
          <w:docGrid w:linePitch="360"/>
        </w:sectPr>
      </w:pPr>
    </w:p>
    <w:tbl>
      <w:tblPr>
        <w:tblStyle w:val="TableGrid"/>
        <w:tblpPr w:leftFromText="180" w:rightFromText="180" w:vertAnchor="text" w:horzAnchor="margin" w:tblpY="227"/>
        <w:tblW w:w="14596" w:type="dxa"/>
        <w:tblLook w:val="04A0" w:firstRow="1" w:lastRow="0" w:firstColumn="1" w:lastColumn="0" w:noHBand="0" w:noVBand="1"/>
      </w:tblPr>
      <w:tblGrid>
        <w:gridCol w:w="1519"/>
        <w:gridCol w:w="1842"/>
        <w:gridCol w:w="5528"/>
        <w:gridCol w:w="3061"/>
        <w:gridCol w:w="2646"/>
      </w:tblGrid>
      <w:tr w:rsidR="00C55457" w14:paraId="565E173C" w14:textId="77777777" w:rsidTr="00BF6C77">
        <w:tc>
          <w:tcPr>
            <w:tcW w:w="14596" w:type="dxa"/>
            <w:gridSpan w:val="5"/>
            <w:shd w:val="clear" w:color="auto" w:fill="E2EFD9" w:themeFill="accent6" w:themeFillTint="33"/>
          </w:tcPr>
          <w:p w14:paraId="6C5E9843" w14:textId="77777777" w:rsidR="00BF240D" w:rsidRPr="00BF240D" w:rsidRDefault="00C55457" w:rsidP="003C6074">
            <w:pPr>
              <w:pStyle w:val="HeadinginTable"/>
              <w:framePr w:hSpace="0" w:wrap="auto" w:vAnchor="margin" w:hAnchor="text" w:yAlign="inline"/>
            </w:pPr>
            <w:r w:rsidRPr="00BF240D">
              <w:t>Core Principle of the Framework</w:t>
            </w:r>
          </w:p>
          <w:p w14:paraId="3F54A2B0" w14:textId="15D3A493" w:rsidR="00C55457" w:rsidRPr="00BF240D" w:rsidRDefault="00C55457" w:rsidP="003C6074">
            <w:pPr>
              <w:pStyle w:val="Heading3"/>
              <w:framePr w:hSpace="0" w:wrap="auto" w:vAnchor="margin" w:hAnchor="text" w:yAlign="inline"/>
            </w:pPr>
            <w:r w:rsidRPr="00BF240D">
              <w:t>Determining the actions necessary to achieve the intended outcomes</w:t>
            </w:r>
          </w:p>
          <w:p w14:paraId="45472B8A" w14:textId="21BAF1DD" w:rsidR="00C55457" w:rsidRPr="001B0A79" w:rsidRDefault="00C55457" w:rsidP="006E2B88">
            <w:pPr>
              <w:pStyle w:val="Tabletext"/>
              <w:framePr w:hSpace="0" w:wrap="auto" w:vAnchor="margin" w:hAnchor="text" w:yAlign="inline"/>
            </w:pPr>
            <w:r w:rsidRPr="001B0A79">
              <w:t xml:space="preserve">The PCC has assessed compliance with the framework as set out in the </w:t>
            </w:r>
            <w:r w:rsidRPr="001B0A79">
              <w:rPr>
                <w:highlight w:val="yellow"/>
              </w:rPr>
              <w:t>Local Code of Governance</w:t>
            </w:r>
            <w:r w:rsidRPr="001B0A79">
              <w:t xml:space="preserve"> under section </w:t>
            </w:r>
            <w:r w:rsidR="00517184" w:rsidRPr="001B0A79">
              <w:t xml:space="preserve">D. </w:t>
            </w:r>
            <w:r w:rsidRPr="001B0A79">
              <w:t xml:space="preserve">He has assessed that there is adequate assurance, and that this is overall an area of </w:t>
            </w:r>
            <w:r w:rsidRPr="001B0A79">
              <w:rPr>
                <w:u w:val="single"/>
              </w:rPr>
              <w:t>strength.</w:t>
            </w:r>
          </w:p>
        </w:tc>
      </w:tr>
      <w:tr w:rsidR="00866932" w14:paraId="4EF53459" w14:textId="77777777" w:rsidTr="00BF6C77">
        <w:trPr>
          <w:trHeight w:val="403"/>
        </w:trPr>
        <w:tc>
          <w:tcPr>
            <w:tcW w:w="1519" w:type="dxa"/>
            <w:vAlign w:val="center"/>
          </w:tcPr>
          <w:p w14:paraId="72AE4B49" w14:textId="77777777" w:rsidR="00C55457" w:rsidRPr="003C6074" w:rsidRDefault="00C55457" w:rsidP="003C6074">
            <w:pPr>
              <w:pStyle w:val="Tabletext"/>
              <w:framePr w:hSpace="0" w:wrap="auto" w:vAnchor="margin" w:hAnchor="text" w:yAlign="inline"/>
              <w:rPr>
                <w:b/>
                <w:bCs/>
              </w:rPr>
            </w:pPr>
            <w:r w:rsidRPr="003C6074">
              <w:rPr>
                <w:b/>
                <w:bCs/>
              </w:rPr>
              <w:t>Issue</w:t>
            </w:r>
          </w:p>
        </w:tc>
        <w:tc>
          <w:tcPr>
            <w:tcW w:w="1842" w:type="dxa"/>
            <w:vAlign w:val="center"/>
          </w:tcPr>
          <w:p w14:paraId="2B17BBF6" w14:textId="145B9A83" w:rsidR="00C55457" w:rsidRPr="003C6074" w:rsidRDefault="00C55457" w:rsidP="003C6074">
            <w:pPr>
              <w:pStyle w:val="Tabletext"/>
              <w:framePr w:hSpace="0" w:wrap="auto" w:vAnchor="margin" w:hAnchor="text" w:yAlign="inline"/>
              <w:rPr>
                <w:b/>
                <w:bCs/>
              </w:rPr>
            </w:pPr>
            <w:r w:rsidRPr="003C6074">
              <w:rPr>
                <w:b/>
                <w:bCs/>
              </w:rPr>
              <w:t>Identified from</w:t>
            </w:r>
          </w:p>
        </w:tc>
        <w:tc>
          <w:tcPr>
            <w:tcW w:w="5528" w:type="dxa"/>
            <w:shd w:val="clear" w:color="auto" w:fill="E2EFD9" w:themeFill="accent6" w:themeFillTint="33"/>
            <w:vAlign w:val="center"/>
          </w:tcPr>
          <w:p w14:paraId="4892835D" w14:textId="77777777" w:rsidR="00C55457" w:rsidRPr="003C6074" w:rsidRDefault="00C55457" w:rsidP="003C6074">
            <w:pPr>
              <w:pStyle w:val="Tabletext"/>
              <w:framePr w:hSpace="0" w:wrap="auto" w:vAnchor="margin" w:hAnchor="text" w:yAlign="inline"/>
              <w:rPr>
                <w:b/>
                <w:bCs/>
              </w:rPr>
            </w:pPr>
            <w:r w:rsidRPr="003C6074">
              <w:rPr>
                <w:b/>
                <w:bCs/>
              </w:rPr>
              <w:t>Strength</w:t>
            </w:r>
          </w:p>
        </w:tc>
        <w:tc>
          <w:tcPr>
            <w:tcW w:w="3061" w:type="dxa"/>
            <w:shd w:val="clear" w:color="auto" w:fill="FFF2CC" w:themeFill="accent4" w:themeFillTint="33"/>
            <w:vAlign w:val="center"/>
          </w:tcPr>
          <w:p w14:paraId="37C66D10" w14:textId="77777777" w:rsidR="00C55457" w:rsidRPr="003C6074" w:rsidRDefault="00C55457" w:rsidP="003C6074">
            <w:pPr>
              <w:pStyle w:val="Tabletext"/>
              <w:framePr w:hSpace="0" w:wrap="auto" w:vAnchor="margin" w:hAnchor="text" w:yAlign="inline"/>
              <w:rPr>
                <w:b/>
                <w:bCs/>
              </w:rPr>
            </w:pPr>
            <w:r w:rsidRPr="003C6074">
              <w:rPr>
                <w:b/>
                <w:bCs/>
              </w:rPr>
              <w:t>Area for Improvement</w:t>
            </w:r>
          </w:p>
        </w:tc>
        <w:tc>
          <w:tcPr>
            <w:tcW w:w="2646" w:type="dxa"/>
            <w:shd w:val="clear" w:color="auto" w:fill="FED6CE"/>
            <w:vAlign w:val="center"/>
          </w:tcPr>
          <w:p w14:paraId="5252D654" w14:textId="77777777" w:rsidR="00C55457" w:rsidRPr="003C6074" w:rsidRDefault="00C55457" w:rsidP="003C6074">
            <w:pPr>
              <w:pStyle w:val="Tabletext"/>
              <w:framePr w:hSpace="0" w:wrap="auto" w:vAnchor="margin" w:hAnchor="text" w:yAlign="inline"/>
              <w:rPr>
                <w:b/>
                <w:bCs/>
              </w:rPr>
            </w:pPr>
            <w:r w:rsidRPr="003C6074">
              <w:rPr>
                <w:b/>
                <w:bCs/>
              </w:rPr>
              <w:t>Area of challenge</w:t>
            </w:r>
          </w:p>
        </w:tc>
      </w:tr>
      <w:tr w:rsidR="001D3380" w14:paraId="1CACECA6" w14:textId="77777777" w:rsidTr="00663A85">
        <w:trPr>
          <w:trHeight w:val="983"/>
        </w:trPr>
        <w:tc>
          <w:tcPr>
            <w:tcW w:w="1519" w:type="dxa"/>
          </w:tcPr>
          <w:p w14:paraId="3A6182B0" w14:textId="037A8FC1" w:rsidR="001D3380" w:rsidRPr="001B0A79" w:rsidRDefault="000E381D" w:rsidP="003C6074">
            <w:pPr>
              <w:pStyle w:val="Tabletext"/>
              <w:framePr w:hSpace="0" w:wrap="auto" w:vAnchor="margin" w:hAnchor="text" w:yAlign="inline"/>
            </w:pPr>
            <w:r>
              <w:t>OPCC internal</w:t>
            </w:r>
            <w:r w:rsidR="001F005F">
              <w:t xml:space="preserve"> measures and</w:t>
            </w:r>
            <w:r>
              <w:t xml:space="preserve"> performance</w:t>
            </w:r>
            <w:r w:rsidR="001F005F">
              <w:t xml:space="preserve"> fram</w:t>
            </w:r>
            <w:r w:rsidR="00C12594">
              <w:t>ework</w:t>
            </w:r>
          </w:p>
        </w:tc>
        <w:tc>
          <w:tcPr>
            <w:tcW w:w="1842" w:type="dxa"/>
          </w:tcPr>
          <w:p w14:paraId="49DF677D" w14:textId="20904E72" w:rsidR="001D3380" w:rsidRPr="001B0A79" w:rsidRDefault="000E381D" w:rsidP="003C6074">
            <w:pPr>
              <w:pStyle w:val="Tabletext"/>
              <w:framePr w:hSpace="0" w:wrap="auto" w:vAnchor="margin" w:hAnchor="text" w:yAlign="inline"/>
            </w:pPr>
            <w:r>
              <w:t>Police and Crime Plan</w:t>
            </w:r>
          </w:p>
        </w:tc>
        <w:tc>
          <w:tcPr>
            <w:tcW w:w="5528" w:type="dxa"/>
          </w:tcPr>
          <w:p w14:paraId="4FEBB2DE" w14:textId="1FC95BED" w:rsidR="009D2485" w:rsidRDefault="009D2485" w:rsidP="003C6074">
            <w:pPr>
              <w:pStyle w:val="Tabletext"/>
              <w:framePr w:hSpace="0" w:wrap="auto" w:vAnchor="margin" w:hAnchor="text" w:yAlign="inline"/>
            </w:pPr>
            <w:r>
              <w:t>The Police and Crime Plan contains measure</w:t>
            </w:r>
            <w:r w:rsidR="00243611">
              <w:t>s</w:t>
            </w:r>
            <w:r>
              <w:t xml:space="preserve"> for the Chief Constable, for which the PCC holds him to account.</w:t>
            </w:r>
            <w:r w:rsidR="005953A9">
              <w:t xml:space="preserve"> </w:t>
            </w:r>
          </w:p>
          <w:p w14:paraId="5BA4EBEC" w14:textId="260707DA" w:rsidR="00243611" w:rsidRDefault="009D2485" w:rsidP="003C6074">
            <w:pPr>
              <w:pStyle w:val="Tabletext"/>
              <w:framePr w:hSpace="0" w:wrap="auto" w:vAnchor="margin" w:hAnchor="text" w:yAlign="inline"/>
            </w:pPr>
            <w:r>
              <w:t xml:space="preserve">The PCC has now established </w:t>
            </w:r>
            <w:r w:rsidR="00243611">
              <w:t xml:space="preserve">formal internal </w:t>
            </w:r>
            <w:r w:rsidR="00F50562">
              <w:t xml:space="preserve">measures and associated oversight processes </w:t>
            </w:r>
            <w:r w:rsidR="00243611">
              <w:t xml:space="preserve">to track the elements </w:t>
            </w:r>
            <w:r w:rsidR="00961B14">
              <w:t xml:space="preserve">of </w:t>
            </w:r>
            <w:r w:rsidR="00243611">
              <w:t>the Plan that relate to his own commitments to the public.</w:t>
            </w:r>
            <w:r w:rsidR="005953A9">
              <w:t xml:space="preserve"> </w:t>
            </w:r>
          </w:p>
          <w:p w14:paraId="1A92002D" w14:textId="7EE89340" w:rsidR="001D3380" w:rsidRPr="001B0A79" w:rsidRDefault="00243611" w:rsidP="00834FE8">
            <w:pPr>
              <w:pStyle w:val="Tabletext"/>
              <w:framePr w:hSpace="0" w:wrap="auto" w:vAnchor="margin" w:hAnchor="text" w:yAlign="inline"/>
            </w:pPr>
            <w:r>
              <w:t xml:space="preserve">This covers the four pillars of the plan, </w:t>
            </w:r>
            <w:r w:rsidR="00B70730">
              <w:t xml:space="preserve">and the internal measures </w:t>
            </w:r>
            <w:r w:rsidR="0087257E">
              <w:t xml:space="preserve">are reviewed by </w:t>
            </w:r>
            <w:r w:rsidR="00F164FD">
              <w:t xml:space="preserve">the SMT </w:t>
            </w:r>
            <w:r w:rsidR="00B70730">
              <w:t xml:space="preserve">quarterly, </w:t>
            </w:r>
            <w:r w:rsidR="00F164FD">
              <w:t xml:space="preserve">with subsequent exception reporting </w:t>
            </w:r>
            <w:r w:rsidR="00B70730">
              <w:t>to the PCC.</w:t>
            </w:r>
            <w:r w:rsidR="005953A9">
              <w:t xml:space="preserve"> </w:t>
            </w:r>
            <w:r w:rsidR="00B70730">
              <w:t xml:space="preserve">This enables </w:t>
            </w:r>
            <w:r w:rsidR="004A0C03">
              <w:t xml:space="preserve">the identification of </w:t>
            </w:r>
            <w:r w:rsidR="00045FFC">
              <w:t>risks to delivery, as well as opportunities</w:t>
            </w:r>
            <w:r w:rsidR="00B70730">
              <w:t xml:space="preserve">, and also allows the PCC to evidence his achievements, and that of the OPCC. </w:t>
            </w:r>
          </w:p>
        </w:tc>
        <w:tc>
          <w:tcPr>
            <w:tcW w:w="3061" w:type="dxa"/>
          </w:tcPr>
          <w:p w14:paraId="6E1D890C" w14:textId="77777777" w:rsidR="001D3380" w:rsidRPr="001B0A79" w:rsidRDefault="001D3380" w:rsidP="003C6074">
            <w:pPr>
              <w:pStyle w:val="Tabletext"/>
              <w:framePr w:hSpace="0" w:wrap="auto" w:vAnchor="margin" w:hAnchor="text" w:yAlign="inline"/>
            </w:pPr>
          </w:p>
        </w:tc>
        <w:tc>
          <w:tcPr>
            <w:tcW w:w="2646" w:type="dxa"/>
          </w:tcPr>
          <w:p w14:paraId="7E1F953B" w14:textId="77777777" w:rsidR="001D3380" w:rsidRPr="001B0A79" w:rsidRDefault="001D3380" w:rsidP="003C6074">
            <w:pPr>
              <w:pStyle w:val="Tabletext"/>
              <w:framePr w:hSpace="0" w:wrap="auto" w:vAnchor="margin" w:hAnchor="text" w:yAlign="inline"/>
            </w:pPr>
          </w:p>
        </w:tc>
      </w:tr>
      <w:tr w:rsidR="00093C5D" w14:paraId="4CB34B89" w14:textId="77777777" w:rsidTr="00663A85">
        <w:trPr>
          <w:trHeight w:val="983"/>
        </w:trPr>
        <w:tc>
          <w:tcPr>
            <w:tcW w:w="1519" w:type="dxa"/>
          </w:tcPr>
          <w:p w14:paraId="2BB053B1" w14:textId="3AD8195A" w:rsidR="00093C5D" w:rsidRPr="001B0A79" w:rsidRDefault="00093C5D" w:rsidP="003C6074">
            <w:pPr>
              <w:pStyle w:val="Tabletext"/>
              <w:framePr w:hSpace="0" w:wrap="auto" w:vAnchor="margin" w:hAnchor="text" w:yAlign="inline"/>
            </w:pPr>
            <w:r>
              <w:t>VRU</w:t>
            </w:r>
            <w:r w:rsidR="00947FA1">
              <w:t xml:space="preserve"> (Violence Reduction Unit)</w:t>
            </w:r>
          </w:p>
        </w:tc>
        <w:tc>
          <w:tcPr>
            <w:tcW w:w="1842" w:type="dxa"/>
          </w:tcPr>
          <w:p w14:paraId="268780EC" w14:textId="4B01CE36" w:rsidR="00093C5D" w:rsidRPr="001B0A79" w:rsidRDefault="00947FA1" w:rsidP="003C6074">
            <w:pPr>
              <w:pStyle w:val="Tabletext"/>
              <w:framePr w:hSpace="0" w:wrap="auto" w:vAnchor="margin" w:hAnchor="text" w:yAlign="inline"/>
            </w:pPr>
            <w:r>
              <w:t>Police and Crime Plan</w:t>
            </w:r>
          </w:p>
        </w:tc>
        <w:tc>
          <w:tcPr>
            <w:tcW w:w="5528" w:type="dxa"/>
          </w:tcPr>
          <w:p w14:paraId="3D7CCE97" w14:textId="1A9AD44D" w:rsidR="00B70730" w:rsidRDefault="00AA0A87" w:rsidP="003C6074">
            <w:pPr>
              <w:pStyle w:val="Tabletext"/>
              <w:framePr w:hSpace="0" w:wrap="auto" w:vAnchor="margin" w:hAnchor="text" w:yAlign="inline"/>
            </w:pPr>
            <w:r>
              <w:t xml:space="preserve">The approach to working with the Violence Reduction Unit has been updated, </w:t>
            </w:r>
            <w:r w:rsidR="00EA6BC9">
              <w:t>with a specific focus on:</w:t>
            </w:r>
          </w:p>
          <w:p w14:paraId="691D354F" w14:textId="697CB576" w:rsidR="00EA6BC9" w:rsidRDefault="001652F3" w:rsidP="00834FE8">
            <w:pPr>
              <w:pStyle w:val="Tabletext"/>
              <w:framePr w:hSpace="0" w:wrap="auto" w:vAnchor="margin" w:hAnchor="text" w:yAlign="inline"/>
              <w:numPr>
                <w:ilvl w:val="0"/>
                <w:numId w:val="27"/>
              </w:numPr>
              <w:ind w:left="208" w:hanging="208"/>
            </w:pPr>
            <w:r>
              <w:t>Ensuring there is no duplications between the work of the VRU, Kent Police and the OPCC</w:t>
            </w:r>
          </w:p>
          <w:p w14:paraId="711966F6" w14:textId="2CA687DA" w:rsidR="001652F3" w:rsidRDefault="001652F3" w:rsidP="00834FE8">
            <w:pPr>
              <w:pStyle w:val="Tabletext"/>
              <w:framePr w:hSpace="0" w:wrap="auto" w:vAnchor="margin" w:hAnchor="text" w:yAlign="inline"/>
              <w:numPr>
                <w:ilvl w:val="0"/>
                <w:numId w:val="27"/>
              </w:numPr>
              <w:ind w:left="208" w:hanging="208"/>
            </w:pPr>
            <w:r>
              <w:t xml:space="preserve">The VRU </w:t>
            </w:r>
            <w:r w:rsidR="007A0AFA">
              <w:t>adhering to the OPCC’s Commissioning Teams strategy and standards</w:t>
            </w:r>
          </w:p>
          <w:p w14:paraId="3769AC7C" w14:textId="69322AC7" w:rsidR="00B06E36" w:rsidRPr="001B0A79" w:rsidRDefault="007A0AFA" w:rsidP="00834FE8">
            <w:pPr>
              <w:pStyle w:val="Tabletext"/>
              <w:framePr w:hSpace="0" w:wrap="auto" w:vAnchor="margin" w:hAnchor="text" w:yAlign="inline"/>
              <w:numPr>
                <w:ilvl w:val="0"/>
                <w:numId w:val="27"/>
              </w:numPr>
              <w:ind w:left="208" w:hanging="208"/>
            </w:pPr>
            <w:r>
              <w:t xml:space="preserve">Ensuring that there is a </w:t>
            </w:r>
            <w:r w:rsidR="00E02FB7">
              <w:t>long-term</w:t>
            </w:r>
            <w:r>
              <w:t xml:space="preserve"> view, </w:t>
            </w:r>
            <w:r w:rsidR="004C5ADA">
              <w:t>with a sustainable delivery of strategic aims taken from the Police and Crime Plan and the Force’s strategic plans, as opposed to short term projects.</w:t>
            </w:r>
          </w:p>
        </w:tc>
        <w:tc>
          <w:tcPr>
            <w:tcW w:w="3061" w:type="dxa"/>
          </w:tcPr>
          <w:p w14:paraId="6C0AE736" w14:textId="209CF260" w:rsidR="00093C5D" w:rsidRPr="001B0A79" w:rsidRDefault="008A3CFC" w:rsidP="003C6074">
            <w:pPr>
              <w:pStyle w:val="Tabletext"/>
              <w:framePr w:hSpace="0" w:wrap="auto" w:vAnchor="margin" w:hAnchor="text" w:yAlign="inline"/>
            </w:pPr>
            <w:r>
              <w:t>New</w:t>
            </w:r>
            <w:r w:rsidR="004C5ADA">
              <w:t xml:space="preserve"> </w:t>
            </w:r>
            <w:r>
              <w:t xml:space="preserve">working relationship with the Force is strong but </w:t>
            </w:r>
            <w:r w:rsidR="0093575E">
              <w:t>will continue to build</w:t>
            </w:r>
            <w:r w:rsidR="004C5ADA">
              <w:t xml:space="preserve"> and improve</w:t>
            </w:r>
            <w:r w:rsidR="0093575E">
              <w:t xml:space="preserve"> during the </w:t>
            </w:r>
            <w:r w:rsidR="004C5ADA">
              <w:t>next financial year</w:t>
            </w:r>
            <w:r w:rsidR="0093575E">
              <w:t xml:space="preserve">. </w:t>
            </w:r>
          </w:p>
        </w:tc>
        <w:tc>
          <w:tcPr>
            <w:tcW w:w="2646" w:type="dxa"/>
          </w:tcPr>
          <w:p w14:paraId="7954FE78" w14:textId="77777777" w:rsidR="00093C5D" w:rsidRPr="001B0A79" w:rsidRDefault="00093C5D" w:rsidP="003C6074">
            <w:pPr>
              <w:pStyle w:val="Tabletext"/>
              <w:framePr w:hSpace="0" w:wrap="auto" w:vAnchor="margin" w:hAnchor="text" w:yAlign="inline"/>
            </w:pPr>
          </w:p>
        </w:tc>
      </w:tr>
      <w:tr w:rsidR="00D336FB" w14:paraId="67A11EE9" w14:textId="77777777" w:rsidTr="00663A85">
        <w:trPr>
          <w:trHeight w:val="983"/>
        </w:trPr>
        <w:tc>
          <w:tcPr>
            <w:tcW w:w="1519" w:type="dxa"/>
          </w:tcPr>
          <w:p w14:paraId="59B5817A" w14:textId="14E94193" w:rsidR="00D336FB" w:rsidRPr="001B0A79" w:rsidRDefault="007402E1" w:rsidP="003C6074">
            <w:pPr>
              <w:pStyle w:val="Tabletext"/>
              <w:framePr w:hSpace="0" w:wrap="auto" w:vAnchor="margin" w:hAnchor="text" w:yAlign="inline"/>
            </w:pPr>
            <w:r>
              <w:t xml:space="preserve">Reviewing of </w:t>
            </w:r>
            <w:r w:rsidR="00050ECE">
              <w:t>returns</w:t>
            </w:r>
            <w:r w:rsidR="00BC1A9A">
              <w:t xml:space="preserve"> by grant-funding organisations</w:t>
            </w:r>
          </w:p>
        </w:tc>
        <w:tc>
          <w:tcPr>
            <w:tcW w:w="1842" w:type="dxa"/>
          </w:tcPr>
          <w:p w14:paraId="23350D53" w14:textId="523A3337" w:rsidR="00D336FB" w:rsidRPr="001B0A79" w:rsidRDefault="00D426EA" w:rsidP="003C6074">
            <w:pPr>
              <w:pStyle w:val="Tabletext"/>
              <w:framePr w:hSpace="0" w:wrap="auto" w:vAnchor="margin" w:hAnchor="text" w:yAlign="inline"/>
            </w:pPr>
            <w:r>
              <w:t>Internal audit</w:t>
            </w:r>
          </w:p>
        </w:tc>
        <w:tc>
          <w:tcPr>
            <w:tcW w:w="5528" w:type="dxa"/>
          </w:tcPr>
          <w:p w14:paraId="56C979B1" w14:textId="74E57FCD" w:rsidR="00456ACD" w:rsidRDefault="00456ACD" w:rsidP="003C6074">
            <w:pPr>
              <w:pStyle w:val="Tabletext"/>
              <w:framePr w:hSpace="0" w:wrap="auto" w:vAnchor="margin" w:hAnchor="text" w:yAlign="inline"/>
            </w:pPr>
            <w:r>
              <w:t xml:space="preserve">The OPCC conducted a review of the Crime Reduction Grant, and what </w:t>
            </w:r>
            <w:r w:rsidR="007F331A">
              <w:t xml:space="preserve">the grant-funding organisations were </w:t>
            </w:r>
            <w:r w:rsidR="003D1D41">
              <w:t>supporting.</w:t>
            </w:r>
          </w:p>
          <w:p w14:paraId="706EA074" w14:textId="53F36D79" w:rsidR="003D1D41" w:rsidRDefault="003D1D41" w:rsidP="003C6074">
            <w:pPr>
              <w:pStyle w:val="Tabletext"/>
              <w:framePr w:hSpace="0" w:wrap="auto" w:vAnchor="margin" w:hAnchor="text" w:yAlign="inline"/>
            </w:pPr>
            <w:r>
              <w:t xml:space="preserve">This review highlighted that three </w:t>
            </w:r>
            <w:r w:rsidR="00644FFF">
              <w:t>Community Safety Partnerships were providing funding to the same organisation.</w:t>
            </w:r>
            <w:r w:rsidR="005953A9">
              <w:t xml:space="preserve"> </w:t>
            </w:r>
          </w:p>
          <w:p w14:paraId="454CE120" w14:textId="66E0908F" w:rsidR="007C6EC1" w:rsidRPr="001B0A79" w:rsidRDefault="00CF21F9" w:rsidP="00834FE8">
            <w:pPr>
              <w:pStyle w:val="Tabletext"/>
              <w:framePr w:hSpace="0" w:wrap="auto" w:vAnchor="margin" w:hAnchor="text" w:yAlign="inline"/>
            </w:pPr>
            <w:r>
              <w:t xml:space="preserve">As a result, the OPCC will now provide direct funding, which will </w:t>
            </w:r>
            <w:r w:rsidR="00335105">
              <w:t xml:space="preserve">allow for </w:t>
            </w:r>
            <w:r w:rsidR="00240D9B">
              <w:t>better value for money, and give the OPCC greater oversight.</w:t>
            </w:r>
          </w:p>
        </w:tc>
        <w:tc>
          <w:tcPr>
            <w:tcW w:w="3061" w:type="dxa"/>
          </w:tcPr>
          <w:p w14:paraId="31655667" w14:textId="77777777" w:rsidR="00D336FB" w:rsidRPr="001B0A79" w:rsidRDefault="00D336FB" w:rsidP="003C6074">
            <w:pPr>
              <w:pStyle w:val="Tabletext"/>
              <w:framePr w:hSpace="0" w:wrap="auto" w:vAnchor="margin" w:hAnchor="text" w:yAlign="inline"/>
            </w:pPr>
          </w:p>
        </w:tc>
        <w:tc>
          <w:tcPr>
            <w:tcW w:w="2646" w:type="dxa"/>
          </w:tcPr>
          <w:p w14:paraId="17B075BA" w14:textId="77777777" w:rsidR="00D336FB" w:rsidRPr="001B0A79" w:rsidRDefault="00D336FB" w:rsidP="003C6074">
            <w:pPr>
              <w:pStyle w:val="Tabletext"/>
              <w:framePr w:hSpace="0" w:wrap="auto" w:vAnchor="margin" w:hAnchor="text" w:yAlign="inline"/>
            </w:pPr>
          </w:p>
        </w:tc>
      </w:tr>
      <w:tr w:rsidR="00146B1A" w14:paraId="73A550E5" w14:textId="77777777" w:rsidTr="00663A85">
        <w:trPr>
          <w:trHeight w:val="983"/>
        </w:trPr>
        <w:tc>
          <w:tcPr>
            <w:tcW w:w="1519" w:type="dxa"/>
          </w:tcPr>
          <w:p w14:paraId="293C1EFC" w14:textId="752F845E" w:rsidR="00146B1A" w:rsidRPr="001B0A79" w:rsidRDefault="00A24352" w:rsidP="003C6074">
            <w:pPr>
              <w:pStyle w:val="Tabletext"/>
              <w:framePr w:hSpace="0" w:wrap="auto" w:vAnchor="margin" w:hAnchor="text" w:yAlign="inline"/>
            </w:pPr>
            <w:r>
              <w:t>Gov</w:t>
            </w:r>
            <w:r w:rsidR="00240D9B">
              <w:t>ernment’s</w:t>
            </w:r>
            <w:r>
              <w:t xml:space="preserve"> </w:t>
            </w:r>
            <w:r w:rsidR="00F765F7">
              <w:t>Police</w:t>
            </w:r>
            <w:r>
              <w:t xml:space="preserve"> Performance Framework</w:t>
            </w:r>
          </w:p>
        </w:tc>
        <w:tc>
          <w:tcPr>
            <w:tcW w:w="1842" w:type="dxa"/>
          </w:tcPr>
          <w:p w14:paraId="027D7321" w14:textId="4169D008" w:rsidR="00146B1A" w:rsidRPr="001B0A79" w:rsidRDefault="00DF14E0" w:rsidP="003C6074">
            <w:pPr>
              <w:pStyle w:val="Tabletext"/>
              <w:framePr w:hSpace="0" w:wrap="auto" w:vAnchor="margin" w:hAnchor="text" w:yAlign="inline"/>
            </w:pPr>
            <w:r>
              <w:t xml:space="preserve">Other- </w:t>
            </w:r>
            <w:r w:rsidR="00BC16F7">
              <w:t xml:space="preserve">Government </w:t>
            </w:r>
          </w:p>
        </w:tc>
        <w:tc>
          <w:tcPr>
            <w:tcW w:w="5528" w:type="dxa"/>
          </w:tcPr>
          <w:p w14:paraId="4CE601D1" w14:textId="73B2AC7E" w:rsidR="00146B1A" w:rsidRDefault="00A24352" w:rsidP="003C6074">
            <w:pPr>
              <w:pStyle w:val="Tabletext"/>
              <w:framePr w:hSpace="0" w:wrap="auto" w:vAnchor="margin" w:hAnchor="text" w:yAlign="inline"/>
            </w:pPr>
            <w:r>
              <w:t>First iteration produced and issue</w:t>
            </w:r>
            <w:r w:rsidR="0094065F">
              <w:t>d Winter 25/26</w:t>
            </w:r>
            <w:r w:rsidR="00240D9B">
              <w:t>; now b</w:t>
            </w:r>
            <w:r w:rsidR="0094065F">
              <w:t>eing developed and refined</w:t>
            </w:r>
            <w:r w:rsidR="00240D9B">
              <w:t>.</w:t>
            </w:r>
          </w:p>
          <w:p w14:paraId="18BC5875" w14:textId="3408D4D3" w:rsidR="0094065F" w:rsidRDefault="00643F20" w:rsidP="003C6074">
            <w:pPr>
              <w:pStyle w:val="Tabletext"/>
              <w:framePr w:hSpace="0" w:wrap="auto" w:vAnchor="margin" w:hAnchor="text" w:yAlign="inline"/>
            </w:pPr>
            <w:r>
              <w:t xml:space="preserve">The OPCC will need to undertake work </w:t>
            </w:r>
            <w:r w:rsidR="0028003C">
              <w:t xml:space="preserve">to ensure </w:t>
            </w:r>
            <w:r w:rsidR="004F4F50">
              <w:t xml:space="preserve">it is aligned to the Plan </w:t>
            </w:r>
            <w:r w:rsidR="00A47965">
              <w:t xml:space="preserve">and incorporated into existing performance monitoring and </w:t>
            </w:r>
            <w:r w:rsidR="00251BBE">
              <w:t xml:space="preserve">governance processes. </w:t>
            </w:r>
          </w:p>
          <w:p w14:paraId="21B67AB4" w14:textId="38BE061F" w:rsidR="008601F7" w:rsidRPr="001B0A79" w:rsidRDefault="00D77E77" w:rsidP="003C6074">
            <w:pPr>
              <w:pStyle w:val="Tabletext"/>
              <w:framePr w:hSpace="0" w:wrap="auto" w:vAnchor="margin" w:hAnchor="text" w:yAlign="inline"/>
            </w:pPr>
            <w:r>
              <w:t>The Government aims</w:t>
            </w:r>
            <w:r w:rsidR="008601F7">
              <w:t xml:space="preserve"> to produce a dashboard in July</w:t>
            </w:r>
            <w:r>
              <w:t xml:space="preserve"> 2026</w:t>
            </w:r>
            <w:r w:rsidR="008601F7">
              <w:t xml:space="preserve"> </w:t>
            </w:r>
            <w:r w:rsidR="00476E7D">
              <w:t>to provide data</w:t>
            </w:r>
            <w:r>
              <w:t xml:space="preserve"> for Forces and OPCCs</w:t>
            </w:r>
          </w:p>
        </w:tc>
        <w:tc>
          <w:tcPr>
            <w:tcW w:w="3061" w:type="dxa"/>
          </w:tcPr>
          <w:p w14:paraId="708E0A55" w14:textId="6E77FDAF" w:rsidR="00146B1A" w:rsidRPr="001B0A79" w:rsidRDefault="00C25A11" w:rsidP="003C6074">
            <w:pPr>
              <w:pStyle w:val="Tabletext"/>
              <w:framePr w:hSpace="0" w:wrap="auto" w:vAnchor="margin" w:hAnchor="text" w:yAlign="inline"/>
            </w:pPr>
            <w:r>
              <w:t xml:space="preserve">Demand in terms of data collation and reporting </w:t>
            </w:r>
            <w:r w:rsidR="00D60B7A">
              <w:t>could add additional pressure to OPCC going forward</w:t>
            </w:r>
          </w:p>
        </w:tc>
        <w:tc>
          <w:tcPr>
            <w:tcW w:w="2646" w:type="dxa"/>
          </w:tcPr>
          <w:p w14:paraId="142F3F8A" w14:textId="77777777" w:rsidR="00146B1A" w:rsidRPr="001B0A79" w:rsidRDefault="00146B1A" w:rsidP="003C6074">
            <w:pPr>
              <w:pStyle w:val="Tabletext"/>
              <w:framePr w:hSpace="0" w:wrap="auto" w:vAnchor="margin" w:hAnchor="text" w:yAlign="inline"/>
            </w:pPr>
          </w:p>
        </w:tc>
      </w:tr>
      <w:tr w:rsidR="00874AF4" w14:paraId="4AD60618" w14:textId="77777777" w:rsidTr="00663A85">
        <w:trPr>
          <w:trHeight w:val="983"/>
        </w:trPr>
        <w:tc>
          <w:tcPr>
            <w:tcW w:w="1519" w:type="dxa"/>
          </w:tcPr>
          <w:p w14:paraId="32A7D770" w14:textId="2E5ED073" w:rsidR="00874AF4" w:rsidRPr="001B0A79" w:rsidRDefault="0036676C" w:rsidP="003C6074">
            <w:pPr>
              <w:pStyle w:val="Tabletext"/>
              <w:framePr w:hSpace="0" w:wrap="auto" w:vAnchor="margin" w:hAnchor="text" w:yAlign="inline"/>
            </w:pPr>
            <w:r>
              <w:t>Improvements in CJS</w:t>
            </w:r>
          </w:p>
        </w:tc>
        <w:tc>
          <w:tcPr>
            <w:tcW w:w="1842" w:type="dxa"/>
          </w:tcPr>
          <w:p w14:paraId="6C00B6EE" w14:textId="1D979C3C" w:rsidR="00874AF4" w:rsidRPr="001B0A79" w:rsidRDefault="00BC16F7" w:rsidP="003C6074">
            <w:pPr>
              <w:pStyle w:val="Tabletext"/>
              <w:framePr w:hSpace="0" w:wrap="auto" w:vAnchor="margin" w:hAnchor="text" w:yAlign="inline"/>
            </w:pPr>
            <w:r>
              <w:t>Police and Crime Plan</w:t>
            </w:r>
          </w:p>
        </w:tc>
        <w:tc>
          <w:tcPr>
            <w:tcW w:w="5528" w:type="dxa"/>
          </w:tcPr>
          <w:p w14:paraId="7276C118" w14:textId="21FBD1A0" w:rsidR="00874AF4" w:rsidRPr="001B0A79" w:rsidRDefault="0036676C" w:rsidP="003C6074">
            <w:pPr>
              <w:pStyle w:val="Tabletext"/>
              <w:framePr w:hSpace="0" w:wrap="auto" w:vAnchor="margin" w:hAnchor="text" w:yAlign="inline"/>
            </w:pPr>
            <w:r>
              <w:t>See section C</w:t>
            </w:r>
          </w:p>
        </w:tc>
        <w:tc>
          <w:tcPr>
            <w:tcW w:w="3061" w:type="dxa"/>
          </w:tcPr>
          <w:p w14:paraId="50DAA0A4" w14:textId="77777777" w:rsidR="00874AF4" w:rsidRPr="001B0A79" w:rsidRDefault="00874AF4" w:rsidP="003C6074">
            <w:pPr>
              <w:pStyle w:val="Tabletext"/>
              <w:framePr w:hSpace="0" w:wrap="auto" w:vAnchor="margin" w:hAnchor="text" w:yAlign="inline"/>
            </w:pPr>
          </w:p>
        </w:tc>
        <w:tc>
          <w:tcPr>
            <w:tcW w:w="2646" w:type="dxa"/>
          </w:tcPr>
          <w:p w14:paraId="6E519535" w14:textId="77777777" w:rsidR="00874AF4" w:rsidRPr="001B0A79" w:rsidRDefault="00874AF4" w:rsidP="003C6074">
            <w:pPr>
              <w:pStyle w:val="Tabletext"/>
              <w:framePr w:hSpace="0" w:wrap="auto" w:vAnchor="margin" w:hAnchor="text" w:yAlign="inline"/>
            </w:pPr>
          </w:p>
        </w:tc>
      </w:tr>
    </w:tbl>
    <w:p w14:paraId="362452F1" w14:textId="77777777" w:rsidR="00BF6C77" w:rsidRDefault="00BF6C77" w:rsidP="006E2B88">
      <w:pPr>
        <w:sectPr w:rsidR="00BF6C77" w:rsidSect="000B208F">
          <w:pgSz w:w="16838" w:h="11906" w:orient="landscape"/>
          <w:pgMar w:top="1814" w:right="1134" w:bottom="1440" w:left="1134" w:header="709" w:footer="471" w:gutter="0"/>
          <w:cols w:space="708"/>
          <w:docGrid w:linePitch="360"/>
        </w:sectPr>
      </w:pPr>
    </w:p>
    <w:tbl>
      <w:tblPr>
        <w:tblStyle w:val="TableGrid"/>
        <w:tblpPr w:leftFromText="180" w:rightFromText="180" w:vertAnchor="text" w:horzAnchor="margin" w:tblpY="227"/>
        <w:tblW w:w="14596" w:type="dxa"/>
        <w:tblLook w:val="04A0" w:firstRow="1" w:lastRow="0" w:firstColumn="1" w:lastColumn="0" w:noHBand="0" w:noVBand="1"/>
      </w:tblPr>
      <w:tblGrid>
        <w:gridCol w:w="1519"/>
        <w:gridCol w:w="1842"/>
        <w:gridCol w:w="4714"/>
        <w:gridCol w:w="3119"/>
        <w:gridCol w:w="3402"/>
      </w:tblGrid>
      <w:tr w:rsidR="00BF6C77" w:rsidRPr="00BF6C77" w14:paraId="7E741877" w14:textId="77777777" w:rsidTr="002B18C1">
        <w:tc>
          <w:tcPr>
            <w:tcW w:w="14596" w:type="dxa"/>
            <w:gridSpan w:val="5"/>
            <w:shd w:val="clear" w:color="auto" w:fill="E2EFD9" w:themeFill="accent6" w:themeFillTint="33"/>
          </w:tcPr>
          <w:p w14:paraId="50EE464F" w14:textId="77777777" w:rsidR="00BF240D" w:rsidRPr="00BF240D" w:rsidRDefault="00BF6C77" w:rsidP="003C6074">
            <w:pPr>
              <w:pStyle w:val="HeadinginTable"/>
              <w:framePr w:hSpace="0" w:wrap="auto" w:vAnchor="margin" w:hAnchor="text" w:yAlign="inline"/>
            </w:pPr>
            <w:r w:rsidRPr="00BF240D">
              <w:t>Core Principle of the Framework</w:t>
            </w:r>
          </w:p>
          <w:p w14:paraId="12A1E626" w14:textId="1619A592" w:rsidR="00BF6C77" w:rsidRPr="00BF240D" w:rsidRDefault="00BF6C77" w:rsidP="003C6074">
            <w:pPr>
              <w:pStyle w:val="Heading3"/>
              <w:framePr w:hSpace="0" w:wrap="auto" w:vAnchor="margin" w:hAnchor="text" w:yAlign="inline"/>
            </w:pPr>
            <w:r w:rsidRPr="00BF240D">
              <w:t>Developing the entity’s capacity, including the capability of its leadership and the individuals within it</w:t>
            </w:r>
          </w:p>
          <w:p w14:paraId="5E1FA119" w14:textId="5F20544C" w:rsidR="00BF6C77" w:rsidRPr="001B0A79" w:rsidRDefault="00BF6C77" w:rsidP="006E2B88">
            <w:pPr>
              <w:pStyle w:val="Tabletext"/>
              <w:framePr w:hSpace="0" w:wrap="auto" w:vAnchor="margin" w:hAnchor="text" w:yAlign="inline"/>
            </w:pPr>
            <w:r w:rsidRPr="001B0A79">
              <w:t xml:space="preserve">The PCC has assessed compliance with the framework as set out in the Local Code of Governance under section </w:t>
            </w:r>
            <w:r w:rsidR="00517184" w:rsidRPr="001B0A79">
              <w:t xml:space="preserve">E. </w:t>
            </w:r>
            <w:r w:rsidRPr="001B0A79">
              <w:t>He has assessed that there is adequate assurance, and that this is overall an</w:t>
            </w:r>
            <w:r w:rsidR="00735A1B" w:rsidRPr="001B0A79">
              <w:t xml:space="preserve"> area of </w:t>
            </w:r>
            <w:r w:rsidR="00735A1B" w:rsidRPr="001B0A79">
              <w:rPr>
                <w:u w:val="single"/>
              </w:rPr>
              <w:t>streng</w:t>
            </w:r>
            <w:r w:rsidR="002B18C1" w:rsidRPr="001B0A79">
              <w:rPr>
                <w:u w:val="single"/>
              </w:rPr>
              <w:t>th</w:t>
            </w:r>
            <w:r w:rsidR="002B18C1" w:rsidRPr="001B0A79">
              <w:t>.</w:t>
            </w:r>
          </w:p>
        </w:tc>
      </w:tr>
      <w:tr w:rsidR="00BF6C77" w:rsidRPr="00BF6C77" w14:paraId="4CE7658E" w14:textId="77777777" w:rsidTr="001B0A79">
        <w:tc>
          <w:tcPr>
            <w:tcW w:w="1519" w:type="dxa"/>
          </w:tcPr>
          <w:p w14:paraId="46DB8C02" w14:textId="77777777" w:rsidR="00BF6C77" w:rsidRPr="003C6074" w:rsidRDefault="00BF6C77" w:rsidP="006E2B88">
            <w:pPr>
              <w:pStyle w:val="Tabletext"/>
              <w:framePr w:hSpace="0" w:wrap="auto" w:vAnchor="margin" w:hAnchor="text" w:yAlign="inline"/>
              <w:rPr>
                <w:b/>
                <w:bCs/>
              </w:rPr>
            </w:pPr>
            <w:r w:rsidRPr="003C6074">
              <w:rPr>
                <w:b/>
                <w:bCs/>
              </w:rPr>
              <w:t>Issue</w:t>
            </w:r>
          </w:p>
        </w:tc>
        <w:tc>
          <w:tcPr>
            <w:tcW w:w="1842" w:type="dxa"/>
          </w:tcPr>
          <w:p w14:paraId="1138B01B" w14:textId="33B1B761" w:rsidR="00BF6C77" w:rsidRPr="003C6074" w:rsidRDefault="00BF6C77" w:rsidP="006E2B88">
            <w:pPr>
              <w:pStyle w:val="Tabletext"/>
              <w:framePr w:hSpace="0" w:wrap="auto" w:vAnchor="margin" w:hAnchor="text" w:yAlign="inline"/>
              <w:rPr>
                <w:b/>
                <w:bCs/>
              </w:rPr>
            </w:pPr>
            <w:r w:rsidRPr="003C6074">
              <w:rPr>
                <w:b/>
                <w:bCs/>
              </w:rPr>
              <w:t>Identified from</w:t>
            </w:r>
          </w:p>
        </w:tc>
        <w:tc>
          <w:tcPr>
            <w:tcW w:w="4714" w:type="dxa"/>
            <w:shd w:val="clear" w:color="auto" w:fill="E2EFD9" w:themeFill="accent6" w:themeFillTint="33"/>
          </w:tcPr>
          <w:p w14:paraId="46C8C311" w14:textId="77777777" w:rsidR="00BF6C77" w:rsidRPr="003C6074" w:rsidRDefault="00BF6C77" w:rsidP="006E2B88">
            <w:pPr>
              <w:pStyle w:val="Tabletext"/>
              <w:framePr w:hSpace="0" w:wrap="auto" w:vAnchor="margin" w:hAnchor="text" w:yAlign="inline"/>
              <w:rPr>
                <w:b/>
                <w:bCs/>
              </w:rPr>
            </w:pPr>
            <w:r w:rsidRPr="003C6074">
              <w:rPr>
                <w:b/>
                <w:bCs/>
              </w:rPr>
              <w:t>Strength</w:t>
            </w:r>
          </w:p>
        </w:tc>
        <w:tc>
          <w:tcPr>
            <w:tcW w:w="3119" w:type="dxa"/>
            <w:shd w:val="clear" w:color="auto" w:fill="FFF2CC" w:themeFill="accent4" w:themeFillTint="33"/>
          </w:tcPr>
          <w:p w14:paraId="1EF0330D" w14:textId="77777777" w:rsidR="00BF6C77" w:rsidRPr="003C6074" w:rsidRDefault="00BF6C77" w:rsidP="006E2B88">
            <w:pPr>
              <w:pStyle w:val="Tabletext"/>
              <w:framePr w:hSpace="0" w:wrap="auto" w:vAnchor="margin" w:hAnchor="text" w:yAlign="inline"/>
              <w:rPr>
                <w:b/>
                <w:bCs/>
              </w:rPr>
            </w:pPr>
            <w:r w:rsidRPr="003C6074">
              <w:rPr>
                <w:b/>
                <w:bCs/>
              </w:rPr>
              <w:t>Area for Improvement</w:t>
            </w:r>
          </w:p>
        </w:tc>
        <w:tc>
          <w:tcPr>
            <w:tcW w:w="3402" w:type="dxa"/>
            <w:shd w:val="clear" w:color="auto" w:fill="FED6CE"/>
          </w:tcPr>
          <w:p w14:paraId="7FE34552" w14:textId="77777777" w:rsidR="00BF6C77" w:rsidRPr="003C6074" w:rsidRDefault="00BF6C77" w:rsidP="006E2B88">
            <w:pPr>
              <w:pStyle w:val="Tabletext"/>
              <w:framePr w:hSpace="0" w:wrap="auto" w:vAnchor="margin" w:hAnchor="text" w:yAlign="inline"/>
              <w:rPr>
                <w:b/>
                <w:bCs/>
              </w:rPr>
            </w:pPr>
            <w:r w:rsidRPr="003C6074">
              <w:rPr>
                <w:b/>
                <w:bCs/>
              </w:rPr>
              <w:t>Area of challenge</w:t>
            </w:r>
          </w:p>
        </w:tc>
      </w:tr>
      <w:tr w:rsidR="00021F83" w:rsidRPr="00BF6C77" w14:paraId="0C9744D0" w14:textId="77777777" w:rsidTr="001B0A79">
        <w:tc>
          <w:tcPr>
            <w:tcW w:w="1519" w:type="dxa"/>
          </w:tcPr>
          <w:p w14:paraId="338BF594" w14:textId="1CE2C238" w:rsidR="00021F83" w:rsidRDefault="00021F83" w:rsidP="00021F83">
            <w:pPr>
              <w:pStyle w:val="Tabletext"/>
              <w:framePr w:hSpace="0" w:wrap="auto" w:vAnchor="margin" w:hAnchor="text" w:yAlign="inline"/>
            </w:pPr>
            <w:r>
              <w:t>Identification of resources to support OPCC training</w:t>
            </w:r>
          </w:p>
        </w:tc>
        <w:tc>
          <w:tcPr>
            <w:tcW w:w="1842" w:type="dxa"/>
          </w:tcPr>
          <w:p w14:paraId="1B590E01" w14:textId="4241B137" w:rsidR="00021F83" w:rsidRPr="00BC16F7" w:rsidRDefault="00021F83" w:rsidP="00021F83">
            <w:pPr>
              <w:pStyle w:val="Tabletext"/>
              <w:framePr w:hSpace="0" w:wrap="auto" w:vAnchor="margin" w:hAnchor="text" w:yAlign="inline"/>
            </w:pPr>
            <w:r w:rsidRPr="00BC16F7">
              <w:t>OPCC risk register</w:t>
            </w:r>
          </w:p>
        </w:tc>
        <w:tc>
          <w:tcPr>
            <w:tcW w:w="4714" w:type="dxa"/>
          </w:tcPr>
          <w:p w14:paraId="6D3860C5" w14:textId="0276513A" w:rsidR="00021F83" w:rsidRDefault="00021F83" w:rsidP="00021F83">
            <w:pPr>
              <w:pStyle w:val="Tabletext"/>
              <w:framePr w:hSpace="0" w:wrap="auto" w:vAnchor="margin" w:hAnchor="text" w:yAlign="inline"/>
              <w:rPr>
                <w:spacing w:val="-4"/>
              </w:rPr>
            </w:pPr>
            <w:r>
              <w:rPr>
                <w:spacing w:val="-4"/>
              </w:rPr>
              <w:t>Comprehensive review of OPCC budget and spending priorities to focus on improved training offer to all OPCC staff.</w:t>
            </w:r>
            <w:r w:rsidR="005953A9">
              <w:rPr>
                <w:spacing w:val="-4"/>
              </w:rPr>
              <w:t xml:space="preserve"> </w:t>
            </w:r>
          </w:p>
          <w:p w14:paraId="29208FF4" w14:textId="6A916AC0" w:rsidR="00641D84" w:rsidRDefault="00641D84" w:rsidP="00021F83">
            <w:pPr>
              <w:pStyle w:val="Tabletext"/>
              <w:framePr w:hSpace="0" w:wrap="auto" w:vAnchor="margin" w:hAnchor="text" w:yAlign="inline"/>
              <w:rPr>
                <w:spacing w:val="-4"/>
              </w:rPr>
            </w:pPr>
            <w:r>
              <w:rPr>
                <w:spacing w:val="-4"/>
              </w:rPr>
              <w:t xml:space="preserve">Staff identified training needs, which were then </w:t>
            </w:r>
            <w:r w:rsidR="00447F12">
              <w:rPr>
                <w:spacing w:val="-4"/>
              </w:rPr>
              <w:t>provided to Heads of Department, and taken to SMT.</w:t>
            </w:r>
          </w:p>
          <w:p w14:paraId="427AEAAB" w14:textId="4285B60E" w:rsidR="00021F83" w:rsidRDefault="00447F12" w:rsidP="00834FE8">
            <w:pPr>
              <w:pStyle w:val="Tabletext"/>
              <w:framePr w:hSpace="0" w:wrap="auto" w:vAnchor="margin" w:hAnchor="text" w:yAlign="inline"/>
              <w:rPr>
                <w:spacing w:val="-4"/>
              </w:rPr>
            </w:pPr>
            <w:r>
              <w:rPr>
                <w:spacing w:val="-4"/>
              </w:rPr>
              <w:t xml:space="preserve">SMT reviewed in detail, </w:t>
            </w:r>
            <w:r w:rsidR="00EE316D">
              <w:rPr>
                <w:spacing w:val="-4"/>
              </w:rPr>
              <w:t>and a costed training plan for 2026 was agreed.</w:t>
            </w:r>
          </w:p>
        </w:tc>
        <w:tc>
          <w:tcPr>
            <w:tcW w:w="3119" w:type="dxa"/>
          </w:tcPr>
          <w:p w14:paraId="008985B4" w14:textId="575BFFCD" w:rsidR="00021F83" w:rsidRPr="001B0A79" w:rsidRDefault="00021F83" w:rsidP="00021F83">
            <w:pPr>
              <w:pStyle w:val="Tabletext"/>
              <w:framePr w:hSpace="0" w:wrap="auto" w:vAnchor="margin" w:hAnchor="text" w:yAlign="inline"/>
            </w:pPr>
            <w:r>
              <w:t xml:space="preserve">Will need to ensure that quality of training is </w:t>
            </w:r>
            <w:r w:rsidR="00EE316D">
              <w:t>appropriate, and meets needs of both individual staff and OPCC as a whole</w:t>
            </w:r>
          </w:p>
        </w:tc>
        <w:tc>
          <w:tcPr>
            <w:tcW w:w="3402" w:type="dxa"/>
          </w:tcPr>
          <w:p w14:paraId="36DB0D3A" w14:textId="77777777" w:rsidR="00021F83" w:rsidRPr="001B0A79" w:rsidRDefault="00021F83" w:rsidP="00021F83">
            <w:pPr>
              <w:pStyle w:val="Tabletext"/>
              <w:framePr w:hSpace="0" w:wrap="auto" w:vAnchor="margin" w:hAnchor="text" w:yAlign="inline"/>
            </w:pPr>
          </w:p>
        </w:tc>
      </w:tr>
      <w:tr w:rsidR="00090D9B" w:rsidRPr="00BF6C77" w14:paraId="25AD4237" w14:textId="77777777" w:rsidTr="001B0A79">
        <w:tc>
          <w:tcPr>
            <w:tcW w:w="1519" w:type="dxa"/>
          </w:tcPr>
          <w:p w14:paraId="2AD65949" w14:textId="53C19DBD" w:rsidR="00090D9B" w:rsidRPr="001B0A79" w:rsidRDefault="00090D9B" w:rsidP="003C6074">
            <w:pPr>
              <w:pStyle w:val="Tabletext"/>
              <w:framePr w:hSpace="0" w:wrap="auto" w:vAnchor="margin" w:hAnchor="text" w:yAlign="inline"/>
            </w:pPr>
            <w:r>
              <w:t xml:space="preserve">New tailored PM training for </w:t>
            </w:r>
            <w:r w:rsidR="008A7525">
              <w:t>Commissioning team</w:t>
            </w:r>
          </w:p>
        </w:tc>
        <w:tc>
          <w:tcPr>
            <w:tcW w:w="1842" w:type="dxa"/>
          </w:tcPr>
          <w:p w14:paraId="7C2C1790" w14:textId="5995ED30" w:rsidR="00090D9B" w:rsidRPr="00BC16F7" w:rsidRDefault="008039FF" w:rsidP="003C6074">
            <w:pPr>
              <w:pStyle w:val="Tabletext"/>
              <w:framePr w:hSpace="0" w:wrap="auto" w:vAnchor="margin" w:hAnchor="text" w:yAlign="inline"/>
            </w:pPr>
            <w:r>
              <w:t>OPCC risk register</w:t>
            </w:r>
          </w:p>
        </w:tc>
        <w:tc>
          <w:tcPr>
            <w:tcW w:w="4714" w:type="dxa"/>
          </w:tcPr>
          <w:p w14:paraId="0A0195C6" w14:textId="6C1FF6A4" w:rsidR="00135D03" w:rsidRDefault="00135D03" w:rsidP="003C6074">
            <w:pPr>
              <w:pStyle w:val="Tabletext"/>
              <w:framePr w:hSpace="0" w:wrap="auto" w:vAnchor="margin" w:hAnchor="text" w:yAlign="inline"/>
              <w:rPr>
                <w:spacing w:val="-4"/>
              </w:rPr>
            </w:pPr>
            <w:r>
              <w:rPr>
                <w:spacing w:val="-4"/>
              </w:rPr>
              <w:t>Entire commissioning team will undertake commissioning-specific project management training and qualification.</w:t>
            </w:r>
          </w:p>
          <w:p w14:paraId="1109320C" w14:textId="5577A4C9" w:rsidR="00135D03" w:rsidRDefault="00135D03" w:rsidP="003C6074">
            <w:pPr>
              <w:pStyle w:val="Tabletext"/>
              <w:framePr w:hSpace="0" w:wrap="auto" w:vAnchor="margin" w:hAnchor="text" w:yAlign="inline"/>
              <w:rPr>
                <w:spacing w:val="-4"/>
              </w:rPr>
            </w:pPr>
            <w:r>
              <w:rPr>
                <w:spacing w:val="-4"/>
              </w:rPr>
              <w:t>Additional high-level training identified for Head of Department.</w:t>
            </w:r>
            <w:r w:rsidR="005953A9">
              <w:rPr>
                <w:spacing w:val="-4"/>
              </w:rPr>
              <w:t xml:space="preserve"> </w:t>
            </w:r>
          </w:p>
          <w:p w14:paraId="4290EB8B" w14:textId="3587C855" w:rsidR="00B137BA" w:rsidRPr="003C6074" w:rsidRDefault="00135D03" w:rsidP="003C6074">
            <w:pPr>
              <w:pStyle w:val="Tabletext"/>
              <w:framePr w:hSpace="0" w:wrap="auto" w:vAnchor="margin" w:hAnchor="text" w:yAlign="inline"/>
              <w:rPr>
                <w:spacing w:val="-4"/>
              </w:rPr>
            </w:pPr>
            <w:r>
              <w:rPr>
                <w:spacing w:val="-4"/>
              </w:rPr>
              <w:t>This will a</w:t>
            </w:r>
            <w:r w:rsidR="00B137BA">
              <w:rPr>
                <w:spacing w:val="-4"/>
              </w:rPr>
              <w:t xml:space="preserve">llow </w:t>
            </w:r>
            <w:r>
              <w:rPr>
                <w:spacing w:val="-4"/>
              </w:rPr>
              <w:t xml:space="preserve">for </w:t>
            </w:r>
            <w:r w:rsidR="00B137BA">
              <w:rPr>
                <w:spacing w:val="-4"/>
              </w:rPr>
              <w:t>more systemic approach to commissioning processes</w:t>
            </w:r>
            <w:r>
              <w:rPr>
                <w:spacing w:val="-4"/>
              </w:rPr>
              <w:t xml:space="preserve">, and </w:t>
            </w:r>
            <w:r w:rsidR="00AB6E71">
              <w:rPr>
                <w:spacing w:val="-4"/>
              </w:rPr>
              <w:t xml:space="preserve">will ensure that the team are operating under the same understandings and processes. </w:t>
            </w:r>
          </w:p>
        </w:tc>
        <w:tc>
          <w:tcPr>
            <w:tcW w:w="3119" w:type="dxa"/>
          </w:tcPr>
          <w:p w14:paraId="4CA913A1" w14:textId="77777777" w:rsidR="00090D9B" w:rsidRPr="001B0A79" w:rsidRDefault="00090D9B" w:rsidP="003C6074">
            <w:pPr>
              <w:pStyle w:val="Tabletext"/>
              <w:framePr w:hSpace="0" w:wrap="auto" w:vAnchor="margin" w:hAnchor="text" w:yAlign="inline"/>
            </w:pPr>
          </w:p>
        </w:tc>
        <w:tc>
          <w:tcPr>
            <w:tcW w:w="3402" w:type="dxa"/>
          </w:tcPr>
          <w:p w14:paraId="0D62E30E" w14:textId="77777777" w:rsidR="00090D9B" w:rsidRPr="001B0A79" w:rsidRDefault="00090D9B" w:rsidP="003C6074">
            <w:pPr>
              <w:pStyle w:val="Tabletext"/>
              <w:framePr w:hSpace="0" w:wrap="auto" w:vAnchor="margin" w:hAnchor="text" w:yAlign="inline"/>
            </w:pPr>
          </w:p>
        </w:tc>
      </w:tr>
      <w:tr w:rsidR="008D6B03" w:rsidRPr="00BF6C77" w14:paraId="58557CE1" w14:textId="77777777" w:rsidTr="001B0A79">
        <w:tc>
          <w:tcPr>
            <w:tcW w:w="1519" w:type="dxa"/>
          </w:tcPr>
          <w:p w14:paraId="6FC51DC0" w14:textId="0E217291" w:rsidR="008D6B03" w:rsidRPr="001B0A79" w:rsidRDefault="00F27078" w:rsidP="003C6074">
            <w:pPr>
              <w:pStyle w:val="Tabletext"/>
              <w:framePr w:hSpace="0" w:wrap="auto" w:vAnchor="margin" w:hAnchor="text" w:yAlign="inline"/>
            </w:pPr>
            <w:r>
              <w:t>Introduction of Co-Pilot</w:t>
            </w:r>
          </w:p>
        </w:tc>
        <w:tc>
          <w:tcPr>
            <w:tcW w:w="1842" w:type="dxa"/>
          </w:tcPr>
          <w:p w14:paraId="78134702" w14:textId="36CEB941" w:rsidR="008D6B03" w:rsidRPr="00BC16F7" w:rsidRDefault="002342E7" w:rsidP="003C6074">
            <w:pPr>
              <w:pStyle w:val="Tabletext"/>
              <w:framePr w:hSpace="0" w:wrap="auto" w:vAnchor="margin" w:hAnchor="text" w:yAlign="inline"/>
            </w:pPr>
            <w:r>
              <w:t>Other- SMT</w:t>
            </w:r>
          </w:p>
        </w:tc>
        <w:tc>
          <w:tcPr>
            <w:tcW w:w="4714" w:type="dxa"/>
          </w:tcPr>
          <w:p w14:paraId="3C389ED2" w14:textId="253BE9FE" w:rsidR="00AB6E71" w:rsidRDefault="00AB6E71" w:rsidP="003C6074">
            <w:pPr>
              <w:pStyle w:val="Tabletext"/>
              <w:framePr w:hSpace="0" w:wrap="auto" w:vAnchor="margin" w:hAnchor="text" w:yAlign="inline"/>
              <w:rPr>
                <w:spacing w:val="-4"/>
              </w:rPr>
            </w:pPr>
            <w:r>
              <w:rPr>
                <w:spacing w:val="-4"/>
              </w:rPr>
              <w:t xml:space="preserve">All OPCC staff have been trained on the use, benefits and risk of AI, </w:t>
            </w:r>
            <w:r w:rsidR="005E062A">
              <w:rPr>
                <w:spacing w:val="-4"/>
              </w:rPr>
              <w:t>with the introduction of Co-Pilot across both the Force and OPCC.</w:t>
            </w:r>
            <w:r w:rsidR="005953A9">
              <w:rPr>
                <w:spacing w:val="-4"/>
              </w:rPr>
              <w:t xml:space="preserve"> </w:t>
            </w:r>
          </w:p>
          <w:p w14:paraId="35578734" w14:textId="14DC2D40" w:rsidR="005E062A" w:rsidRDefault="00F524AF" w:rsidP="003C6074">
            <w:pPr>
              <w:pStyle w:val="Tabletext"/>
              <w:framePr w:hSpace="0" w:wrap="auto" w:vAnchor="margin" w:hAnchor="text" w:yAlign="inline"/>
              <w:rPr>
                <w:spacing w:val="-4"/>
              </w:rPr>
            </w:pPr>
            <w:r>
              <w:rPr>
                <w:spacing w:val="-4"/>
              </w:rPr>
              <w:t xml:space="preserve">Most </w:t>
            </w:r>
            <w:r w:rsidR="00790736">
              <w:rPr>
                <w:spacing w:val="-4"/>
              </w:rPr>
              <w:t xml:space="preserve">staff have standard </w:t>
            </w:r>
            <w:r w:rsidR="00541C17">
              <w:rPr>
                <w:spacing w:val="-4"/>
              </w:rPr>
              <w:t>licenses;</w:t>
            </w:r>
            <w:r w:rsidR="00790736">
              <w:rPr>
                <w:spacing w:val="-4"/>
              </w:rPr>
              <w:t xml:space="preserve"> some have </w:t>
            </w:r>
            <w:r w:rsidR="0022444D">
              <w:rPr>
                <w:spacing w:val="-4"/>
              </w:rPr>
              <w:t xml:space="preserve">the full license with additional </w:t>
            </w:r>
            <w:r w:rsidR="00836A47">
              <w:rPr>
                <w:spacing w:val="-4"/>
              </w:rPr>
              <w:t>capability</w:t>
            </w:r>
            <w:r w:rsidR="0022444D">
              <w:rPr>
                <w:spacing w:val="-4"/>
              </w:rPr>
              <w:t>.</w:t>
            </w:r>
            <w:r w:rsidR="005953A9">
              <w:rPr>
                <w:spacing w:val="-4"/>
              </w:rPr>
              <w:t xml:space="preserve"> </w:t>
            </w:r>
          </w:p>
          <w:p w14:paraId="5C5C270C" w14:textId="38C809DC" w:rsidR="00F27078" w:rsidRDefault="0022444D" w:rsidP="003C6074">
            <w:pPr>
              <w:pStyle w:val="Tabletext"/>
              <w:framePr w:hSpace="0" w:wrap="auto" w:vAnchor="margin" w:hAnchor="text" w:yAlign="inline"/>
              <w:rPr>
                <w:spacing w:val="-4"/>
              </w:rPr>
            </w:pPr>
            <w:r>
              <w:rPr>
                <w:spacing w:val="-4"/>
              </w:rPr>
              <w:t>Staff being encouraged to incorporate Co-Pilot where useful and appropriate into standard business.</w:t>
            </w:r>
            <w:r w:rsidR="005953A9">
              <w:rPr>
                <w:spacing w:val="-4"/>
              </w:rPr>
              <w:t xml:space="preserve"> </w:t>
            </w:r>
            <w:r w:rsidR="00F27078">
              <w:rPr>
                <w:spacing w:val="-4"/>
              </w:rPr>
              <w:t xml:space="preserve"> </w:t>
            </w:r>
          </w:p>
          <w:p w14:paraId="16980619" w14:textId="3FCBA811" w:rsidR="003051D9" w:rsidRPr="003C6074" w:rsidRDefault="0022444D" w:rsidP="003C6074">
            <w:pPr>
              <w:pStyle w:val="Tabletext"/>
              <w:framePr w:hSpace="0" w:wrap="auto" w:vAnchor="margin" w:hAnchor="text" w:yAlign="inline"/>
              <w:rPr>
                <w:spacing w:val="-4"/>
              </w:rPr>
            </w:pPr>
            <w:r>
              <w:rPr>
                <w:spacing w:val="-4"/>
              </w:rPr>
              <w:t xml:space="preserve">The OPCC has </w:t>
            </w:r>
            <w:r w:rsidR="009803E5">
              <w:rPr>
                <w:spacing w:val="-4"/>
              </w:rPr>
              <w:t xml:space="preserve">its </w:t>
            </w:r>
            <w:r>
              <w:rPr>
                <w:spacing w:val="-4"/>
              </w:rPr>
              <w:t xml:space="preserve">own </w:t>
            </w:r>
            <w:r w:rsidR="00431886">
              <w:rPr>
                <w:spacing w:val="-4"/>
              </w:rPr>
              <w:t>O365 Champion</w:t>
            </w:r>
            <w:r w:rsidR="00B2356D">
              <w:rPr>
                <w:spacing w:val="-4"/>
              </w:rPr>
              <w:t xml:space="preserve">, who is one of the few super-users in </w:t>
            </w:r>
            <w:r w:rsidR="00E82CFE">
              <w:rPr>
                <w:spacing w:val="-4"/>
              </w:rPr>
              <w:t xml:space="preserve">Kent Police </w:t>
            </w:r>
            <w:r w:rsidR="00FA597F">
              <w:rPr>
                <w:spacing w:val="-4"/>
              </w:rPr>
              <w:t xml:space="preserve">and </w:t>
            </w:r>
            <w:r w:rsidR="008E0123">
              <w:rPr>
                <w:spacing w:val="-4"/>
              </w:rPr>
              <w:t xml:space="preserve">the </w:t>
            </w:r>
            <w:r w:rsidR="00E82CFE">
              <w:rPr>
                <w:spacing w:val="-4"/>
              </w:rPr>
              <w:t xml:space="preserve">OPCC; to </w:t>
            </w:r>
            <w:r w:rsidR="008E0123">
              <w:rPr>
                <w:spacing w:val="-4"/>
              </w:rPr>
              <w:t xml:space="preserve">ensure this is not lost, continuity plans are in place and a </w:t>
            </w:r>
            <w:r w:rsidR="007803B2">
              <w:rPr>
                <w:spacing w:val="-4"/>
              </w:rPr>
              <w:t xml:space="preserve">colleague also </w:t>
            </w:r>
            <w:r w:rsidR="008E0123">
              <w:rPr>
                <w:spacing w:val="-4"/>
              </w:rPr>
              <w:t>being trained.</w:t>
            </w:r>
            <w:r w:rsidR="005953A9">
              <w:rPr>
                <w:spacing w:val="-4"/>
              </w:rPr>
              <w:t xml:space="preserve"> </w:t>
            </w:r>
          </w:p>
        </w:tc>
        <w:tc>
          <w:tcPr>
            <w:tcW w:w="3119" w:type="dxa"/>
          </w:tcPr>
          <w:p w14:paraId="612EB5FC" w14:textId="03E353AE" w:rsidR="008D6B03" w:rsidRPr="001B0A79" w:rsidRDefault="005953A9" w:rsidP="003C6074">
            <w:pPr>
              <w:pStyle w:val="Tabletext"/>
              <w:framePr w:hSpace="0" w:wrap="auto" w:vAnchor="margin" w:hAnchor="text" w:yAlign="inline"/>
            </w:pPr>
            <w:r>
              <w:t xml:space="preserve"> </w:t>
            </w:r>
          </w:p>
        </w:tc>
        <w:tc>
          <w:tcPr>
            <w:tcW w:w="3402" w:type="dxa"/>
          </w:tcPr>
          <w:p w14:paraId="58087AA2" w14:textId="77777777" w:rsidR="008D6B03" w:rsidRPr="001B0A79" w:rsidRDefault="008D6B03" w:rsidP="003C6074">
            <w:pPr>
              <w:pStyle w:val="Tabletext"/>
              <w:framePr w:hSpace="0" w:wrap="auto" w:vAnchor="margin" w:hAnchor="text" w:yAlign="inline"/>
            </w:pPr>
          </w:p>
        </w:tc>
      </w:tr>
      <w:tr w:rsidR="007A2E27" w:rsidRPr="00BF6C77" w14:paraId="1BC150D7" w14:textId="77777777" w:rsidTr="001B0A79">
        <w:tc>
          <w:tcPr>
            <w:tcW w:w="1519" w:type="dxa"/>
          </w:tcPr>
          <w:p w14:paraId="02173695" w14:textId="176FAC5A" w:rsidR="007A2E27" w:rsidRDefault="00D02F78" w:rsidP="003C6074">
            <w:pPr>
              <w:pStyle w:val="Tabletext"/>
              <w:framePr w:hSpace="0" w:wrap="auto" w:vAnchor="margin" w:hAnchor="text" w:yAlign="inline"/>
            </w:pPr>
            <w:r>
              <w:t>OPCC Staffing</w:t>
            </w:r>
          </w:p>
        </w:tc>
        <w:tc>
          <w:tcPr>
            <w:tcW w:w="1842" w:type="dxa"/>
          </w:tcPr>
          <w:p w14:paraId="4F9598A4" w14:textId="62145926" w:rsidR="007A2E27" w:rsidRDefault="00D02F78" w:rsidP="003C6074">
            <w:pPr>
              <w:pStyle w:val="Tabletext"/>
              <w:framePr w:hSpace="0" w:wrap="auto" w:vAnchor="margin" w:hAnchor="text" w:yAlign="inline"/>
              <w:rPr>
                <w:highlight w:val="yellow"/>
              </w:rPr>
            </w:pPr>
            <w:r w:rsidRPr="003A6FE8">
              <w:t>OPCC risk register</w:t>
            </w:r>
          </w:p>
        </w:tc>
        <w:tc>
          <w:tcPr>
            <w:tcW w:w="4714" w:type="dxa"/>
          </w:tcPr>
          <w:p w14:paraId="13DE8F6B" w14:textId="07562DC3" w:rsidR="00B47467" w:rsidRDefault="00B77189" w:rsidP="00465269">
            <w:pPr>
              <w:pStyle w:val="Tabletext"/>
              <w:framePr w:hSpace="0" w:wrap="auto" w:vAnchor="margin" w:hAnchor="text" w:yAlign="inline"/>
              <w:rPr>
                <w:spacing w:val="-4"/>
              </w:rPr>
            </w:pPr>
            <w:r>
              <w:rPr>
                <w:spacing w:val="-4"/>
              </w:rPr>
              <w:t>The OPCC has introduced a range o</w:t>
            </w:r>
            <w:r w:rsidR="002A6849">
              <w:rPr>
                <w:spacing w:val="-4"/>
              </w:rPr>
              <w:t xml:space="preserve">f measures </w:t>
            </w:r>
            <w:r w:rsidR="00B47467">
              <w:rPr>
                <w:spacing w:val="-4"/>
              </w:rPr>
              <w:t>to improve communication and working processes for staff.</w:t>
            </w:r>
            <w:r w:rsidR="005953A9">
              <w:rPr>
                <w:spacing w:val="-4"/>
              </w:rPr>
              <w:t xml:space="preserve"> </w:t>
            </w:r>
            <w:r w:rsidR="00B47467">
              <w:rPr>
                <w:spacing w:val="-4"/>
              </w:rPr>
              <w:t>These include:</w:t>
            </w:r>
          </w:p>
          <w:p w14:paraId="76C9965E" w14:textId="61D93F69" w:rsidR="00B65B39" w:rsidRDefault="00465269" w:rsidP="00834FE8">
            <w:pPr>
              <w:pStyle w:val="Tabletext"/>
              <w:framePr w:hSpace="0" w:wrap="auto" w:vAnchor="margin" w:hAnchor="text" w:yAlign="inline"/>
              <w:numPr>
                <w:ilvl w:val="0"/>
                <w:numId w:val="28"/>
              </w:numPr>
              <w:ind w:left="208" w:hanging="208"/>
              <w:rPr>
                <w:spacing w:val="-4"/>
              </w:rPr>
            </w:pPr>
            <w:r>
              <w:rPr>
                <w:spacing w:val="-4"/>
              </w:rPr>
              <w:t>Quarterly team days</w:t>
            </w:r>
            <w:r w:rsidR="00B47467">
              <w:rPr>
                <w:spacing w:val="-4"/>
              </w:rPr>
              <w:t>, w</w:t>
            </w:r>
            <w:r w:rsidR="00B65B39">
              <w:rPr>
                <w:spacing w:val="-4"/>
              </w:rPr>
              <w:t>hich include training and updates on national legislative changes</w:t>
            </w:r>
          </w:p>
          <w:p w14:paraId="1B4700C2" w14:textId="4C5965DF" w:rsidR="00465269" w:rsidRDefault="00B65B39" w:rsidP="00834FE8">
            <w:pPr>
              <w:pStyle w:val="Tabletext"/>
              <w:framePr w:hSpace="0" w:wrap="auto" w:vAnchor="margin" w:hAnchor="text" w:yAlign="inline"/>
              <w:numPr>
                <w:ilvl w:val="0"/>
                <w:numId w:val="28"/>
              </w:numPr>
              <w:ind w:left="208" w:hanging="208"/>
              <w:rPr>
                <w:spacing w:val="-4"/>
              </w:rPr>
            </w:pPr>
            <w:r>
              <w:rPr>
                <w:spacing w:val="-4"/>
              </w:rPr>
              <w:t>As noted above, a</w:t>
            </w:r>
            <w:r w:rsidR="00465269" w:rsidRPr="00B65B39">
              <w:rPr>
                <w:spacing w:val="-4"/>
              </w:rPr>
              <w:t>dditional training organis</w:t>
            </w:r>
            <w:r w:rsidR="00000361" w:rsidRPr="00B65B39">
              <w:rPr>
                <w:spacing w:val="-4"/>
              </w:rPr>
              <w:t>ed</w:t>
            </w:r>
            <w:r>
              <w:rPr>
                <w:spacing w:val="-4"/>
              </w:rPr>
              <w:t xml:space="preserve"> for all OPCC staff</w:t>
            </w:r>
          </w:p>
          <w:p w14:paraId="2184746B" w14:textId="4F18B66B" w:rsidR="00000361" w:rsidRDefault="00B65B39" w:rsidP="00834FE8">
            <w:pPr>
              <w:pStyle w:val="Tabletext"/>
              <w:framePr w:hSpace="0" w:wrap="auto" w:vAnchor="margin" w:hAnchor="text" w:yAlign="inline"/>
              <w:numPr>
                <w:ilvl w:val="0"/>
                <w:numId w:val="28"/>
              </w:numPr>
              <w:ind w:left="208" w:hanging="208"/>
              <w:rPr>
                <w:spacing w:val="-4"/>
              </w:rPr>
            </w:pPr>
            <w:r>
              <w:rPr>
                <w:spacing w:val="-4"/>
              </w:rPr>
              <w:t>Consultation was undertaken with the entire team, and s</w:t>
            </w:r>
            <w:r w:rsidR="00000361" w:rsidRPr="00B65B39">
              <w:rPr>
                <w:spacing w:val="-4"/>
              </w:rPr>
              <w:t>taff feedback</w:t>
            </w:r>
            <w:r>
              <w:rPr>
                <w:spacing w:val="-4"/>
              </w:rPr>
              <w:t xml:space="preserve"> </w:t>
            </w:r>
            <w:r w:rsidR="00B459A3">
              <w:rPr>
                <w:spacing w:val="-4"/>
              </w:rPr>
              <w:t>on the need for improved</w:t>
            </w:r>
            <w:r w:rsidR="00000361" w:rsidRPr="00B65B39">
              <w:rPr>
                <w:spacing w:val="-4"/>
              </w:rPr>
              <w:t xml:space="preserve"> internal messaging </w:t>
            </w:r>
            <w:r w:rsidR="00B459A3">
              <w:rPr>
                <w:spacing w:val="-4"/>
              </w:rPr>
              <w:t xml:space="preserve">has led to a </w:t>
            </w:r>
            <w:r w:rsidR="00DC1A3F" w:rsidRPr="00B65B39">
              <w:rPr>
                <w:spacing w:val="-4"/>
              </w:rPr>
              <w:t>new Teams Channel</w:t>
            </w:r>
            <w:r w:rsidR="000A55A3" w:rsidRPr="00B65B39">
              <w:rPr>
                <w:spacing w:val="-4"/>
              </w:rPr>
              <w:t xml:space="preserve"> to provide info</w:t>
            </w:r>
            <w:r w:rsidR="00B459A3">
              <w:rPr>
                <w:spacing w:val="-4"/>
              </w:rPr>
              <w:t>rmation</w:t>
            </w:r>
          </w:p>
          <w:p w14:paraId="61AF0F83" w14:textId="19ACADFC" w:rsidR="00B459A3" w:rsidRDefault="00B459A3" w:rsidP="00834FE8">
            <w:pPr>
              <w:pStyle w:val="Tabletext"/>
              <w:framePr w:hSpace="0" w:wrap="auto" w:vAnchor="margin" w:hAnchor="text" w:yAlign="inline"/>
              <w:numPr>
                <w:ilvl w:val="0"/>
                <w:numId w:val="28"/>
              </w:numPr>
              <w:ind w:left="208" w:hanging="208"/>
              <w:rPr>
                <w:spacing w:val="-4"/>
              </w:rPr>
            </w:pPr>
            <w:r>
              <w:rPr>
                <w:spacing w:val="-4"/>
              </w:rPr>
              <w:t>The Chief Executive now provides updates to all staff following SMT meetings</w:t>
            </w:r>
          </w:p>
          <w:p w14:paraId="390DB35B" w14:textId="66794806" w:rsidR="00B84965" w:rsidRDefault="00895B59" w:rsidP="00834FE8">
            <w:pPr>
              <w:pStyle w:val="Tabletext"/>
              <w:framePr w:hSpace="0" w:wrap="auto" w:vAnchor="margin" w:hAnchor="text" w:yAlign="inline"/>
              <w:numPr>
                <w:ilvl w:val="0"/>
                <w:numId w:val="28"/>
              </w:numPr>
              <w:ind w:left="208" w:hanging="208"/>
              <w:rPr>
                <w:spacing w:val="-4"/>
              </w:rPr>
            </w:pPr>
            <w:r>
              <w:rPr>
                <w:spacing w:val="-4"/>
              </w:rPr>
              <w:t>Improved working processes within each team to manage demand, and improved working across teams.</w:t>
            </w:r>
          </w:p>
        </w:tc>
        <w:tc>
          <w:tcPr>
            <w:tcW w:w="3119" w:type="dxa"/>
          </w:tcPr>
          <w:p w14:paraId="6732593F" w14:textId="29D6083A" w:rsidR="007A2E27" w:rsidRDefault="00895B59" w:rsidP="003C6074">
            <w:pPr>
              <w:pStyle w:val="Tabletext"/>
              <w:framePr w:hSpace="0" w:wrap="auto" w:vAnchor="margin" w:hAnchor="text" w:yAlign="inline"/>
            </w:pPr>
            <w:r>
              <w:t>There is a n</w:t>
            </w:r>
            <w:r w:rsidR="008261AD">
              <w:t>eed to solidi</w:t>
            </w:r>
            <w:r w:rsidR="00965F7C">
              <w:t xml:space="preserve">fy the </w:t>
            </w:r>
            <w:r>
              <w:t>frequency and detail of c</w:t>
            </w:r>
            <w:r w:rsidR="00965F7C">
              <w:t>omm</w:t>
            </w:r>
            <w:r>
              <w:t>unications</w:t>
            </w:r>
            <w:r w:rsidR="00965F7C">
              <w:t xml:space="preserve"> from the S</w:t>
            </w:r>
            <w:r>
              <w:t>M</w:t>
            </w:r>
            <w:r w:rsidR="00965F7C">
              <w:t>T to staff; can be ad hoc</w:t>
            </w:r>
            <w:r w:rsidR="001367D6">
              <w:t>.</w:t>
            </w:r>
            <w:r w:rsidR="005953A9">
              <w:t xml:space="preserve"> </w:t>
            </w:r>
          </w:p>
          <w:p w14:paraId="5DA68A7D" w14:textId="1D81F8A7" w:rsidR="00002D92" w:rsidRPr="001B0A79" w:rsidRDefault="00422215" w:rsidP="003C6074">
            <w:pPr>
              <w:pStyle w:val="Tabletext"/>
              <w:framePr w:hSpace="0" w:wrap="auto" w:vAnchor="margin" w:hAnchor="text" w:yAlign="inline"/>
            </w:pPr>
            <w:r>
              <w:t>There is limited a</w:t>
            </w:r>
            <w:r w:rsidR="00002D92">
              <w:t xml:space="preserve">ccess to </w:t>
            </w:r>
            <w:r w:rsidR="007A5103">
              <w:t xml:space="preserve">data for </w:t>
            </w:r>
            <w:r>
              <w:t xml:space="preserve">the OPCC </w:t>
            </w:r>
            <w:r w:rsidR="007A5103">
              <w:t>analyst</w:t>
            </w:r>
            <w:r>
              <w:t>.</w:t>
            </w:r>
          </w:p>
        </w:tc>
        <w:tc>
          <w:tcPr>
            <w:tcW w:w="3402" w:type="dxa"/>
          </w:tcPr>
          <w:p w14:paraId="591BD4D8" w14:textId="3FE9264E" w:rsidR="007A2E27" w:rsidRPr="001B0A79" w:rsidRDefault="00F50701" w:rsidP="003C6074">
            <w:pPr>
              <w:pStyle w:val="Tabletext"/>
              <w:framePr w:hSpace="0" w:wrap="auto" w:vAnchor="margin" w:hAnchor="text" w:yAlign="inline"/>
            </w:pPr>
            <w:r>
              <w:t xml:space="preserve">Government announcement </w:t>
            </w:r>
            <w:r w:rsidR="00E2122A">
              <w:t xml:space="preserve">to </w:t>
            </w:r>
            <w:r w:rsidR="00C964DE">
              <w:t xml:space="preserve">abolish PCCs significantly impacts on OPCC ability to recruit and retain staff and therefore delivery </w:t>
            </w:r>
            <w:r w:rsidR="00C44D69">
              <w:t xml:space="preserve">of </w:t>
            </w:r>
            <w:r w:rsidR="00C964DE">
              <w:t>stat</w:t>
            </w:r>
            <w:r w:rsidR="00A15286">
              <w:t>utory</w:t>
            </w:r>
            <w:r w:rsidR="00C964DE">
              <w:t xml:space="preserve"> functions</w:t>
            </w:r>
          </w:p>
        </w:tc>
      </w:tr>
    </w:tbl>
    <w:p w14:paraId="6CF3B2B7" w14:textId="77777777" w:rsidR="00BF6C77" w:rsidRDefault="00BF6C77" w:rsidP="006E2B88">
      <w:pPr>
        <w:sectPr w:rsidR="00BF6C77" w:rsidSect="000B208F">
          <w:pgSz w:w="16838" w:h="11906" w:orient="landscape"/>
          <w:pgMar w:top="1814" w:right="1134" w:bottom="1440" w:left="1134" w:header="709" w:footer="471" w:gutter="0"/>
          <w:cols w:space="708"/>
          <w:docGrid w:linePitch="360"/>
        </w:sectPr>
      </w:pPr>
    </w:p>
    <w:tbl>
      <w:tblPr>
        <w:tblStyle w:val="TableGrid"/>
        <w:tblpPr w:leftFromText="180" w:rightFromText="180" w:vertAnchor="text" w:horzAnchor="margin" w:tblpY="227"/>
        <w:tblW w:w="14596" w:type="dxa"/>
        <w:tblLook w:val="04A0" w:firstRow="1" w:lastRow="0" w:firstColumn="1" w:lastColumn="0" w:noHBand="0" w:noVBand="1"/>
      </w:tblPr>
      <w:tblGrid>
        <w:gridCol w:w="1531"/>
        <w:gridCol w:w="1841"/>
        <w:gridCol w:w="4143"/>
        <w:gridCol w:w="3683"/>
        <w:gridCol w:w="3398"/>
      </w:tblGrid>
      <w:tr w:rsidR="00BF6C77" w14:paraId="206647E4" w14:textId="77777777" w:rsidTr="00177296">
        <w:tc>
          <w:tcPr>
            <w:tcW w:w="14596" w:type="dxa"/>
            <w:gridSpan w:val="5"/>
            <w:shd w:val="clear" w:color="auto" w:fill="E2EFD9" w:themeFill="accent6" w:themeFillTint="33"/>
          </w:tcPr>
          <w:p w14:paraId="7607A7E1" w14:textId="77777777" w:rsidR="00BF240D" w:rsidRPr="001B0A79" w:rsidRDefault="00BF6C77" w:rsidP="003C6074">
            <w:pPr>
              <w:pStyle w:val="HeadinginTable"/>
              <w:framePr w:hSpace="0" w:wrap="auto" w:vAnchor="margin" w:hAnchor="text" w:yAlign="inline"/>
            </w:pPr>
            <w:r w:rsidRPr="001B0A79">
              <w:t>Core Principle of the Framework</w:t>
            </w:r>
          </w:p>
          <w:p w14:paraId="3715958D" w14:textId="672126D5" w:rsidR="00BF6C77" w:rsidRPr="001B0A79" w:rsidRDefault="00BF6C77" w:rsidP="003C6074">
            <w:pPr>
              <w:pStyle w:val="Heading3"/>
              <w:framePr w:hSpace="0" w:wrap="auto" w:vAnchor="margin" w:hAnchor="text" w:yAlign="inline"/>
            </w:pPr>
            <w:r w:rsidRPr="001B0A79">
              <w:t>Managing risks and performance through robust internal control and strong public financial management</w:t>
            </w:r>
            <w:r w:rsidR="00BF240D" w:rsidRPr="001B0A79">
              <w:t>.</w:t>
            </w:r>
          </w:p>
          <w:p w14:paraId="37004510" w14:textId="7E198936" w:rsidR="00BF6C77" w:rsidRPr="001B0A79" w:rsidRDefault="00BF6C77" w:rsidP="006E2B88">
            <w:pPr>
              <w:pStyle w:val="Tabletext"/>
              <w:framePr w:hSpace="0" w:wrap="auto" w:vAnchor="margin" w:hAnchor="text" w:yAlign="inline"/>
            </w:pPr>
            <w:r w:rsidRPr="001B0A79">
              <w:t xml:space="preserve">The PCC has assessed compliance with the framework as set out in the </w:t>
            </w:r>
            <w:r w:rsidRPr="001B0A79">
              <w:rPr>
                <w:highlight w:val="yellow"/>
              </w:rPr>
              <w:t>Local Code of Governance</w:t>
            </w:r>
            <w:r w:rsidRPr="001B0A79">
              <w:t xml:space="preserve"> under section </w:t>
            </w:r>
            <w:r w:rsidR="00517184" w:rsidRPr="001B0A79">
              <w:t xml:space="preserve">F. </w:t>
            </w:r>
            <w:r w:rsidRPr="001B0A79">
              <w:t xml:space="preserve">He has assessed that there is adequate assurance, and that this is overall an area of </w:t>
            </w:r>
            <w:r w:rsidRPr="001B0A79">
              <w:rPr>
                <w:u w:val="single"/>
              </w:rPr>
              <w:t>strength.</w:t>
            </w:r>
          </w:p>
        </w:tc>
      </w:tr>
      <w:tr w:rsidR="00BF6C77" w14:paraId="61B72569" w14:textId="77777777" w:rsidTr="00177296">
        <w:tc>
          <w:tcPr>
            <w:tcW w:w="1531" w:type="dxa"/>
          </w:tcPr>
          <w:p w14:paraId="0EE0AE7A" w14:textId="77777777" w:rsidR="00BF6C77" w:rsidRPr="00BF240D" w:rsidRDefault="00BF6C77" w:rsidP="006E2B88">
            <w:pPr>
              <w:pStyle w:val="Tabletext"/>
              <w:framePr w:hSpace="0" w:wrap="auto" w:vAnchor="margin" w:hAnchor="text" w:yAlign="inline"/>
            </w:pPr>
            <w:r w:rsidRPr="00BF240D">
              <w:t>Issue</w:t>
            </w:r>
          </w:p>
        </w:tc>
        <w:tc>
          <w:tcPr>
            <w:tcW w:w="1841" w:type="dxa"/>
          </w:tcPr>
          <w:p w14:paraId="71649B92" w14:textId="78DB3933" w:rsidR="00BF6C77" w:rsidRPr="00BF240D" w:rsidRDefault="00BF6C77" w:rsidP="006E2B88">
            <w:pPr>
              <w:pStyle w:val="Tabletext"/>
              <w:framePr w:hSpace="0" w:wrap="auto" w:vAnchor="margin" w:hAnchor="text" w:yAlign="inline"/>
            </w:pPr>
            <w:r w:rsidRPr="00BF240D">
              <w:t>Identified from</w:t>
            </w:r>
          </w:p>
        </w:tc>
        <w:tc>
          <w:tcPr>
            <w:tcW w:w="4143" w:type="dxa"/>
            <w:shd w:val="clear" w:color="auto" w:fill="E2EFD9" w:themeFill="accent6" w:themeFillTint="33"/>
          </w:tcPr>
          <w:p w14:paraId="3BB1181D" w14:textId="77777777" w:rsidR="00BF6C77" w:rsidRPr="00BF240D" w:rsidRDefault="00BF6C77" w:rsidP="006E2B88">
            <w:pPr>
              <w:pStyle w:val="Tabletext"/>
              <w:framePr w:hSpace="0" w:wrap="auto" w:vAnchor="margin" w:hAnchor="text" w:yAlign="inline"/>
            </w:pPr>
            <w:r w:rsidRPr="00BF240D">
              <w:t>Strength</w:t>
            </w:r>
          </w:p>
        </w:tc>
        <w:tc>
          <w:tcPr>
            <w:tcW w:w="3683" w:type="dxa"/>
            <w:shd w:val="clear" w:color="auto" w:fill="FFF2CC" w:themeFill="accent4" w:themeFillTint="33"/>
          </w:tcPr>
          <w:p w14:paraId="13F6F5EB" w14:textId="77777777" w:rsidR="00BF6C77" w:rsidRPr="00BF240D" w:rsidRDefault="00BF6C77" w:rsidP="006E2B88">
            <w:pPr>
              <w:pStyle w:val="Tabletext"/>
              <w:framePr w:hSpace="0" w:wrap="auto" w:vAnchor="margin" w:hAnchor="text" w:yAlign="inline"/>
            </w:pPr>
            <w:r w:rsidRPr="00BF240D">
              <w:t>Area for Improvement</w:t>
            </w:r>
          </w:p>
        </w:tc>
        <w:tc>
          <w:tcPr>
            <w:tcW w:w="3398" w:type="dxa"/>
            <w:shd w:val="clear" w:color="auto" w:fill="FED6CE"/>
          </w:tcPr>
          <w:p w14:paraId="0444E2A2" w14:textId="77777777" w:rsidR="00BF6C77" w:rsidRPr="00BF240D" w:rsidRDefault="00BF6C77" w:rsidP="006E2B88">
            <w:pPr>
              <w:pStyle w:val="Tabletext"/>
              <w:framePr w:hSpace="0" w:wrap="auto" w:vAnchor="margin" w:hAnchor="text" w:yAlign="inline"/>
            </w:pPr>
            <w:r w:rsidRPr="00BF240D">
              <w:t>Area of challenge</w:t>
            </w:r>
          </w:p>
        </w:tc>
      </w:tr>
      <w:tr w:rsidR="00B82053" w:rsidRPr="001B0A79" w14:paraId="4A824605" w14:textId="77777777" w:rsidTr="001B0A79">
        <w:tc>
          <w:tcPr>
            <w:tcW w:w="1531" w:type="dxa"/>
          </w:tcPr>
          <w:p w14:paraId="00184B5C" w14:textId="2178D8A7" w:rsidR="00B82053" w:rsidRPr="001B0A79" w:rsidRDefault="00B82053" w:rsidP="003C6074">
            <w:pPr>
              <w:pStyle w:val="Tabletext"/>
              <w:framePr w:hSpace="0" w:wrap="auto" w:vAnchor="margin" w:hAnchor="text" w:yAlign="inline"/>
            </w:pPr>
            <w:r>
              <w:t xml:space="preserve">Review of risk management for </w:t>
            </w:r>
            <w:r w:rsidR="00B20DF3">
              <w:t>contracted services</w:t>
            </w:r>
          </w:p>
        </w:tc>
        <w:tc>
          <w:tcPr>
            <w:tcW w:w="1841" w:type="dxa"/>
          </w:tcPr>
          <w:p w14:paraId="3F0FB1A2" w14:textId="4558379F" w:rsidR="00B82053" w:rsidRPr="001B0A79" w:rsidRDefault="00422215" w:rsidP="003C6074">
            <w:pPr>
              <w:pStyle w:val="Tabletext"/>
              <w:framePr w:hSpace="0" w:wrap="auto" w:vAnchor="margin" w:hAnchor="text" w:yAlign="inline"/>
            </w:pPr>
            <w:r>
              <w:t xml:space="preserve">Internal audit </w:t>
            </w:r>
          </w:p>
        </w:tc>
        <w:tc>
          <w:tcPr>
            <w:tcW w:w="4143" w:type="dxa"/>
          </w:tcPr>
          <w:p w14:paraId="6C97A560" w14:textId="77777777" w:rsidR="00D7236D" w:rsidRDefault="00852A4F" w:rsidP="003C6074">
            <w:pPr>
              <w:pStyle w:val="Tabletext"/>
              <w:framePr w:hSpace="0" w:wrap="auto" w:vAnchor="margin" w:hAnchor="text" w:yAlign="inline"/>
            </w:pPr>
            <w:r>
              <w:t xml:space="preserve">Both the internal audit review, and the OPCC’s own work </w:t>
            </w:r>
            <w:r w:rsidR="00D7236D">
              <w:t>to review the management of contracted services identified areas for improve around risk management.</w:t>
            </w:r>
          </w:p>
          <w:p w14:paraId="581E69F2" w14:textId="57126C54" w:rsidR="00B82053" w:rsidRPr="001B0A79" w:rsidRDefault="000E08E3" w:rsidP="003C6074">
            <w:pPr>
              <w:pStyle w:val="Tabletext"/>
              <w:framePr w:hSpace="0" w:wrap="auto" w:vAnchor="margin" w:hAnchor="text" w:yAlign="inline"/>
            </w:pPr>
            <w:r>
              <w:t xml:space="preserve">Work will be undertaken </w:t>
            </w:r>
            <w:r w:rsidR="00B20DF3">
              <w:t xml:space="preserve">to standardise risk process and </w:t>
            </w:r>
            <w:r>
              <w:t xml:space="preserve">to improve </w:t>
            </w:r>
            <w:r w:rsidR="00B20DF3">
              <w:t>oversight</w:t>
            </w:r>
          </w:p>
        </w:tc>
        <w:tc>
          <w:tcPr>
            <w:tcW w:w="3683" w:type="dxa"/>
          </w:tcPr>
          <w:p w14:paraId="21D34514" w14:textId="74B33D05" w:rsidR="00B82053" w:rsidRPr="001B0A79" w:rsidRDefault="008F4FA1" w:rsidP="003C6074">
            <w:pPr>
              <w:pStyle w:val="Tabletext"/>
              <w:framePr w:hSpace="0" w:wrap="auto" w:vAnchor="margin" w:hAnchor="text" w:yAlign="inline"/>
            </w:pPr>
            <w:r>
              <w:t>Work to be done in 26-27</w:t>
            </w:r>
            <w:r w:rsidR="000E08E3">
              <w:t xml:space="preserve">, but this is dependent on the team’s </w:t>
            </w:r>
            <w:r w:rsidR="00A62705">
              <w:t>capacity.</w:t>
            </w:r>
            <w:r w:rsidR="005953A9">
              <w:t xml:space="preserve"> </w:t>
            </w:r>
          </w:p>
        </w:tc>
        <w:tc>
          <w:tcPr>
            <w:tcW w:w="3398" w:type="dxa"/>
          </w:tcPr>
          <w:p w14:paraId="410DD3C7" w14:textId="77777777" w:rsidR="00B82053" w:rsidRPr="001B0A79" w:rsidRDefault="00B82053" w:rsidP="003C6074">
            <w:pPr>
              <w:pStyle w:val="Tabletext"/>
              <w:framePr w:hSpace="0" w:wrap="auto" w:vAnchor="margin" w:hAnchor="text" w:yAlign="inline"/>
            </w:pPr>
          </w:p>
        </w:tc>
      </w:tr>
      <w:tr w:rsidR="00F1484B" w:rsidRPr="001B0A79" w14:paraId="43656814" w14:textId="77777777" w:rsidTr="001B0A79">
        <w:tc>
          <w:tcPr>
            <w:tcW w:w="1531" w:type="dxa"/>
          </w:tcPr>
          <w:p w14:paraId="13A29709" w14:textId="7CBBCC7A" w:rsidR="00F1484B" w:rsidRPr="001B0A79" w:rsidRDefault="00670D2E" w:rsidP="003C6074">
            <w:pPr>
              <w:pStyle w:val="Tabletext"/>
              <w:framePr w:hSpace="0" w:wrap="auto" w:vAnchor="margin" w:hAnchor="text" w:yAlign="inline"/>
            </w:pPr>
            <w:r>
              <w:t xml:space="preserve">New internal performance framework to measure PCC accountable plan </w:t>
            </w:r>
            <w:r w:rsidR="001D04D8">
              <w:t>measures</w:t>
            </w:r>
          </w:p>
        </w:tc>
        <w:tc>
          <w:tcPr>
            <w:tcW w:w="1841" w:type="dxa"/>
          </w:tcPr>
          <w:p w14:paraId="5F88FFCC" w14:textId="4AFFAE7B" w:rsidR="00F1484B" w:rsidRPr="001B0A79" w:rsidRDefault="00775E74" w:rsidP="003C6074">
            <w:pPr>
              <w:pStyle w:val="Tabletext"/>
              <w:framePr w:hSpace="0" w:wrap="auto" w:vAnchor="margin" w:hAnchor="text" w:yAlign="inline"/>
            </w:pPr>
            <w:r>
              <w:t>Police and Crime Plan</w:t>
            </w:r>
          </w:p>
        </w:tc>
        <w:tc>
          <w:tcPr>
            <w:tcW w:w="4143" w:type="dxa"/>
          </w:tcPr>
          <w:p w14:paraId="25CA128C" w14:textId="487EEA40" w:rsidR="00670D2E" w:rsidRPr="001B0A79" w:rsidRDefault="00852A4F" w:rsidP="003C6074">
            <w:pPr>
              <w:pStyle w:val="Tabletext"/>
              <w:framePr w:hSpace="0" w:wrap="auto" w:vAnchor="margin" w:hAnchor="text" w:yAlign="inline"/>
            </w:pPr>
            <w:r>
              <w:t>See section D</w:t>
            </w:r>
          </w:p>
        </w:tc>
        <w:tc>
          <w:tcPr>
            <w:tcW w:w="3683" w:type="dxa"/>
          </w:tcPr>
          <w:p w14:paraId="54364BBE" w14:textId="77777777" w:rsidR="00F1484B" w:rsidRPr="001B0A79" w:rsidRDefault="00F1484B" w:rsidP="003C6074">
            <w:pPr>
              <w:pStyle w:val="Tabletext"/>
              <w:framePr w:hSpace="0" w:wrap="auto" w:vAnchor="margin" w:hAnchor="text" w:yAlign="inline"/>
            </w:pPr>
          </w:p>
        </w:tc>
        <w:tc>
          <w:tcPr>
            <w:tcW w:w="3398" w:type="dxa"/>
          </w:tcPr>
          <w:p w14:paraId="42048B6B" w14:textId="77777777" w:rsidR="00F1484B" w:rsidRPr="001B0A79" w:rsidRDefault="00F1484B" w:rsidP="003C6074">
            <w:pPr>
              <w:pStyle w:val="Tabletext"/>
              <w:framePr w:hSpace="0" w:wrap="auto" w:vAnchor="margin" w:hAnchor="text" w:yAlign="inline"/>
            </w:pPr>
          </w:p>
        </w:tc>
      </w:tr>
      <w:tr w:rsidR="006A0872" w:rsidRPr="001B0A79" w14:paraId="29A8BDFC" w14:textId="77777777" w:rsidTr="001B0A79">
        <w:tc>
          <w:tcPr>
            <w:tcW w:w="1531" w:type="dxa"/>
          </w:tcPr>
          <w:p w14:paraId="27C4402A" w14:textId="4E026925" w:rsidR="006A0872" w:rsidRPr="001B0A79" w:rsidRDefault="006A0872" w:rsidP="003C6074">
            <w:pPr>
              <w:pStyle w:val="Tabletext"/>
              <w:framePr w:hSpace="0" w:wrap="auto" w:vAnchor="margin" w:hAnchor="text" w:yAlign="inline"/>
            </w:pPr>
            <w:r>
              <w:t>New Chair and members for JAC</w:t>
            </w:r>
          </w:p>
        </w:tc>
        <w:tc>
          <w:tcPr>
            <w:tcW w:w="1841" w:type="dxa"/>
          </w:tcPr>
          <w:p w14:paraId="2EDE5BBB" w14:textId="5B41B618" w:rsidR="006A0872" w:rsidRPr="001B0A79" w:rsidRDefault="002342E7" w:rsidP="003C6074">
            <w:pPr>
              <w:pStyle w:val="Tabletext"/>
              <w:framePr w:hSpace="0" w:wrap="auto" w:vAnchor="margin" w:hAnchor="text" w:yAlign="inline"/>
            </w:pPr>
            <w:r>
              <w:t xml:space="preserve">Other- national </w:t>
            </w:r>
            <w:r w:rsidR="00775E74">
              <w:t>guidance</w:t>
            </w:r>
          </w:p>
        </w:tc>
        <w:tc>
          <w:tcPr>
            <w:tcW w:w="4143" w:type="dxa"/>
          </w:tcPr>
          <w:p w14:paraId="481BDED9" w14:textId="77777777" w:rsidR="00834FE8" w:rsidRDefault="009521CE" w:rsidP="00834FE8">
            <w:pPr>
              <w:pStyle w:val="Tabletext"/>
              <w:framePr w:hSpace="0" w:wrap="auto" w:vAnchor="margin" w:hAnchor="text" w:yAlign="inline"/>
            </w:pPr>
            <w:r>
              <w:t>The OPCC took a new approach to JAC recruitment, and used a specialist external agency to identify candidate</w:t>
            </w:r>
            <w:r w:rsidR="001C7546">
              <w:t xml:space="preserve">s, </w:t>
            </w:r>
            <w:r w:rsidR="00AF1638">
              <w:t>enabling a far wider reach than previously.</w:t>
            </w:r>
          </w:p>
          <w:p w14:paraId="2371F1EC" w14:textId="669DA04F" w:rsidR="007F3C3D" w:rsidRPr="001B0A79" w:rsidRDefault="00AF1638" w:rsidP="00834FE8">
            <w:pPr>
              <w:pStyle w:val="Tabletext"/>
              <w:framePr w:hSpace="0" w:wrap="auto" w:vAnchor="margin" w:hAnchor="text" w:yAlign="inline"/>
            </w:pPr>
            <w:r>
              <w:t>Both the Chair and new members have successfully joined the JAC</w:t>
            </w:r>
            <w:r w:rsidR="00392086">
              <w:t xml:space="preserve"> and the committee is functioning well as a team.</w:t>
            </w:r>
          </w:p>
        </w:tc>
        <w:tc>
          <w:tcPr>
            <w:tcW w:w="3683" w:type="dxa"/>
          </w:tcPr>
          <w:p w14:paraId="655AAE2B" w14:textId="6E05FC87" w:rsidR="006A0872" w:rsidRPr="001B0A79" w:rsidRDefault="00B86997" w:rsidP="003C6074">
            <w:pPr>
              <w:pStyle w:val="Tabletext"/>
              <w:framePr w:hSpace="0" w:wrap="auto" w:vAnchor="margin" w:hAnchor="text" w:yAlign="inline"/>
            </w:pPr>
            <w:r>
              <w:t xml:space="preserve">Continuing work to develop JAC </w:t>
            </w:r>
            <w:r w:rsidR="00CA7BFC">
              <w:t>self-assessment</w:t>
            </w:r>
            <w:r w:rsidR="00392086">
              <w:t>, and to identify any training or development needs.</w:t>
            </w:r>
            <w:r w:rsidR="005953A9">
              <w:t xml:space="preserve"> </w:t>
            </w:r>
          </w:p>
        </w:tc>
        <w:tc>
          <w:tcPr>
            <w:tcW w:w="3398" w:type="dxa"/>
          </w:tcPr>
          <w:p w14:paraId="62D893BE" w14:textId="77777777" w:rsidR="006A0872" w:rsidRPr="001B0A79" w:rsidRDefault="006A0872" w:rsidP="003C6074">
            <w:pPr>
              <w:pStyle w:val="Tabletext"/>
              <w:framePr w:hSpace="0" w:wrap="auto" w:vAnchor="margin" w:hAnchor="text" w:yAlign="inline"/>
            </w:pPr>
          </w:p>
        </w:tc>
      </w:tr>
      <w:tr w:rsidR="00F45E2F" w:rsidRPr="001B0A79" w14:paraId="1CF1920A" w14:textId="77777777" w:rsidTr="001B0A79">
        <w:tc>
          <w:tcPr>
            <w:tcW w:w="1531" w:type="dxa"/>
          </w:tcPr>
          <w:p w14:paraId="18157D0F" w14:textId="510F7851" w:rsidR="00F45E2F" w:rsidRDefault="00F45E2F" w:rsidP="003C6074">
            <w:pPr>
              <w:pStyle w:val="Tabletext"/>
              <w:framePr w:hSpace="0" w:wrap="auto" w:vAnchor="margin" w:hAnchor="text" w:yAlign="inline"/>
            </w:pPr>
            <w:r>
              <w:t>New VFM profiles report</w:t>
            </w:r>
          </w:p>
        </w:tc>
        <w:tc>
          <w:tcPr>
            <w:tcW w:w="1841" w:type="dxa"/>
          </w:tcPr>
          <w:p w14:paraId="0B6B6405" w14:textId="13450CDC" w:rsidR="00F45E2F" w:rsidRDefault="0090560F" w:rsidP="003C6074">
            <w:pPr>
              <w:pStyle w:val="Tabletext"/>
              <w:framePr w:hSpace="0" w:wrap="auto" w:vAnchor="margin" w:hAnchor="text" w:yAlign="inline"/>
            </w:pPr>
            <w:r>
              <w:t>Other- SMT</w:t>
            </w:r>
          </w:p>
        </w:tc>
        <w:tc>
          <w:tcPr>
            <w:tcW w:w="4143" w:type="dxa"/>
          </w:tcPr>
          <w:p w14:paraId="4C89B13F" w14:textId="35A9B938" w:rsidR="00392086" w:rsidRDefault="006B162F" w:rsidP="003C6074">
            <w:pPr>
              <w:pStyle w:val="Tabletext"/>
              <w:framePr w:hSpace="0" w:wrap="auto" w:vAnchor="margin" w:hAnchor="text" w:yAlign="inline"/>
            </w:pPr>
            <w:r>
              <w:t xml:space="preserve">Data analyst </w:t>
            </w:r>
            <w:r w:rsidR="00392086">
              <w:t xml:space="preserve">is now providing </w:t>
            </w:r>
            <w:r>
              <w:t xml:space="preserve">new </w:t>
            </w:r>
            <w:r w:rsidR="00392086">
              <w:t xml:space="preserve">and improved </w:t>
            </w:r>
            <w:r>
              <w:t>analysis o</w:t>
            </w:r>
            <w:r w:rsidR="00392086">
              <w:t>f Kent’s</w:t>
            </w:r>
            <w:r>
              <w:t xml:space="preserve"> VFM profiles.</w:t>
            </w:r>
            <w:r w:rsidR="005953A9">
              <w:t xml:space="preserve"> </w:t>
            </w:r>
          </w:p>
          <w:p w14:paraId="31E8D6CE" w14:textId="15C6C1A3" w:rsidR="00F45E2F" w:rsidRDefault="006B162F" w:rsidP="003C6074">
            <w:pPr>
              <w:pStyle w:val="Tabletext"/>
              <w:framePr w:hSpace="0" w:wrap="auto" w:vAnchor="margin" w:hAnchor="text" w:yAlign="inline"/>
            </w:pPr>
            <w:r>
              <w:t xml:space="preserve">Allows </w:t>
            </w:r>
            <w:r w:rsidR="00392086">
              <w:t xml:space="preserve">the OPCC </w:t>
            </w:r>
            <w:r>
              <w:t>CFO to put appropriate challenges to the Force where Kent is an outlier</w:t>
            </w:r>
          </w:p>
        </w:tc>
        <w:tc>
          <w:tcPr>
            <w:tcW w:w="3683" w:type="dxa"/>
          </w:tcPr>
          <w:p w14:paraId="4C855F26" w14:textId="77777777" w:rsidR="00F45E2F" w:rsidRDefault="00F45E2F" w:rsidP="003C6074">
            <w:pPr>
              <w:pStyle w:val="Tabletext"/>
              <w:framePr w:hSpace="0" w:wrap="auto" w:vAnchor="margin" w:hAnchor="text" w:yAlign="inline"/>
            </w:pPr>
          </w:p>
        </w:tc>
        <w:tc>
          <w:tcPr>
            <w:tcW w:w="3398" w:type="dxa"/>
          </w:tcPr>
          <w:p w14:paraId="33A00521" w14:textId="77777777" w:rsidR="00F45E2F" w:rsidRPr="001B0A79" w:rsidRDefault="00F45E2F" w:rsidP="003C6074">
            <w:pPr>
              <w:pStyle w:val="Tabletext"/>
              <w:framePr w:hSpace="0" w:wrap="auto" w:vAnchor="margin" w:hAnchor="text" w:yAlign="inline"/>
            </w:pPr>
          </w:p>
        </w:tc>
      </w:tr>
      <w:tr w:rsidR="00D37954" w:rsidRPr="001B0A79" w14:paraId="4AA33742" w14:textId="77777777" w:rsidTr="001B0A79">
        <w:tc>
          <w:tcPr>
            <w:tcW w:w="1531" w:type="dxa"/>
          </w:tcPr>
          <w:p w14:paraId="7F5111FE" w14:textId="03D8E3B1" w:rsidR="00D37954" w:rsidRDefault="00404909" w:rsidP="003C6074">
            <w:pPr>
              <w:pStyle w:val="Tabletext"/>
              <w:framePr w:hSpace="0" w:wrap="auto" w:vAnchor="margin" w:hAnchor="text" w:yAlign="inline"/>
            </w:pPr>
            <w:r>
              <w:t>Improved staffing and info</w:t>
            </w:r>
            <w:r w:rsidR="007E1B2A">
              <w:t>rmation management to support</w:t>
            </w:r>
            <w:r>
              <w:t xml:space="preserve"> KCJB</w:t>
            </w:r>
          </w:p>
        </w:tc>
        <w:tc>
          <w:tcPr>
            <w:tcW w:w="1841" w:type="dxa"/>
          </w:tcPr>
          <w:p w14:paraId="642C46C4" w14:textId="44F5F49E" w:rsidR="00D37954" w:rsidRDefault="002D6301" w:rsidP="003C6074">
            <w:pPr>
              <w:pStyle w:val="Tabletext"/>
              <w:framePr w:hSpace="0" w:wrap="auto" w:vAnchor="margin" w:hAnchor="text" w:yAlign="inline"/>
            </w:pPr>
            <w:r>
              <w:t>Risk register and Police and Crime Plan</w:t>
            </w:r>
          </w:p>
        </w:tc>
        <w:tc>
          <w:tcPr>
            <w:tcW w:w="4143" w:type="dxa"/>
          </w:tcPr>
          <w:p w14:paraId="64036305" w14:textId="77777777" w:rsidR="00AB6EE7" w:rsidRDefault="00254F7E" w:rsidP="003C6074">
            <w:pPr>
              <w:pStyle w:val="Tabletext"/>
              <w:framePr w:hSpace="0" w:wrap="auto" w:vAnchor="margin" w:hAnchor="text" w:yAlign="inline"/>
            </w:pPr>
            <w:r>
              <w:t>Enhanced focus on the criminal just</w:t>
            </w:r>
            <w:r w:rsidR="00AB6EE7">
              <w:t>ice system and the role of the PCC as Chair of the KCJB.</w:t>
            </w:r>
          </w:p>
          <w:p w14:paraId="00DF696B" w14:textId="0F582971" w:rsidR="00B546A4" w:rsidRDefault="00AB6EE7" w:rsidP="003C6074">
            <w:pPr>
              <w:pStyle w:val="Tabletext"/>
              <w:framePr w:hSpace="0" w:wrap="auto" w:vAnchor="margin" w:hAnchor="text" w:yAlign="inline"/>
            </w:pPr>
            <w:r>
              <w:t xml:space="preserve">In 25-26, the </w:t>
            </w:r>
            <w:r w:rsidR="00DE3AA2">
              <w:t xml:space="preserve">analyst and KCJB manager </w:t>
            </w:r>
            <w:r w:rsidR="00B546A4">
              <w:t>have provided additional support and co-ordination for the KCJB, and to the PCC directly.</w:t>
            </w:r>
            <w:r w:rsidR="005953A9">
              <w:t xml:space="preserve"> </w:t>
            </w:r>
          </w:p>
          <w:p w14:paraId="3CF087D0" w14:textId="12CA6A99" w:rsidR="004C1118" w:rsidRDefault="00A02AC1" w:rsidP="003C6074">
            <w:pPr>
              <w:pStyle w:val="Tabletext"/>
              <w:framePr w:hSpace="0" w:wrap="auto" w:vAnchor="margin" w:hAnchor="text" w:yAlign="inline"/>
            </w:pPr>
            <w:r>
              <w:t xml:space="preserve">This has in turn allowed the PCC/OPCC to better drive the work of the KCJB, with the creation of </w:t>
            </w:r>
            <w:r w:rsidR="004C1118">
              <w:t>new or re-invigorated subgroups.</w:t>
            </w:r>
            <w:r w:rsidR="005953A9">
              <w:t xml:space="preserve"> </w:t>
            </w:r>
          </w:p>
          <w:p w14:paraId="11A3B309" w14:textId="2E97D041" w:rsidR="002C58AF" w:rsidRDefault="004C1118" w:rsidP="003C6074">
            <w:pPr>
              <w:pStyle w:val="Tabletext"/>
              <w:framePr w:hSpace="0" w:wrap="auto" w:vAnchor="margin" w:hAnchor="text" w:yAlign="inline"/>
            </w:pPr>
            <w:r>
              <w:t xml:space="preserve">Information </w:t>
            </w:r>
            <w:r w:rsidR="006C3332">
              <w:t>flows have improved, with both the data pack, and the m</w:t>
            </w:r>
            <w:r w:rsidR="002C58AF">
              <w:t xml:space="preserve">inutes of meetings </w:t>
            </w:r>
            <w:r w:rsidR="006C3332">
              <w:t xml:space="preserve">published </w:t>
            </w:r>
            <w:r w:rsidR="002C58AF">
              <w:t xml:space="preserve">on </w:t>
            </w:r>
            <w:r w:rsidR="006C3332">
              <w:t xml:space="preserve">the </w:t>
            </w:r>
            <w:r w:rsidR="002C58AF">
              <w:t>website</w:t>
            </w:r>
            <w:r w:rsidR="006C3332">
              <w:t>.</w:t>
            </w:r>
          </w:p>
        </w:tc>
        <w:tc>
          <w:tcPr>
            <w:tcW w:w="3683" w:type="dxa"/>
          </w:tcPr>
          <w:p w14:paraId="50180DFA" w14:textId="77777777" w:rsidR="00D37954" w:rsidRDefault="00D37954" w:rsidP="003C6074">
            <w:pPr>
              <w:pStyle w:val="Tabletext"/>
              <w:framePr w:hSpace="0" w:wrap="auto" w:vAnchor="margin" w:hAnchor="text" w:yAlign="inline"/>
            </w:pPr>
          </w:p>
        </w:tc>
        <w:tc>
          <w:tcPr>
            <w:tcW w:w="3398" w:type="dxa"/>
          </w:tcPr>
          <w:p w14:paraId="45DD0204" w14:textId="77777777" w:rsidR="00D37954" w:rsidRPr="001B0A79" w:rsidRDefault="00D37954" w:rsidP="003C6074">
            <w:pPr>
              <w:pStyle w:val="Tabletext"/>
              <w:framePr w:hSpace="0" w:wrap="auto" w:vAnchor="margin" w:hAnchor="text" w:yAlign="inline"/>
            </w:pPr>
          </w:p>
        </w:tc>
      </w:tr>
    </w:tbl>
    <w:p w14:paraId="402324EC" w14:textId="77777777" w:rsidR="00BF6C77" w:rsidRPr="001B0A79" w:rsidRDefault="00BF6C77" w:rsidP="003C6074">
      <w:pPr>
        <w:pStyle w:val="Tabletext"/>
        <w:framePr w:wrap="around"/>
      </w:pPr>
    </w:p>
    <w:p w14:paraId="1F4C3925" w14:textId="77777777" w:rsidR="00BF6C77" w:rsidRDefault="00BF6C77" w:rsidP="003C6074">
      <w:pPr>
        <w:pStyle w:val="Tabletext"/>
        <w:framePr w:wrap="around"/>
        <w:sectPr w:rsidR="00BF6C77" w:rsidSect="000B208F">
          <w:pgSz w:w="16838" w:h="11906" w:orient="landscape"/>
          <w:pgMar w:top="1814" w:right="1134" w:bottom="1440" w:left="1134" w:header="709" w:footer="471" w:gutter="0"/>
          <w:cols w:space="708"/>
          <w:docGrid w:linePitch="360"/>
        </w:sectPr>
      </w:pPr>
    </w:p>
    <w:tbl>
      <w:tblPr>
        <w:tblStyle w:val="TableGrid"/>
        <w:tblpPr w:leftFromText="180" w:rightFromText="180" w:vertAnchor="text" w:horzAnchor="margin" w:tblpY="227"/>
        <w:tblW w:w="14600" w:type="dxa"/>
        <w:tblLook w:val="04A0" w:firstRow="1" w:lastRow="0" w:firstColumn="1" w:lastColumn="0" w:noHBand="0" w:noVBand="1"/>
      </w:tblPr>
      <w:tblGrid>
        <w:gridCol w:w="1519"/>
        <w:gridCol w:w="1701"/>
        <w:gridCol w:w="5426"/>
        <w:gridCol w:w="3686"/>
        <w:gridCol w:w="2268"/>
      </w:tblGrid>
      <w:tr w:rsidR="00BF6C77" w:rsidRPr="001B0A79" w14:paraId="591C339A" w14:textId="77777777" w:rsidTr="005953A9">
        <w:trPr>
          <w:cantSplit/>
        </w:trPr>
        <w:tc>
          <w:tcPr>
            <w:tcW w:w="14599" w:type="dxa"/>
            <w:gridSpan w:val="5"/>
            <w:shd w:val="clear" w:color="auto" w:fill="E2EFD9" w:themeFill="accent6" w:themeFillTint="33"/>
          </w:tcPr>
          <w:p w14:paraId="0724267F" w14:textId="77777777" w:rsidR="00BF240D" w:rsidRPr="001B0A79" w:rsidRDefault="00BF6C77" w:rsidP="000C6408">
            <w:pPr>
              <w:pStyle w:val="HeadinginTable"/>
              <w:framePr w:hSpace="0" w:wrap="auto" w:vAnchor="margin" w:hAnchor="text" w:yAlign="inline"/>
            </w:pPr>
            <w:r w:rsidRPr="001B0A79">
              <w:t>Core Principle of the Framework</w:t>
            </w:r>
          </w:p>
          <w:p w14:paraId="4A38F7E3" w14:textId="26A0FC57" w:rsidR="00BF6C77" w:rsidRPr="001B0A79" w:rsidRDefault="00BF6C77" w:rsidP="000C6408">
            <w:pPr>
              <w:pStyle w:val="Heading3"/>
              <w:framePr w:hSpace="0" w:wrap="auto" w:vAnchor="margin" w:hAnchor="text" w:yAlign="inline"/>
            </w:pPr>
            <w:r w:rsidRPr="001B0A79">
              <w:t xml:space="preserve">Implementing good practices in transparency, reporting and audit to </w:t>
            </w:r>
            <w:r w:rsidRPr="001B0A79">
              <w:rPr>
                <w:color w:val="000000" w:themeColor="text1"/>
              </w:rPr>
              <w:t>deliver</w:t>
            </w:r>
            <w:r w:rsidRPr="001B0A79">
              <w:t xml:space="preserve"> effective </w:t>
            </w:r>
            <w:r w:rsidR="00BF240D" w:rsidRPr="001B0A79">
              <w:t>accountability.</w:t>
            </w:r>
          </w:p>
          <w:p w14:paraId="7D23951B" w14:textId="4C5BBFB5" w:rsidR="00BF6C77" w:rsidRPr="001B0A79" w:rsidRDefault="00BF6C77" w:rsidP="003C6074">
            <w:pPr>
              <w:pStyle w:val="Tabletext"/>
              <w:framePr w:hSpace="0" w:wrap="auto" w:vAnchor="margin" w:hAnchor="text" w:yAlign="inline"/>
            </w:pPr>
            <w:r w:rsidRPr="001B0A79">
              <w:t xml:space="preserve">The PCC has assessed compliance with the framework as set out in the </w:t>
            </w:r>
            <w:r w:rsidRPr="001B0A79">
              <w:rPr>
                <w:highlight w:val="yellow"/>
              </w:rPr>
              <w:t>Local Code of Governance</w:t>
            </w:r>
            <w:r w:rsidRPr="001B0A79">
              <w:t xml:space="preserve"> under section G.</w:t>
            </w:r>
            <w:r w:rsidR="001C3514">
              <w:t xml:space="preserve"> </w:t>
            </w:r>
            <w:r w:rsidRPr="001B0A79">
              <w:t xml:space="preserve">He has assessed that there is adequate assurance, and that this is overall an area of </w:t>
            </w:r>
            <w:r w:rsidRPr="001B0A79">
              <w:rPr>
                <w:u w:val="single"/>
              </w:rPr>
              <w:t>strength.</w:t>
            </w:r>
          </w:p>
        </w:tc>
      </w:tr>
      <w:tr w:rsidR="00BF6C77" w14:paraId="201EDCEA" w14:textId="77777777" w:rsidTr="005953A9">
        <w:trPr>
          <w:cantSplit/>
        </w:trPr>
        <w:tc>
          <w:tcPr>
            <w:tcW w:w="1519" w:type="dxa"/>
          </w:tcPr>
          <w:p w14:paraId="29F49275" w14:textId="77777777" w:rsidR="00BF6C77" w:rsidRPr="003C6074" w:rsidRDefault="00BF6C77" w:rsidP="003C6074">
            <w:pPr>
              <w:pStyle w:val="Tabletext"/>
              <w:framePr w:hSpace="0" w:wrap="auto" w:vAnchor="margin" w:hAnchor="text" w:yAlign="inline"/>
              <w:rPr>
                <w:b/>
                <w:bCs/>
              </w:rPr>
            </w:pPr>
            <w:r w:rsidRPr="003C6074">
              <w:rPr>
                <w:b/>
                <w:bCs/>
              </w:rPr>
              <w:t>Issue</w:t>
            </w:r>
          </w:p>
        </w:tc>
        <w:tc>
          <w:tcPr>
            <w:tcW w:w="1701" w:type="dxa"/>
          </w:tcPr>
          <w:p w14:paraId="64DF7064" w14:textId="6689FA64" w:rsidR="00BF6C77" w:rsidRPr="003C6074" w:rsidRDefault="00BF6C77" w:rsidP="003C6074">
            <w:pPr>
              <w:pStyle w:val="Tabletext"/>
              <w:framePr w:hSpace="0" w:wrap="auto" w:vAnchor="margin" w:hAnchor="text" w:yAlign="inline"/>
              <w:rPr>
                <w:b/>
                <w:bCs/>
              </w:rPr>
            </w:pPr>
            <w:r w:rsidRPr="003C6074">
              <w:rPr>
                <w:b/>
                <w:bCs/>
              </w:rPr>
              <w:t>Identified from</w:t>
            </w:r>
          </w:p>
        </w:tc>
        <w:tc>
          <w:tcPr>
            <w:tcW w:w="5426" w:type="dxa"/>
            <w:shd w:val="clear" w:color="auto" w:fill="E2EFD9" w:themeFill="accent6" w:themeFillTint="33"/>
          </w:tcPr>
          <w:p w14:paraId="6AE79BD2" w14:textId="77777777" w:rsidR="00BF6C77" w:rsidRPr="003C6074" w:rsidRDefault="00BF6C77" w:rsidP="003C6074">
            <w:pPr>
              <w:pStyle w:val="Tabletext"/>
              <w:framePr w:hSpace="0" w:wrap="auto" w:vAnchor="margin" w:hAnchor="text" w:yAlign="inline"/>
              <w:rPr>
                <w:b/>
                <w:bCs/>
              </w:rPr>
            </w:pPr>
            <w:r w:rsidRPr="003C6074">
              <w:rPr>
                <w:b/>
                <w:bCs/>
              </w:rPr>
              <w:t>Strength</w:t>
            </w:r>
          </w:p>
        </w:tc>
        <w:tc>
          <w:tcPr>
            <w:tcW w:w="3686" w:type="dxa"/>
            <w:shd w:val="clear" w:color="auto" w:fill="FFF2CC" w:themeFill="accent4" w:themeFillTint="33"/>
          </w:tcPr>
          <w:p w14:paraId="5251ABEB" w14:textId="77777777" w:rsidR="00BF6C77" w:rsidRPr="003C6074" w:rsidRDefault="00BF6C77" w:rsidP="003C6074">
            <w:pPr>
              <w:pStyle w:val="Tabletext"/>
              <w:framePr w:hSpace="0" w:wrap="auto" w:vAnchor="margin" w:hAnchor="text" w:yAlign="inline"/>
              <w:rPr>
                <w:b/>
                <w:bCs/>
              </w:rPr>
            </w:pPr>
            <w:r w:rsidRPr="003C6074">
              <w:rPr>
                <w:b/>
                <w:bCs/>
              </w:rPr>
              <w:t>Area for Improvement</w:t>
            </w:r>
          </w:p>
        </w:tc>
        <w:tc>
          <w:tcPr>
            <w:tcW w:w="2268" w:type="dxa"/>
            <w:shd w:val="clear" w:color="auto" w:fill="FED6CE"/>
          </w:tcPr>
          <w:p w14:paraId="223D2E1D" w14:textId="77777777" w:rsidR="00BF6C77" w:rsidRPr="003C6074" w:rsidRDefault="00BF6C77" w:rsidP="003C6074">
            <w:pPr>
              <w:pStyle w:val="Tabletext"/>
              <w:framePr w:hSpace="0" w:wrap="auto" w:vAnchor="margin" w:hAnchor="text" w:yAlign="inline"/>
              <w:rPr>
                <w:b/>
                <w:bCs/>
              </w:rPr>
            </w:pPr>
            <w:r w:rsidRPr="003C6074">
              <w:rPr>
                <w:b/>
                <w:bCs/>
              </w:rPr>
              <w:t>Area of challenge</w:t>
            </w:r>
          </w:p>
        </w:tc>
      </w:tr>
      <w:tr w:rsidR="00682F32" w14:paraId="020D71DC" w14:textId="77777777" w:rsidTr="005953A9">
        <w:trPr>
          <w:cantSplit/>
          <w:trHeight w:val="983"/>
        </w:trPr>
        <w:tc>
          <w:tcPr>
            <w:tcW w:w="1519" w:type="dxa"/>
          </w:tcPr>
          <w:p w14:paraId="5F0E317B" w14:textId="2C2A57E5" w:rsidR="00682F32" w:rsidRPr="001B0A79" w:rsidRDefault="003E5616" w:rsidP="003C6074">
            <w:pPr>
              <w:pStyle w:val="Tabletext"/>
              <w:framePr w:hSpace="0" w:wrap="auto" w:vAnchor="margin" w:hAnchor="text" w:yAlign="inline"/>
            </w:pPr>
            <w:r>
              <w:t>Renewed approach to promoting PCC work through social media</w:t>
            </w:r>
          </w:p>
        </w:tc>
        <w:tc>
          <w:tcPr>
            <w:tcW w:w="1701" w:type="dxa"/>
          </w:tcPr>
          <w:p w14:paraId="3E8D1885" w14:textId="696EB7C0" w:rsidR="00682F32" w:rsidRPr="001B0A79" w:rsidRDefault="0090560F" w:rsidP="003C6074">
            <w:pPr>
              <w:pStyle w:val="Tabletext"/>
              <w:framePr w:hSpace="0" w:wrap="auto" w:vAnchor="margin" w:hAnchor="text" w:yAlign="inline"/>
            </w:pPr>
            <w:r>
              <w:t>Police and Crime Plan</w:t>
            </w:r>
          </w:p>
        </w:tc>
        <w:tc>
          <w:tcPr>
            <w:tcW w:w="5426" w:type="dxa"/>
          </w:tcPr>
          <w:p w14:paraId="25E705AB" w14:textId="1098C200" w:rsidR="006C3332" w:rsidRPr="005953A9" w:rsidRDefault="006C3332" w:rsidP="003C6074">
            <w:pPr>
              <w:pStyle w:val="Tabletext"/>
              <w:framePr w:hSpace="0" w:wrap="auto" w:vAnchor="margin" w:hAnchor="text" w:yAlign="inline"/>
              <w:rPr>
                <w:spacing w:val="-4"/>
              </w:rPr>
            </w:pPr>
            <w:r w:rsidRPr="005953A9">
              <w:rPr>
                <w:spacing w:val="-4"/>
              </w:rPr>
              <w:t xml:space="preserve">It was identified that there was a low level of engagement from the public in terms of the PCC’s </w:t>
            </w:r>
            <w:r w:rsidR="006D4408" w:rsidRPr="005953A9">
              <w:rPr>
                <w:spacing w:val="-4"/>
              </w:rPr>
              <w:t>attendance at, and work with, the Police and Crime Panel.</w:t>
            </w:r>
          </w:p>
          <w:p w14:paraId="45F2822E" w14:textId="6831C4D7" w:rsidR="00682F32" w:rsidRPr="001B0A79" w:rsidRDefault="006D4408" w:rsidP="00834FE8">
            <w:pPr>
              <w:pStyle w:val="Tabletext"/>
              <w:framePr w:hSpace="0" w:wrap="auto" w:vAnchor="margin" w:hAnchor="text" w:yAlign="inline"/>
            </w:pPr>
            <w:r>
              <w:t xml:space="preserve">The PCC now provides a short, </w:t>
            </w:r>
            <w:r w:rsidR="00FE3B42">
              <w:t xml:space="preserve">verbal </w:t>
            </w:r>
            <w:r>
              <w:t>update</w:t>
            </w:r>
            <w:r w:rsidR="00FE3B42">
              <w:t>, focussing on the key highlights, to be used on social media</w:t>
            </w:r>
            <w:r w:rsidR="00834FE8">
              <w:t>.</w:t>
            </w:r>
          </w:p>
        </w:tc>
        <w:tc>
          <w:tcPr>
            <w:tcW w:w="3686" w:type="dxa"/>
          </w:tcPr>
          <w:p w14:paraId="0378ECB7" w14:textId="77777777" w:rsidR="00682F32" w:rsidRDefault="00682F32" w:rsidP="003C6074">
            <w:pPr>
              <w:pStyle w:val="Tabletext"/>
              <w:framePr w:hSpace="0" w:wrap="auto" w:vAnchor="margin" w:hAnchor="text" w:yAlign="inline"/>
            </w:pPr>
          </w:p>
        </w:tc>
        <w:tc>
          <w:tcPr>
            <w:tcW w:w="2268" w:type="dxa"/>
          </w:tcPr>
          <w:p w14:paraId="511DDF54" w14:textId="77777777" w:rsidR="00682F32" w:rsidRPr="001B0A79" w:rsidRDefault="00682F32" w:rsidP="003C6074">
            <w:pPr>
              <w:pStyle w:val="Tabletext"/>
              <w:framePr w:hSpace="0" w:wrap="auto" w:vAnchor="margin" w:hAnchor="text" w:yAlign="inline"/>
            </w:pPr>
          </w:p>
        </w:tc>
      </w:tr>
      <w:tr w:rsidR="00B97962" w14:paraId="50B2519B" w14:textId="77777777" w:rsidTr="005953A9">
        <w:trPr>
          <w:cantSplit/>
          <w:trHeight w:val="983"/>
        </w:trPr>
        <w:tc>
          <w:tcPr>
            <w:tcW w:w="1519" w:type="dxa"/>
          </w:tcPr>
          <w:p w14:paraId="10E2C9B6" w14:textId="4E7852AF" w:rsidR="00B97962" w:rsidRPr="001B0A79" w:rsidRDefault="00DD1443" w:rsidP="003C6074">
            <w:pPr>
              <w:pStyle w:val="Tabletext"/>
              <w:framePr w:hSpace="0" w:wrap="auto" w:vAnchor="margin" w:hAnchor="text" w:yAlign="inline"/>
            </w:pPr>
            <w:r>
              <w:t xml:space="preserve">Creation of Kent-specific </w:t>
            </w:r>
            <w:r w:rsidR="00171530">
              <w:t>police dog</w:t>
            </w:r>
            <w:r>
              <w:t xml:space="preserve"> welfare inspection scheme</w:t>
            </w:r>
          </w:p>
        </w:tc>
        <w:tc>
          <w:tcPr>
            <w:tcW w:w="1701" w:type="dxa"/>
          </w:tcPr>
          <w:p w14:paraId="67610CC1" w14:textId="2FB6E693" w:rsidR="00B97962" w:rsidRPr="001B0A79" w:rsidRDefault="005270B5" w:rsidP="003C6074">
            <w:pPr>
              <w:pStyle w:val="Tabletext"/>
              <w:framePr w:hSpace="0" w:wrap="auto" w:vAnchor="margin" w:hAnchor="text" w:yAlign="inline"/>
            </w:pPr>
            <w:r>
              <w:t>Police and Crime Plan and Other- legislative</w:t>
            </w:r>
          </w:p>
        </w:tc>
        <w:tc>
          <w:tcPr>
            <w:tcW w:w="5426" w:type="dxa"/>
          </w:tcPr>
          <w:p w14:paraId="38D2F07C" w14:textId="77777777" w:rsidR="00B97962" w:rsidRDefault="00902693" w:rsidP="003C6074">
            <w:pPr>
              <w:pStyle w:val="Tabletext"/>
              <w:framePr w:hSpace="0" w:wrap="auto" w:vAnchor="margin" w:hAnchor="text" w:yAlign="inline"/>
            </w:pPr>
            <w:r>
              <w:t>Kent departed from the national scheme and created its own police dog welfare inspection programme, which also included seized danger</w:t>
            </w:r>
            <w:r w:rsidR="00D43B6B">
              <w:t>ous dogs.</w:t>
            </w:r>
          </w:p>
          <w:p w14:paraId="1CF7C24C" w14:textId="14F7B45B" w:rsidR="00D43B6B" w:rsidRDefault="00D43B6B" w:rsidP="003C6074">
            <w:pPr>
              <w:pStyle w:val="Tabletext"/>
              <w:framePr w:hSpace="0" w:wrap="auto" w:vAnchor="margin" w:hAnchor="text" w:yAlign="inline"/>
            </w:pPr>
            <w:r>
              <w:t xml:space="preserve">This allowed the Scheme to be </w:t>
            </w:r>
            <w:r w:rsidR="00297F9F">
              <w:t xml:space="preserve">less bureaucratic, whilst keeping the dogs’ welfare- and public reassurance about dogs’ welfare- at the centre of the scheme. </w:t>
            </w:r>
          </w:p>
          <w:p w14:paraId="11332674" w14:textId="71963610" w:rsidR="00D43B6B" w:rsidRPr="001B0A79" w:rsidRDefault="00D43B6B" w:rsidP="003C6074">
            <w:pPr>
              <w:pStyle w:val="Tabletext"/>
              <w:framePr w:hSpace="0" w:wrap="auto" w:vAnchor="margin" w:hAnchor="text" w:yAlign="inline"/>
            </w:pPr>
            <w:r>
              <w:t>A full policy, terms of reference, and SOP were created and agreed with Kent Police</w:t>
            </w:r>
          </w:p>
        </w:tc>
        <w:tc>
          <w:tcPr>
            <w:tcW w:w="3686" w:type="dxa"/>
          </w:tcPr>
          <w:p w14:paraId="7256D78D" w14:textId="783E2B7B" w:rsidR="00B97962" w:rsidRDefault="009514FF" w:rsidP="003C6074">
            <w:pPr>
              <w:pStyle w:val="Tabletext"/>
              <w:framePr w:hSpace="0" w:wrap="auto" w:vAnchor="margin" w:hAnchor="text" w:yAlign="inline"/>
            </w:pPr>
            <w:r>
              <w:t xml:space="preserve">Scheme to launch in Spring/Summer 2026; will require close monitoring in the first year of operation </w:t>
            </w:r>
            <w:r w:rsidR="00297F9F">
              <w:t xml:space="preserve">to ensure that </w:t>
            </w:r>
            <w:r w:rsidR="006522A7">
              <w:t xml:space="preserve">the new process are fully embedded. </w:t>
            </w:r>
          </w:p>
        </w:tc>
        <w:tc>
          <w:tcPr>
            <w:tcW w:w="2268" w:type="dxa"/>
          </w:tcPr>
          <w:p w14:paraId="08982AE5" w14:textId="77777777" w:rsidR="00B97962" w:rsidRPr="001B0A79" w:rsidRDefault="00B97962" w:rsidP="003C6074">
            <w:pPr>
              <w:pStyle w:val="Tabletext"/>
              <w:framePr w:hSpace="0" w:wrap="auto" w:vAnchor="margin" w:hAnchor="text" w:yAlign="inline"/>
            </w:pPr>
          </w:p>
        </w:tc>
      </w:tr>
      <w:tr w:rsidR="00D733BD" w14:paraId="5E90BEAB" w14:textId="77777777" w:rsidTr="005953A9">
        <w:trPr>
          <w:cantSplit/>
          <w:trHeight w:val="983"/>
        </w:trPr>
        <w:tc>
          <w:tcPr>
            <w:tcW w:w="1519" w:type="dxa"/>
          </w:tcPr>
          <w:p w14:paraId="25E33B8F" w14:textId="13FC70C4" w:rsidR="00D733BD" w:rsidRPr="001B0A79" w:rsidRDefault="00D733BD" w:rsidP="003C6074">
            <w:pPr>
              <w:pStyle w:val="Tabletext"/>
              <w:framePr w:hSpace="0" w:wrap="auto" w:vAnchor="margin" w:hAnchor="text" w:yAlign="inline"/>
            </w:pPr>
            <w:r>
              <w:t>Sums system reporting</w:t>
            </w:r>
            <w:r w:rsidR="00295D56">
              <w:t xml:space="preserve"> to support work of Commissioning Team</w:t>
            </w:r>
          </w:p>
        </w:tc>
        <w:tc>
          <w:tcPr>
            <w:tcW w:w="1701" w:type="dxa"/>
          </w:tcPr>
          <w:p w14:paraId="1970A99B" w14:textId="01B8EE05" w:rsidR="00D733BD" w:rsidRPr="001B0A79" w:rsidRDefault="00C31D6B" w:rsidP="003C6074">
            <w:pPr>
              <w:pStyle w:val="Tabletext"/>
              <w:framePr w:hSpace="0" w:wrap="auto" w:vAnchor="margin" w:hAnchor="text" w:yAlign="inline"/>
            </w:pPr>
            <w:r>
              <w:t>Internal audit</w:t>
            </w:r>
          </w:p>
        </w:tc>
        <w:tc>
          <w:tcPr>
            <w:tcW w:w="5426" w:type="dxa"/>
          </w:tcPr>
          <w:p w14:paraId="7928E0CA" w14:textId="77777777" w:rsidR="00295D56" w:rsidRDefault="00295D56" w:rsidP="003C6074">
            <w:pPr>
              <w:pStyle w:val="Tabletext"/>
              <w:framePr w:hSpace="0" w:wrap="auto" w:vAnchor="margin" w:hAnchor="text" w:yAlign="inline"/>
            </w:pPr>
            <w:r>
              <w:t>The Commissioning team have been using Sums for nearly two years.</w:t>
            </w:r>
          </w:p>
          <w:p w14:paraId="11CE51C4" w14:textId="77777777" w:rsidR="001D0A22" w:rsidRDefault="00295D56" w:rsidP="003C6074">
            <w:pPr>
              <w:pStyle w:val="Tabletext"/>
              <w:framePr w:hSpace="0" w:wrap="auto" w:vAnchor="margin" w:hAnchor="text" w:yAlign="inline"/>
            </w:pPr>
            <w:r>
              <w:t xml:space="preserve">In the first year, </w:t>
            </w:r>
            <w:r w:rsidR="001D0A22">
              <w:t>it was only used for financial tracking; however, this year the team have been exploiting the capabilities of the system.</w:t>
            </w:r>
          </w:p>
          <w:p w14:paraId="12274BD2" w14:textId="3419FD8E" w:rsidR="00D733BD" w:rsidRPr="001B0A79" w:rsidRDefault="00342F14" w:rsidP="001D0A22">
            <w:pPr>
              <w:pStyle w:val="Tabletext"/>
              <w:framePr w:hSpace="0" w:wrap="auto" w:vAnchor="margin" w:hAnchor="text" w:yAlign="inline"/>
            </w:pPr>
            <w:r>
              <w:t>This is vital at a time when the demands on the commissioning team are growing.</w:t>
            </w:r>
            <w:r w:rsidR="005953A9">
              <w:t xml:space="preserve"> </w:t>
            </w:r>
          </w:p>
        </w:tc>
        <w:tc>
          <w:tcPr>
            <w:tcW w:w="3686" w:type="dxa"/>
          </w:tcPr>
          <w:p w14:paraId="16404945" w14:textId="4407F4B7" w:rsidR="004D6E84" w:rsidRDefault="00280820" w:rsidP="003C6074">
            <w:pPr>
              <w:pStyle w:val="Tabletext"/>
              <w:framePr w:hSpace="0" w:wrap="auto" w:vAnchor="margin" w:hAnchor="text" w:yAlign="inline"/>
            </w:pPr>
            <w:r>
              <w:t xml:space="preserve">Using Sums for </w:t>
            </w:r>
            <w:r w:rsidR="001112A4">
              <w:t>reporting is a work in progress; aim is to improve the tracking on the reports f</w:t>
            </w:r>
            <w:r w:rsidR="004D6E84">
              <w:t>rom</w:t>
            </w:r>
            <w:r w:rsidR="001112A4">
              <w:t xml:space="preserve"> service providers, so that the journey from contract, to </w:t>
            </w:r>
            <w:r w:rsidR="00541C17">
              <w:t>mid-year</w:t>
            </w:r>
            <w:r w:rsidR="001112A4">
              <w:t xml:space="preserve"> reporting, to end of year reporting can</w:t>
            </w:r>
            <w:r w:rsidR="004D6E84">
              <w:t xml:space="preserve"> be seen holistically.</w:t>
            </w:r>
            <w:r w:rsidR="005953A9">
              <w:t xml:space="preserve"> </w:t>
            </w:r>
          </w:p>
          <w:p w14:paraId="6A8B5272" w14:textId="77777777" w:rsidR="0016786A" w:rsidRPr="005953A9" w:rsidRDefault="004D6E84" w:rsidP="003C6074">
            <w:pPr>
              <w:pStyle w:val="Tabletext"/>
              <w:framePr w:hSpace="0" w:wrap="auto" w:vAnchor="margin" w:hAnchor="text" w:yAlign="inline"/>
              <w:rPr>
                <w:spacing w:val="-4"/>
              </w:rPr>
            </w:pPr>
            <w:r w:rsidRPr="005953A9">
              <w:rPr>
                <w:spacing w:val="-4"/>
              </w:rPr>
              <w:t>Aim to use case st</w:t>
            </w:r>
            <w:r w:rsidR="0016786A" w:rsidRPr="005953A9">
              <w:rPr>
                <w:spacing w:val="-4"/>
              </w:rPr>
              <w:t>udies to enhance the reporting to central government and more effectively demonstrate the impact of services.</w:t>
            </w:r>
          </w:p>
          <w:p w14:paraId="089466B9" w14:textId="0B97E3DD" w:rsidR="00C56B5B" w:rsidRDefault="0016786A" w:rsidP="00C31D6B">
            <w:pPr>
              <w:pStyle w:val="Tabletext"/>
              <w:framePr w:hSpace="0" w:wrap="auto" w:vAnchor="margin" w:hAnchor="text" w:yAlign="inline"/>
            </w:pPr>
            <w:r>
              <w:t>Aim to use Sum</w:t>
            </w:r>
            <w:r w:rsidR="00C31D6B">
              <w:t>s</w:t>
            </w:r>
            <w:r>
              <w:t xml:space="preserve"> to improve engagement.</w:t>
            </w:r>
            <w:r w:rsidR="005953A9">
              <w:t xml:space="preserve"> </w:t>
            </w:r>
            <w:r w:rsidR="00DF4673">
              <w:t xml:space="preserve"> </w:t>
            </w:r>
          </w:p>
        </w:tc>
        <w:tc>
          <w:tcPr>
            <w:tcW w:w="2268" w:type="dxa"/>
          </w:tcPr>
          <w:p w14:paraId="403579DC" w14:textId="77777777" w:rsidR="00D733BD" w:rsidRPr="001B0A79" w:rsidRDefault="00D733BD" w:rsidP="003C6074">
            <w:pPr>
              <w:pStyle w:val="Tabletext"/>
              <w:framePr w:hSpace="0" w:wrap="auto" w:vAnchor="margin" w:hAnchor="text" w:yAlign="inline"/>
            </w:pPr>
          </w:p>
        </w:tc>
      </w:tr>
      <w:tr w:rsidR="0055182E" w14:paraId="7DB9E0DA" w14:textId="77777777" w:rsidTr="005953A9">
        <w:trPr>
          <w:cantSplit/>
          <w:trHeight w:val="983"/>
        </w:trPr>
        <w:tc>
          <w:tcPr>
            <w:tcW w:w="1519" w:type="dxa"/>
          </w:tcPr>
          <w:p w14:paraId="261FBEBC" w14:textId="784236DB" w:rsidR="0055182E" w:rsidRPr="001B0A79" w:rsidRDefault="0055182E" w:rsidP="003C6074">
            <w:pPr>
              <w:pStyle w:val="Tabletext"/>
              <w:framePr w:hSpace="0" w:wrap="auto" w:vAnchor="margin" w:hAnchor="text" w:yAlign="inline"/>
            </w:pPr>
            <w:r>
              <w:t>S</w:t>
            </w:r>
            <w:r w:rsidR="0016786A">
              <w:t xml:space="preserve">pecified </w:t>
            </w:r>
            <w:r>
              <w:t>I</w:t>
            </w:r>
            <w:r w:rsidR="0016786A">
              <w:t xml:space="preserve">nformation </w:t>
            </w:r>
            <w:r>
              <w:t>O</w:t>
            </w:r>
            <w:r w:rsidR="0016786A">
              <w:t>rder compliance</w:t>
            </w:r>
            <w:r>
              <w:t xml:space="preserve"> </w:t>
            </w:r>
          </w:p>
        </w:tc>
        <w:tc>
          <w:tcPr>
            <w:tcW w:w="1701" w:type="dxa"/>
          </w:tcPr>
          <w:p w14:paraId="2AE4EA58" w14:textId="17E83F7D" w:rsidR="0055182E" w:rsidRPr="001B0A79" w:rsidRDefault="00C31D6B" w:rsidP="003C6074">
            <w:pPr>
              <w:pStyle w:val="Tabletext"/>
              <w:framePr w:hSpace="0" w:wrap="auto" w:vAnchor="margin" w:hAnchor="text" w:yAlign="inline"/>
            </w:pPr>
            <w:r>
              <w:t>Other- legislative</w:t>
            </w:r>
          </w:p>
        </w:tc>
        <w:tc>
          <w:tcPr>
            <w:tcW w:w="5426" w:type="dxa"/>
          </w:tcPr>
          <w:p w14:paraId="6AFAD297" w14:textId="77777777" w:rsidR="008B0C83" w:rsidRDefault="008B0C83" w:rsidP="003C6074">
            <w:pPr>
              <w:pStyle w:val="Tabletext"/>
              <w:framePr w:hSpace="0" w:wrap="auto" w:vAnchor="margin" w:hAnchor="text" w:yAlign="inline"/>
            </w:pPr>
            <w:r>
              <w:t>The requirements under the SIO are kept under review, both in terms of content, and the way the information is provided to the public.</w:t>
            </w:r>
          </w:p>
          <w:p w14:paraId="2AFF06B7" w14:textId="585947E4" w:rsidR="0058404F" w:rsidRPr="001B0A79" w:rsidRDefault="008B0C83" w:rsidP="00834FE8">
            <w:pPr>
              <w:pStyle w:val="Tabletext"/>
              <w:framePr w:hSpace="0" w:wrap="auto" w:vAnchor="margin" w:hAnchor="text" w:yAlign="inline"/>
            </w:pPr>
            <w:r>
              <w:t>An a</w:t>
            </w:r>
            <w:r w:rsidR="0055182E">
              <w:t xml:space="preserve">dditional page </w:t>
            </w:r>
            <w:r>
              <w:t xml:space="preserve">has now been included on the website </w:t>
            </w:r>
            <w:r w:rsidR="0058404F">
              <w:t xml:space="preserve">to ensure </w:t>
            </w:r>
            <w:r w:rsidR="005376B7">
              <w:t xml:space="preserve">that all of the information </w:t>
            </w:r>
            <w:r w:rsidR="00C9663A">
              <w:t>can be found and accessed</w:t>
            </w:r>
            <w:r w:rsidR="005376B7">
              <w:t xml:space="preserve"> improv</w:t>
            </w:r>
            <w:r w:rsidR="00551A7B">
              <w:t>ing</w:t>
            </w:r>
            <w:r w:rsidR="005376B7">
              <w:t xml:space="preserve"> </w:t>
            </w:r>
            <w:r w:rsidR="00836A47">
              <w:t>compliance</w:t>
            </w:r>
            <w:r w:rsidR="005376B7">
              <w:t>.</w:t>
            </w:r>
          </w:p>
        </w:tc>
        <w:tc>
          <w:tcPr>
            <w:tcW w:w="3686" w:type="dxa"/>
          </w:tcPr>
          <w:p w14:paraId="14B15EAB" w14:textId="77777777" w:rsidR="0055182E" w:rsidRDefault="0055182E" w:rsidP="003C6074">
            <w:pPr>
              <w:pStyle w:val="Tabletext"/>
              <w:framePr w:hSpace="0" w:wrap="auto" w:vAnchor="margin" w:hAnchor="text" w:yAlign="inline"/>
            </w:pPr>
          </w:p>
        </w:tc>
        <w:tc>
          <w:tcPr>
            <w:tcW w:w="2268" w:type="dxa"/>
          </w:tcPr>
          <w:p w14:paraId="738984D5" w14:textId="77777777" w:rsidR="0055182E" w:rsidRPr="001B0A79" w:rsidRDefault="0055182E" w:rsidP="003C6074">
            <w:pPr>
              <w:pStyle w:val="Tabletext"/>
              <w:framePr w:hSpace="0" w:wrap="auto" w:vAnchor="margin" w:hAnchor="text" w:yAlign="inline"/>
            </w:pPr>
          </w:p>
        </w:tc>
      </w:tr>
      <w:tr w:rsidR="004740DB" w14:paraId="100A35D1" w14:textId="77777777" w:rsidTr="005953A9">
        <w:trPr>
          <w:cantSplit/>
          <w:trHeight w:val="983"/>
        </w:trPr>
        <w:tc>
          <w:tcPr>
            <w:tcW w:w="1519" w:type="dxa"/>
          </w:tcPr>
          <w:p w14:paraId="491EA910" w14:textId="4B404A0E" w:rsidR="004740DB" w:rsidRPr="001B0A79" w:rsidRDefault="004740DB" w:rsidP="003C6074">
            <w:pPr>
              <w:pStyle w:val="Tabletext"/>
              <w:framePr w:hSpace="0" w:wrap="auto" w:vAnchor="margin" w:hAnchor="text" w:yAlign="inline"/>
            </w:pPr>
            <w:r>
              <w:t>Data retention and disposal process</w:t>
            </w:r>
          </w:p>
        </w:tc>
        <w:tc>
          <w:tcPr>
            <w:tcW w:w="1701" w:type="dxa"/>
          </w:tcPr>
          <w:p w14:paraId="3848B0CA" w14:textId="7D063890" w:rsidR="004740DB" w:rsidRPr="001B0A79" w:rsidRDefault="00C31D6B" w:rsidP="003C6074">
            <w:pPr>
              <w:pStyle w:val="Tabletext"/>
              <w:framePr w:hSpace="0" w:wrap="auto" w:vAnchor="margin" w:hAnchor="text" w:yAlign="inline"/>
            </w:pPr>
            <w:r>
              <w:t>Other- SMT</w:t>
            </w:r>
          </w:p>
        </w:tc>
        <w:tc>
          <w:tcPr>
            <w:tcW w:w="5426" w:type="dxa"/>
          </w:tcPr>
          <w:p w14:paraId="49359E1C" w14:textId="5F8B0B15" w:rsidR="004740DB" w:rsidRDefault="00AD046A" w:rsidP="003C6074">
            <w:pPr>
              <w:pStyle w:val="Tabletext"/>
              <w:framePr w:hSpace="0" w:wrap="auto" w:vAnchor="margin" w:hAnchor="text" w:yAlign="inline"/>
            </w:pPr>
            <w:r>
              <w:t xml:space="preserve">During 25/26, the OPCC </w:t>
            </w:r>
            <w:r w:rsidR="00A6096C">
              <w:t xml:space="preserve">undertook </w:t>
            </w:r>
            <w:r>
              <w:t xml:space="preserve">a comprehensive review of all </w:t>
            </w:r>
            <w:r w:rsidR="00A6096C">
              <w:t xml:space="preserve">information </w:t>
            </w:r>
            <w:r>
              <w:t xml:space="preserve">held electronically, </w:t>
            </w:r>
            <w:r w:rsidR="008C7FFD">
              <w:t xml:space="preserve">both in terms of central files and individuals’ </w:t>
            </w:r>
            <w:r w:rsidR="008C4306">
              <w:t>records</w:t>
            </w:r>
            <w:r w:rsidR="008C7FFD">
              <w:t>.</w:t>
            </w:r>
            <w:r w:rsidR="005953A9">
              <w:t xml:space="preserve"> </w:t>
            </w:r>
          </w:p>
          <w:p w14:paraId="55429562" w14:textId="6A85B11D" w:rsidR="008C7FFD" w:rsidRPr="005953A9" w:rsidRDefault="008C7FFD" w:rsidP="003C6074">
            <w:pPr>
              <w:pStyle w:val="Tabletext"/>
              <w:framePr w:hSpace="0" w:wrap="auto" w:vAnchor="margin" w:hAnchor="text" w:yAlign="inline"/>
              <w:rPr>
                <w:spacing w:val="-4"/>
              </w:rPr>
            </w:pPr>
            <w:r w:rsidRPr="005953A9">
              <w:rPr>
                <w:spacing w:val="-4"/>
              </w:rPr>
              <w:t xml:space="preserve">Days were put aside to </w:t>
            </w:r>
            <w:r w:rsidR="008C4306" w:rsidRPr="005953A9">
              <w:rPr>
                <w:spacing w:val="-4"/>
              </w:rPr>
              <w:t xml:space="preserve">review information </w:t>
            </w:r>
            <w:r w:rsidR="009F44D7" w:rsidRPr="005953A9">
              <w:rPr>
                <w:spacing w:val="-4"/>
              </w:rPr>
              <w:t>ag</w:t>
            </w:r>
            <w:r w:rsidR="00651732" w:rsidRPr="005953A9">
              <w:rPr>
                <w:spacing w:val="-4"/>
              </w:rPr>
              <w:t>a</w:t>
            </w:r>
            <w:r w:rsidR="009F44D7" w:rsidRPr="005953A9">
              <w:rPr>
                <w:spacing w:val="-4"/>
              </w:rPr>
              <w:t xml:space="preserve">inst the Retention &amp; Disposal </w:t>
            </w:r>
            <w:r w:rsidR="007C1E64" w:rsidRPr="005953A9">
              <w:rPr>
                <w:spacing w:val="-4"/>
              </w:rPr>
              <w:t>policy, and the OPCC is now compliant.</w:t>
            </w:r>
          </w:p>
          <w:p w14:paraId="57B31763" w14:textId="325D78E2" w:rsidR="00EA3FE4" w:rsidRPr="001B0A79" w:rsidRDefault="007C1E64" w:rsidP="003C6074">
            <w:pPr>
              <w:pStyle w:val="Tabletext"/>
              <w:framePr w:hSpace="0" w:wrap="auto" w:vAnchor="margin" w:hAnchor="text" w:yAlign="inline"/>
            </w:pPr>
            <w:r>
              <w:t>Going forward, the OPCC and individual teams have</w:t>
            </w:r>
            <w:r w:rsidR="005953A9">
              <w:t xml:space="preserve"> </w:t>
            </w:r>
            <w:r w:rsidR="00EA3FE4">
              <w:t xml:space="preserve">introduced regular data review days. </w:t>
            </w:r>
          </w:p>
        </w:tc>
        <w:tc>
          <w:tcPr>
            <w:tcW w:w="3686" w:type="dxa"/>
          </w:tcPr>
          <w:p w14:paraId="0C952149" w14:textId="174E40F0" w:rsidR="004740DB" w:rsidRDefault="007C1E64" w:rsidP="003C6074">
            <w:pPr>
              <w:pStyle w:val="Tabletext"/>
              <w:framePr w:hSpace="0" w:wrap="auto" w:vAnchor="margin" w:hAnchor="text" w:yAlign="inline"/>
            </w:pPr>
            <w:r>
              <w:t>There is still the need to carry out a final review of the small amount of material that is held in hard copy.</w:t>
            </w:r>
          </w:p>
        </w:tc>
        <w:tc>
          <w:tcPr>
            <w:tcW w:w="2268" w:type="dxa"/>
          </w:tcPr>
          <w:p w14:paraId="502AABB6" w14:textId="77777777" w:rsidR="004740DB" w:rsidRPr="001B0A79" w:rsidRDefault="004740DB" w:rsidP="003C6074">
            <w:pPr>
              <w:pStyle w:val="Tabletext"/>
              <w:framePr w:hSpace="0" w:wrap="auto" w:vAnchor="margin" w:hAnchor="text" w:yAlign="inline"/>
            </w:pPr>
          </w:p>
        </w:tc>
      </w:tr>
      <w:tr w:rsidR="006412C0" w14:paraId="4D587365" w14:textId="77777777" w:rsidTr="005953A9">
        <w:trPr>
          <w:cantSplit/>
          <w:trHeight w:val="983"/>
        </w:trPr>
        <w:tc>
          <w:tcPr>
            <w:tcW w:w="1519" w:type="dxa"/>
          </w:tcPr>
          <w:p w14:paraId="23F1A1B7" w14:textId="139D6259" w:rsidR="006412C0" w:rsidRPr="001B0A79" w:rsidRDefault="00D30901" w:rsidP="003C6074">
            <w:pPr>
              <w:pStyle w:val="Tabletext"/>
              <w:framePr w:hSpace="0" w:wrap="auto" w:vAnchor="margin" w:hAnchor="text" w:yAlign="inline"/>
            </w:pPr>
            <w:r>
              <w:t>Rural and Retail Crime Boards</w:t>
            </w:r>
          </w:p>
        </w:tc>
        <w:tc>
          <w:tcPr>
            <w:tcW w:w="1701" w:type="dxa"/>
          </w:tcPr>
          <w:p w14:paraId="07D59C49" w14:textId="364AFA0D" w:rsidR="006412C0" w:rsidRPr="001B0A79" w:rsidRDefault="00C31D6B" w:rsidP="003C6074">
            <w:pPr>
              <w:pStyle w:val="Tabletext"/>
              <w:framePr w:hSpace="0" w:wrap="auto" w:vAnchor="margin" w:hAnchor="text" w:yAlign="inline"/>
            </w:pPr>
            <w:r>
              <w:t>Police and Crime Plan</w:t>
            </w:r>
          </w:p>
        </w:tc>
        <w:tc>
          <w:tcPr>
            <w:tcW w:w="5426" w:type="dxa"/>
          </w:tcPr>
          <w:p w14:paraId="06645192" w14:textId="7DEA66D2" w:rsidR="007C1E64" w:rsidRDefault="00FF3E51" w:rsidP="003C6074">
            <w:pPr>
              <w:pStyle w:val="Tabletext"/>
              <w:framePr w:hSpace="0" w:wrap="auto" w:vAnchor="margin" w:hAnchor="text" w:yAlign="inline"/>
            </w:pPr>
            <w:r>
              <w:t xml:space="preserve">These Boards have </w:t>
            </w:r>
            <w:r w:rsidR="008049C6">
              <w:t xml:space="preserve">developed over </w:t>
            </w:r>
            <w:r w:rsidR="008D5642">
              <w:t>25-26 and</w:t>
            </w:r>
            <w:r w:rsidR="008049C6">
              <w:t xml:space="preserve"> </w:t>
            </w:r>
            <w:r w:rsidR="00871DF7">
              <w:t xml:space="preserve">are now </w:t>
            </w:r>
            <w:r w:rsidR="0098202E">
              <w:t xml:space="preserve">considered </w:t>
            </w:r>
            <w:r w:rsidR="00242C39">
              <w:t xml:space="preserve">effective </w:t>
            </w:r>
            <w:r w:rsidR="0098202E">
              <w:t xml:space="preserve">community forums </w:t>
            </w:r>
            <w:r w:rsidR="008049C6">
              <w:t>focus</w:t>
            </w:r>
            <w:r w:rsidR="0098202E">
              <w:t>ed</w:t>
            </w:r>
            <w:r w:rsidR="008049C6">
              <w:t xml:space="preserve"> on engagement a</w:t>
            </w:r>
            <w:r w:rsidR="0098202E">
              <w:t>nd sharing of information</w:t>
            </w:r>
            <w:r w:rsidR="008049C6">
              <w:t>.</w:t>
            </w:r>
            <w:r w:rsidR="005953A9">
              <w:t xml:space="preserve"> </w:t>
            </w:r>
          </w:p>
          <w:p w14:paraId="1F2D03CC" w14:textId="02F19B7F" w:rsidR="008049C6" w:rsidRDefault="00FA36ED" w:rsidP="003C6074">
            <w:pPr>
              <w:pStyle w:val="Tabletext"/>
              <w:framePr w:hSpace="0" w:wrap="auto" w:vAnchor="margin" w:hAnchor="text" w:yAlign="inline"/>
            </w:pPr>
            <w:r>
              <w:t xml:space="preserve">Representation has expanded with </w:t>
            </w:r>
            <w:r w:rsidR="002C224F">
              <w:t>h</w:t>
            </w:r>
            <w:r w:rsidR="00C5083A">
              <w:t xml:space="preserve">igh levels of attendance </w:t>
            </w:r>
            <w:r w:rsidR="002C224F">
              <w:t>and engagement</w:t>
            </w:r>
            <w:r w:rsidR="00C5083A">
              <w:t>.</w:t>
            </w:r>
            <w:r w:rsidR="005953A9">
              <w:t xml:space="preserve"> </w:t>
            </w:r>
          </w:p>
          <w:p w14:paraId="1EAB9A6F" w14:textId="0060D146" w:rsidR="007C1E64" w:rsidRDefault="00163751" w:rsidP="003C6074">
            <w:pPr>
              <w:pStyle w:val="Tabletext"/>
              <w:framePr w:hSpace="0" w:wrap="auto" w:vAnchor="margin" w:hAnchor="text" w:yAlign="inline"/>
            </w:pPr>
            <w:r>
              <w:t xml:space="preserve">Both </w:t>
            </w:r>
            <w:r w:rsidR="00D63EF2">
              <w:t xml:space="preserve">forums are proactively </w:t>
            </w:r>
            <w:r w:rsidR="00227E7C">
              <w:t xml:space="preserve">invited to share and </w:t>
            </w:r>
            <w:r w:rsidR="00B71A80">
              <w:t xml:space="preserve">contribute to </w:t>
            </w:r>
            <w:r w:rsidRPr="00163751">
              <w:t xml:space="preserve">PCC </w:t>
            </w:r>
            <w:r w:rsidR="00764B8A">
              <w:t xml:space="preserve">and national </w:t>
            </w:r>
            <w:r w:rsidRPr="00163751">
              <w:t>consultations</w:t>
            </w:r>
            <w:r w:rsidR="005953A9">
              <w:t xml:space="preserve"> </w:t>
            </w:r>
          </w:p>
          <w:p w14:paraId="28D955D7" w14:textId="22C6CEAD" w:rsidR="002C58AF" w:rsidRPr="001B0A79" w:rsidRDefault="007D204A" w:rsidP="00834FE8">
            <w:pPr>
              <w:pStyle w:val="Tabletext"/>
              <w:framePr w:hSpace="0" w:wrap="auto" w:vAnchor="margin" w:hAnchor="text" w:yAlign="inline"/>
            </w:pPr>
            <w:r>
              <w:t>Minutes published on website.</w:t>
            </w:r>
          </w:p>
        </w:tc>
        <w:tc>
          <w:tcPr>
            <w:tcW w:w="3686" w:type="dxa"/>
          </w:tcPr>
          <w:p w14:paraId="34BEF139" w14:textId="77777777" w:rsidR="006412C0" w:rsidRDefault="006412C0" w:rsidP="003C6074">
            <w:pPr>
              <w:pStyle w:val="Tabletext"/>
              <w:framePr w:hSpace="0" w:wrap="auto" w:vAnchor="margin" w:hAnchor="text" w:yAlign="inline"/>
            </w:pPr>
          </w:p>
        </w:tc>
        <w:tc>
          <w:tcPr>
            <w:tcW w:w="2268" w:type="dxa"/>
          </w:tcPr>
          <w:p w14:paraId="1C38E290" w14:textId="77777777" w:rsidR="006412C0" w:rsidRPr="001B0A79" w:rsidRDefault="006412C0" w:rsidP="003C6074">
            <w:pPr>
              <w:pStyle w:val="Tabletext"/>
              <w:framePr w:hSpace="0" w:wrap="auto" w:vAnchor="margin" w:hAnchor="text" w:yAlign="inline"/>
            </w:pPr>
          </w:p>
        </w:tc>
      </w:tr>
      <w:tr w:rsidR="00E67D1D" w14:paraId="1EC8198F" w14:textId="77777777" w:rsidTr="005953A9">
        <w:trPr>
          <w:cantSplit/>
          <w:trHeight w:val="983"/>
        </w:trPr>
        <w:tc>
          <w:tcPr>
            <w:tcW w:w="1519" w:type="dxa"/>
          </w:tcPr>
          <w:p w14:paraId="6CE4C955" w14:textId="7F29E3DB" w:rsidR="00E67D1D" w:rsidRPr="001B0A79" w:rsidRDefault="00FB1436" w:rsidP="003C6074">
            <w:pPr>
              <w:pStyle w:val="Tabletext"/>
              <w:framePr w:hSpace="0" w:wrap="auto" w:vAnchor="margin" w:hAnchor="text" w:yAlign="inline"/>
            </w:pPr>
            <w:r>
              <w:t>Enhanced e</w:t>
            </w:r>
            <w:r w:rsidR="00034C2B">
              <w:t xml:space="preserve">ngagement with </w:t>
            </w:r>
            <w:r>
              <w:t>Business</w:t>
            </w:r>
            <w:r w:rsidR="00034C2B">
              <w:t xml:space="preserve"> Crime Partnerships</w:t>
            </w:r>
          </w:p>
        </w:tc>
        <w:tc>
          <w:tcPr>
            <w:tcW w:w="1701" w:type="dxa"/>
          </w:tcPr>
          <w:p w14:paraId="200CB353" w14:textId="2D5A23ED" w:rsidR="00E67D1D" w:rsidRPr="001B0A79" w:rsidRDefault="00C31D6B" w:rsidP="003C6074">
            <w:pPr>
              <w:pStyle w:val="Tabletext"/>
              <w:framePr w:hSpace="0" w:wrap="auto" w:vAnchor="margin" w:hAnchor="text" w:yAlign="inline"/>
            </w:pPr>
            <w:r>
              <w:t>Police and Crime Plan</w:t>
            </w:r>
          </w:p>
        </w:tc>
        <w:tc>
          <w:tcPr>
            <w:tcW w:w="5426" w:type="dxa"/>
          </w:tcPr>
          <w:p w14:paraId="44D16D32" w14:textId="77777777" w:rsidR="00463E2E" w:rsidRDefault="00463E2E" w:rsidP="003C6074">
            <w:pPr>
              <w:pStyle w:val="Tabletext"/>
              <w:framePr w:hSpace="0" w:wrap="auto" w:vAnchor="margin" w:hAnchor="text" w:yAlign="inline"/>
            </w:pPr>
            <w:r>
              <w:t>In line with his focus on retail crime, the Commissioner and the Office have improved the engagement with Business Crime Partnerships.</w:t>
            </w:r>
          </w:p>
          <w:p w14:paraId="10162795" w14:textId="77777777" w:rsidR="00B345B2" w:rsidRDefault="00B345B2" w:rsidP="005953A9">
            <w:pPr>
              <w:pStyle w:val="Tabletext"/>
              <w:framePr w:hSpace="0" w:wrap="auto" w:vAnchor="margin" w:hAnchor="text" w:yAlign="inline"/>
              <w:spacing w:after="0"/>
            </w:pPr>
            <w:r>
              <w:t>This has included:</w:t>
            </w:r>
          </w:p>
          <w:p w14:paraId="5E131379" w14:textId="1DAD2181" w:rsidR="00E67D1D" w:rsidRDefault="00B345B2" w:rsidP="005953A9">
            <w:pPr>
              <w:pStyle w:val="Tabletext"/>
              <w:framePr w:hSpace="0" w:wrap="auto" w:vAnchor="margin" w:hAnchor="text" w:yAlign="inline"/>
              <w:numPr>
                <w:ilvl w:val="0"/>
                <w:numId w:val="29"/>
              </w:numPr>
              <w:spacing w:after="0"/>
              <w:ind w:left="134" w:hanging="210"/>
            </w:pPr>
            <w:r>
              <w:t>Going out in communities</w:t>
            </w:r>
            <w:r w:rsidR="00034C2B">
              <w:t xml:space="preserve"> with Street </w:t>
            </w:r>
            <w:r>
              <w:t>Ambassadors</w:t>
            </w:r>
            <w:r w:rsidR="00034C2B">
              <w:t xml:space="preserve"> for </w:t>
            </w:r>
            <w:r>
              <w:t xml:space="preserve">the </w:t>
            </w:r>
            <w:r w:rsidR="00034C2B">
              <w:t>BCPs</w:t>
            </w:r>
            <w:r>
              <w:t xml:space="preserve"> to hear directly from retailers</w:t>
            </w:r>
          </w:p>
          <w:p w14:paraId="6931840B" w14:textId="06E6470E" w:rsidR="00034C2B" w:rsidRDefault="003F2729" w:rsidP="00834FE8">
            <w:pPr>
              <w:pStyle w:val="Tabletext"/>
              <w:framePr w:hSpace="0" w:wrap="auto" w:vAnchor="margin" w:hAnchor="text" w:yAlign="inline"/>
              <w:numPr>
                <w:ilvl w:val="0"/>
                <w:numId w:val="29"/>
              </w:numPr>
              <w:ind w:left="134" w:hanging="210"/>
            </w:pPr>
            <w:r>
              <w:t xml:space="preserve">Closer working with the </w:t>
            </w:r>
            <w:r w:rsidR="00034C2B">
              <w:t xml:space="preserve">Federation of </w:t>
            </w:r>
            <w:r>
              <w:t>Independent</w:t>
            </w:r>
            <w:r w:rsidR="00034C2B">
              <w:t xml:space="preserve"> retailers</w:t>
            </w:r>
          </w:p>
          <w:p w14:paraId="4F3B4CA7" w14:textId="179713C9" w:rsidR="00B04B70" w:rsidRDefault="003F2729" w:rsidP="003C6074">
            <w:pPr>
              <w:pStyle w:val="Tabletext"/>
              <w:framePr w:hSpace="0" w:wrap="auto" w:vAnchor="margin" w:hAnchor="text" w:yAlign="inline"/>
            </w:pPr>
            <w:r>
              <w:t>As a result of this work</w:t>
            </w:r>
            <w:r w:rsidR="00A95C98">
              <w:t>, more representatives have been invited to the both the retail and the rural crime boards.</w:t>
            </w:r>
            <w:r w:rsidR="005953A9">
              <w:t xml:space="preserve"> </w:t>
            </w:r>
          </w:p>
          <w:p w14:paraId="22482AEE" w14:textId="70F0FB2A" w:rsidR="00A95C98" w:rsidRPr="001B0A79" w:rsidRDefault="007760BC" w:rsidP="003C6074">
            <w:pPr>
              <w:pStyle w:val="Tabletext"/>
              <w:framePr w:hSpace="0" w:wrap="auto" w:vAnchor="margin" w:hAnchor="text" w:yAlign="inline"/>
            </w:pPr>
            <w:r>
              <w:t>This compliments the work carried out to prepare for the Annual Policing Survey (as per Section B)</w:t>
            </w:r>
          </w:p>
        </w:tc>
        <w:tc>
          <w:tcPr>
            <w:tcW w:w="3686" w:type="dxa"/>
          </w:tcPr>
          <w:p w14:paraId="45A3B3A5" w14:textId="77777777" w:rsidR="00E67D1D" w:rsidRDefault="00E67D1D" w:rsidP="003C6074">
            <w:pPr>
              <w:pStyle w:val="Tabletext"/>
              <w:framePr w:hSpace="0" w:wrap="auto" w:vAnchor="margin" w:hAnchor="text" w:yAlign="inline"/>
            </w:pPr>
          </w:p>
        </w:tc>
        <w:tc>
          <w:tcPr>
            <w:tcW w:w="2268" w:type="dxa"/>
          </w:tcPr>
          <w:p w14:paraId="342F89D9" w14:textId="77777777" w:rsidR="00E67D1D" w:rsidRPr="001B0A79" w:rsidRDefault="00E67D1D" w:rsidP="003C6074">
            <w:pPr>
              <w:pStyle w:val="Tabletext"/>
              <w:framePr w:hSpace="0" w:wrap="auto" w:vAnchor="margin" w:hAnchor="text" w:yAlign="inline"/>
            </w:pPr>
          </w:p>
        </w:tc>
      </w:tr>
    </w:tbl>
    <w:p w14:paraId="7DF72705" w14:textId="77777777" w:rsidR="00BB187A" w:rsidRDefault="00BB187A" w:rsidP="006E2B88">
      <w:pPr>
        <w:sectPr w:rsidR="00BB187A" w:rsidSect="000B208F">
          <w:pgSz w:w="16838" w:h="11906" w:orient="landscape"/>
          <w:pgMar w:top="1814" w:right="1134" w:bottom="1440" w:left="1134" w:header="709" w:footer="471" w:gutter="0"/>
          <w:cols w:space="708"/>
          <w:docGrid w:linePitch="360"/>
        </w:sectPr>
      </w:pPr>
    </w:p>
    <w:tbl>
      <w:tblPr>
        <w:tblStyle w:val="TableGrid"/>
        <w:tblW w:w="0" w:type="auto"/>
        <w:tblLook w:val="04A0" w:firstRow="1" w:lastRow="0" w:firstColumn="1" w:lastColumn="0" w:noHBand="0" w:noVBand="1"/>
      </w:tblPr>
      <w:tblGrid>
        <w:gridCol w:w="315"/>
        <w:gridCol w:w="2115"/>
        <w:gridCol w:w="1665"/>
        <w:gridCol w:w="1524"/>
        <w:gridCol w:w="6563"/>
        <w:gridCol w:w="2378"/>
      </w:tblGrid>
      <w:tr w:rsidR="00BB187A" w14:paraId="47CB6637" w14:textId="77777777" w:rsidTr="00BB187A">
        <w:trPr>
          <w:cantSplit/>
          <w:trHeight w:val="219"/>
        </w:trPr>
        <w:tc>
          <w:tcPr>
            <w:tcW w:w="315" w:type="dxa"/>
            <w:shd w:val="clear" w:color="auto" w:fill="002060"/>
          </w:tcPr>
          <w:p w14:paraId="03B4F66E" w14:textId="77777777" w:rsidR="00BB187A" w:rsidRDefault="00BB187A" w:rsidP="00BB187A">
            <w:pPr>
              <w:pStyle w:val="Tabletext"/>
              <w:framePr w:hSpace="0" w:wrap="auto" w:vAnchor="margin" w:hAnchor="text" w:yAlign="inline"/>
            </w:pPr>
          </w:p>
        </w:tc>
        <w:tc>
          <w:tcPr>
            <w:tcW w:w="2115" w:type="dxa"/>
            <w:shd w:val="clear" w:color="auto" w:fill="0F405D"/>
          </w:tcPr>
          <w:p w14:paraId="505E7E9A" w14:textId="77777777" w:rsidR="00BB187A" w:rsidRPr="00BF240D" w:rsidRDefault="00BB187A" w:rsidP="00BB187A">
            <w:pPr>
              <w:pStyle w:val="Tabletext"/>
              <w:framePr w:hSpace="0" w:wrap="auto" w:vAnchor="margin" w:hAnchor="text" w:yAlign="inline"/>
              <w:rPr>
                <w:b/>
                <w:bCs/>
                <w:color w:val="FFFFFF" w:themeColor="background1"/>
              </w:rPr>
            </w:pPr>
            <w:r w:rsidRPr="00BF240D">
              <w:rPr>
                <w:b/>
                <w:bCs/>
                <w:color w:val="FFFFFF" w:themeColor="background1"/>
              </w:rPr>
              <w:t>Core Principle</w:t>
            </w:r>
          </w:p>
        </w:tc>
        <w:tc>
          <w:tcPr>
            <w:tcW w:w="1665" w:type="dxa"/>
            <w:shd w:val="clear" w:color="auto" w:fill="0F405D"/>
          </w:tcPr>
          <w:p w14:paraId="542BACF7" w14:textId="77777777" w:rsidR="00BB187A" w:rsidRPr="00BF240D" w:rsidRDefault="00BB187A" w:rsidP="00BB187A">
            <w:pPr>
              <w:pStyle w:val="Tabletext"/>
              <w:framePr w:hSpace="0" w:wrap="auto" w:vAnchor="margin" w:hAnchor="text" w:yAlign="inline"/>
              <w:rPr>
                <w:b/>
                <w:bCs/>
                <w:color w:val="FFFFFF" w:themeColor="background1"/>
              </w:rPr>
            </w:pPr>
            <w:r w:rsidRPr="00BF240D">
              <w:rPr>
                <w:b/>
                <w:bCs/>
                <w:color w:val="FFFFFF" w:themeColor="background1"/>
              </w:rPr>
              <w:t>Issue</w:t>
            </w:r>
          </w:p>
        </w:tc>
        <w:tc>
          <w:tcPr>
            <w:tcW w:w="1524" w:type="dxa"/>
            <w:shd w:val="clear" w:color="auto" w:fill="0F405D"/>
          </w:tcPr>
          <w:p w14:paraId="2A976376" w14:textId="77777777" w:rsidR="00BB187A" w:rsidRPr="00BF240D" w:rsidRDefault="00BB187A" w:rsidP="00BB187A">
            <w:pPr>
              <w:pStyle w:val="Tabletext"/>
              <w:framePr w:hSpace="0" w:wrap="auto" w:vAnchor="margin" w:hAnchor="text" w:yAlign="inline"/>
              <w:rPr>
                <w:b/>
                <w:bCs/>
                <w:color w:val="FFFFFF" w:themeColor="background1"/>
              </w:rPr>
            </w:pPr>
            <w:r w:rsidRPr="00BF240D">
              <w:rPr>
                <w:b/>
                <w:bCs/>
                <w:color w:val="FFFFFF" w:themeColor="background1"/>
              </w:rPr>
              <w:t>Owner</w:t>
            </w:r>
          </w:p>
        </w:tc>
        <w:tc>
          <w:tcPr>
            <w:tcW w:w="6563" w:type="dxa"/>
            <w:shd w:val="clear" w:color="auto" w:fill="0F405D"/>
          </w:tcPr>
          <w:p w14:paraId="0CCF76A5" w14:textId="77777777" w:rsidR="00BB187A" w:rsidRPr="00BF240D" w:rsidRDefault="00BB187A" w:rsidP="00BB187A">
            <w:pPr>
              <w:pStyle w:val="Tabletext"/>
              <w:framePr w:hSpace="0" w:wrap="auto" w:vAnchor="margin" w:hAnchor="text" w:yAlign="inline"/>
              <w:rPr>
                <w:b/>
                <w:bCs/>
                <w:color w:val="FFFFFF" w:themeColor="background1"/>
              </w:rPr>
            </w:pPr>
            <w:r w:rsidRPr="00BF240D">
              <w:rPr>
                <w:b/>
                <w:bCs/>
                <w:color w:val="FFFFFF" w:themeColor="background1"/>
              </w:rPr>
              <w:t>Action plan</w:t>
            </w:r>
          </w:p>
        </w:tc>
        <w:tc>
          <w:tcPr>
            <w:tcW w:w="2378" w:type="dxa"/>
            <w:shd w:val="clear" w:color="auto" w:fill="0F405D"/>
          </w:tcPr>
          <w:p w14:paraId="0E074414" w14:textId="77777777" w:rsidR="00BB187A" w:rsidRPr="00BF240D" w:rsidRDefault="00BB187A" w:rsidP="00BB187A">
            <w:pPr>
              <w:pStyle w:val="Tabletext"/>
              <w:framePr w:hSpace="0" w:wrap="auto" w:vAnchor="margin" w:hAnchor="text" w:yAlign="inline"/>
              <w:rPr>
                <w:b/>
                <w:bCs/>
                <w:color w:val="FFFFFF" w:themeColor="background1"/>
              </w:rPr>
            </w:pPr>
            <w:r>
              <w:rPr>
                <w:b/>
                <w:bCs/>
                <w:color w:val="FFFFFF" w:themeColor="background1"/>
              </w:rPr>
              <w:t>Met?</w:t>
            </w:r>
          </w:p>
        </w:tc>
      </w:tr>
      <w:tr w:rsidR="007D443A" w14:paraId="19DBF8C6" w14:textId="77777777" w:rsidTr="00BB187A">
        <w:trPr>
          <w:cantSplit/>
          <w:trHeight w:val="219"/>
        </w:trPr>
        <w:tc>
          <w:tcPr>
            <w:tcW w:w="315" w:type="dxa"/>
            <w:shd w:val="clear" w:color="auto" w:fill="FFF2CC" w:themeFill="accent4" w:themeFillTint="33"/>
          </w:tcPr>
          <w:p w14:paraId="0C7CE78D" w14:textId="2929A20F" w:rsidR="007D443A" w:rsidRDefault="00443F58" w:rsidP="0000231F">
            <w:pPr>
              <w:pStyle w:val="Tabletext"/>
              <w:framePr w:hSpace="0" w:wrap="auto" w:vAnchor="margin" w:hAnchor="text" w:yAlign="inline"/>
            </w:pPr>
            <w:r>
              <w:t>1</w:t>
            </w:r>
          </w:p>
        </w:tc>
        <w:tc>
          <w:tcPr>
            <w:tcW w:w="2115" w:type="dxa"/>
            <w:shd w:val="clear" w:color="auto" w:fill="FFF2CC" w:themeFill="accent4" w:themeFillTint="33"/>
          </w:tcPr>
          <w:p w14:paraId="2ECBBEA7" w14:textId="5E161EF6" w:rsidR="007D443A" w:rsidRPr="007D443A" w:rsidRDefault="007D443A" w:rsidP="0000231F">
            <w:pPr>
              <w:pStyle w:val="Tabletext"/>
              <w:framePr w:hSpace="0" w:wrap="auto" w:vAnchor="margin" w:hAnchor="text" w:yAlign="inline"/>
            </w:pPr>
            <w:r w:rsidRPr="007D443A">
              <w:t>A: Behaving with integrity, demonstrating strong commitment to ethical values, and respecting the rule of law.</w:t>
            </w:r>
          </w:p>
        </w:tc>
        <w:tc>
          <w:tcPr>
            <w:tcW w:w="1665" w:type="dxa"/>
            <w:shd w:val="clear" w:color="auto" w:fill="FFF2CC" w:themeFill="accent4" w:themeFillTint="33"/>
          </w:tcPr>
          <w:p w14:paraId="595DC982" w14:textId="11AE9A4A" w:rsidR="007D443A" w:rsidRPr="007D443A" w:rsidRDefault="007D443A" w:rsidP="0000231F">
            <w:pPr>
              <w:pStyle w:val="Tabletext"/>
              <w:framePr w:hSpace="0" w:wrap="auto" w:vAnchor="margin" w:hAnchor="text" w:yAlign="inline"/>
            </w:pPr>
            <w:r w:rsidRPr="007D443A">
              <w:t>Comprehensive update of Police and Crime Plan</w:t>
            </w:r>
          </w:p>
        </w:tc>
        <w:tc>
          <w:tcPr>
            <w:tcW w:w="1524" w:type="dxa"/>
            <w:shd w:val="clear" w:color="auto" w:fill="FFF2CC" w:themeFill="accent4" w:themeFillTint="33"/>
          </w:tcPr>
          <w:p w14:paraId="7E086CF2" w14:textId="15BE9795" w:rsidR="007D443A" w:rsidRPr="007D443A" w:rsidRDefault="007D443A" w:rsidP="0000231F">
            <w:pPr>
              <w:pStyle w:val="Tabletext"/>
              <w:framePr w:hSpace="0" w:wrap="auto" w:vAnchor="margin" w:hAnchor="text" w:yAlign="inline"/>
            </w:pPr>
            <w:r w:rsidRPr="007D443A">
              <w:t xml:space="preserve">Chief Executive and Head of </w:t>
            </w:r>
            <w:r w:rsidR="00597010">
              <w:t xml:space="preserve">Governance and </w:t>
            </w:r>
            <w:r w:rsidRPr="007D443A">
              <w:t>Performance</w:t>
            </w:r>
          </w:p>
        </w:tc>
        <w:tc>
          <w:tcPr>
            <w:tcW w:w="6563" w:type="dxa"/>
            <w:shd w:val="clear" w:color="auto" w:fill="FFF2CC" w:themeFill="accent4" w:themeFillTint="33"/>
          </w:tcPr>
          <w:p w14:paraId="28CEFAC1" w14:textId="77777777" w:rsidR="007D443A" w:rsidRPr="007D443A" w:rsidRDefault="007D443A" w:rsidP="0000231F">
            <w:pPr>
              <w:rPr>
                <w:sz w:val="18"/>
                <w:szCs w:val="18"/>
              </w:rPr>
            </w:pPr>
            <w:r w:rsidRPr="007D443A">
              <w:rPr>
                <w:sz w:val="18"/>
                <w:szCs w:val="18"/>
              </w:rPr>
              <w:t>It was decided that a performance framework would allow both the public to hold the PCC to account, and for the PCC to hold the Chief Constable to account, in an effective and transparent manner.</w:t>
            </w:r>
          </w:p>
          <w:p w14:paraId="27767DE1" w14:textId="77777777" w:rsidR="007D443A" w:rsidRPr="007D443A" w:rsidRDefault="007D443A" w:rsidP="0000231F">
            <w:pPr>
              <w:rPr>
                <w:sz w:val="18"/>
                <w:szCs w:val="18"/>
              </w:rPr>
            </w:pPr>
            <w:r w:rsidRPr="007D443A">
              <w:rPr>
                <w:sz w:val="18"/>
                <w:szCs w:val="18"/>
              </w:rPr>
              <w:t xml:space="preserve">This will need agreement as to what success looks like, how it can be measured, and the appropriate metrics. </w:t>
            </w:r>
          </w:p>
          <w:p w14:paraId="24486F42" w14:textId="07C7EA52" w:rsidR="007D443A" w:rsidRPr="007D443A" w:rsidRDefault="007D443A" w:rsidP="0000231F">
            <w:pPr>
              <w:pStyle w:val="Tabletext"/>
              <w:framePr w:hSpace="0" w:wrap="auto" w:vAnchor="margin" w:hAnchor="text" w:yAlign="inline"/>
            </w:pPr>
            <w:r w:rsidRPr="007D443A">
              <w:t>This should be in operation by September 2025</w:t>
            </w:r>
          </w:p>
        </w:tc>
        <w:tc>
          <w:tcPr>
            <w:tcW w:w="2378" w:type="dxa"/>
            <w:vMerge w:val="restart"/>
            <w:shd w:val="clear" w:color="auto" w:fill="FFF2CC" w:themeFill="accent4" w:themeFillTint="33"/>
          </w:tcPr>
          <w:p w14:paraId="09E10DD2" w14:textId="2827842E" w:rsidR="007D443A" w:rsidRPr="007D443A" w:rsidRDefault="007D443A" w:rsidP="0000231F">
            <w:pPr>
              <w:pStyle w:val="Tabletext"/>
              <w:framePr w:hSpace="0" w:wrap="auto" w:vAnchor="margin" w:hAnchor="text" w:yAlign="inline"/>
            </w:pPr>
            <w:r w:rsidRPr="007D443A">
              <w:t>M</w:t>
            </w:r>
            <w:r>
              <w:t>ET</w:t>
            </w:r>
          </w:p>
        </w:tc>
      </w:tr>
      <w:tr w:rsidR="007D443A" w14:paraId="0297D58D" w14:textId="77777777" w:rsidTr="00BB187A">
        <w:trPr>
          <w:cantSplit/>
          <w:trHeight w:val="219"/>
        </w:trPr>
        <w:tc>
          <w:tcPr>
            <w:tcW w:w="315" w:type="dxa"/>
            <w:shd w:val="clear" w:color="auto" w:fill="FFF2CC" w:themeFill="accent4" w:themeFillTint="33"/>
          </w:tcPr>
          <w:p w14:paraId="736C8FDB" w14:textId="77777777" w:rsidR="007D443A" w:rsidRDefault="007D443A" w:rsidP="0000231F">
            <w:pPr>
              <w:pStyle w:val="Tabletext"/>
              <w:framePr w:hSpace="0" w:wrap="auto" w:vAnchor="margin" w:hAnchor="text" w:yAlign="inline"/>
            </w:pPr>
          </w:p>
        </w:tc>
        <w:tc>
          <w:tcPr>
            <w:tcW w:w="2115" w:type="dxa"/>
            <w:shd w:val="clear" w:color="auto" w:fill="FFF2CC" w:themeFill="accent4" w:themeFillTint="33"/>
          </w:tcPr>
          <w:p w14:paraId="26D7AAEA" w14:textId="77777777" w:rsidR="007D443A" w:rsidRPr="007D443A" w:rsidRDefault="007D443A" w:rsidP="0000231F">
            <w:pPr>
              <w:pStyle w:val="Tabletext"/>
              <w:framePr w:hSpace="0" w:wrap="auto" w:vAnchor="margin" w:hAnchor="text" w:yAlign="inline"/>
            </w:pPr>
          </w:p>
        </w:tc>
        <w:tc>
          <w:tcPr>
            <w:tcW w:w="1665" w:type="dxa"/>
            <w:shd w:val="clear" w:color="auto" w:fill="FFF2CC" w:themeFill="accent4" w:themeFillTint="33"/>
          </w:tcPr>
          <w:p w14:paraId="3AC48B48" w14:textId="77777777" w:rsidR="007D443A" w:rsidRPr="007D443A" w:rsidRDefault="007D443A" w:rsidP="0000231F">
            <w:pPr>
              <w:pStyle w:val="Tabletext"/>
              <w:framePr w:hSpace="0" w:wrap="auto" w:vAnchor="margin" w:hAnchor="text" w:yAlign="inline"/>
            </w:pPr>
          </w:p>
        </w:tc>
        <w:tc>
          <w:tcPr>
            <w:tcW w:w="1524" w:type="dxa"/>
            <w:shd w:val="clear" w:color="auto" w:fill="FFF2CC" w:themeFill="accent4" w:themeFillTint="33"/>
          </w:tcPr>
          <w:p w14:paraId="21200C72" w14:textId="77777777" w:rsidR="007D443A" w:rsidRPr="007D443A" w:rsidRDefault="007D443A" w:rsidP="0000231F">
            <w:pPr>
              <w:pStyle w:val="Tabletext"/>
              <w:framePr w:hSpace="0" w:wrap="auto" w:vAnchor="margin" w:hAnchor="text" w:yAlign="inline"/>
            </w:pPr>
          </w:p>
        </w:tc>
        <w:tc>
          <w:tcPr>
            <w:tcW w:w="6563" w:type="dxa"/>
            <w:shd w:val="clear" w:color="auto" w:fill="FFF2CC" w:themeFill="accent4" w:themeFillTint="33"/>
          </w:tcPr>
          <w:p w14:paraId="42A577E8" w14:textId="77777777" w:rsidR="007D443A" w:rsidRPr="007D443A" w:rsidRDefault="007D443A" w:rsidP="0000231F">
            <w:pPr>
              <w:rPr>
                <w:i/>
                <w:iCs/>
                <w:sz w:val="18"/>
                <w:szCs w:val="18"/>
              </w:rPr>
            </w:pPr>
            <w:r w:rsidRPr="007D443A">
              <w:rPr>
                <w:i/>
                <w:iCs/>
                <w:sz w:val="18"/>
                <w:szCs w:val="18"/>
              </w:rPr>
              <w:t>Performance framework agreed with Force in May 25, and performance reported to P&amp;D Board; will be developed further.</w:t>
            </w:r>
          </w:p>
          <w:p w14:paraId="658A293C" w14:textId="132C9FF8" w:rsidR="007D443A" w:rsidRPr="007D443A" w:rsidRDefault="007D443A" w:rsidP="0000231F">
            <w:pPr>
              <w:rPr>
                <w:sz w:val="18"/>
                <w:szCs w:val="18"/>
              </w:rPr>
            </w:pPr>
            <w:r w:rsidRPr="007D443A">
              <w:rPr>
                <w:i/>
                <w:iCs/>
                <w:sz w:val="18"/>
                <w:szCs w:val="18"/>
              </w:rPr>
              <w:t>Internal performance framework agreed in October, and discussed at SMT and PCC SMT.</w:t>
            </w:r>
            <w:r w:rsidR="005953A9">
              <w:rPr>
                <w:sz w:val="18"/>
                <w:szCs w:val="18"/>
              </w:rPr>
              <w:t xml:space="preserve"> </w:t>
            </w:r>
          </w:p>
        </w:tc>
        <w:tc>
          <w:tcPr>
            <w:tcW w:w="2378" w:type="dxa"/>
            <w:vMerge/>
            <w:shd w:val="clear" w:color="auto" w:fill="FFF2CC" w:themeFill="accent4" w:themeFillTint="33"/>
          </w:tcPr>
          <w:p w14:paraId="005CC901" w14:textId="77777777" w:rsidR="007D443A" w:rsidRPr="007D443A" w:rsidRDefault="007D443A" w:rsidP="0000231F">
            <w:pPr>
              <w:pStyle w:val="Tabletext"/>
              <w:framePr w:hSpace="0" w:wrap="auto" w:vAnchor="margin" w:hAnchor="text" w:yAlign="inline"/>
            </w:pPr>
          </w:p>
        </w:tc>
      </w:tr>
      <w:tr w:rsidR="007D443A" w14:paraId="4C06D0F7" w14:textId="77777777" w:rsidTr="00BB187A">
        <w:trPr>
          <w:cantSplit/>
          <w:trHeight w:val="219"/>
        </w:trPr>
        <w:tc>
          <w:tcPr>
            <w:tcW w:w="315" w:type="dxa"/>
            <w:shd w:val="clear" w:color="auto" w:fill="FFF2CC" w:themeFill="accent4" w:themeFillTint="33"/>
          </w:tcPr>
          <w:p w14:paraId="26E38259" w14:textId="77777777" w:rsidR="007D443A" w:rsidRDefault="007D443A" w:rsidP="0000231F">
            <w:pPr>
              <w:pStyle w:val="Tabletext"/>
              <w:framePr w:hSpace="0" w:wrap="auto" w:vAnchor="margin" w:hAnchor="text" w:yAlign="inline"/>
            </w:pPr>
          </w:p>
        </w:tc>
        <w:tc>
          <w:tcPr>
            <w:tcW w:w="2115" w:type="dxa"/>
            <w:shd w:val="clear" w:color="auto" w:fill="FFF2CC" w:themeFill="accent4" w:themeFillTint="33"/>
          </w:tcPr>
          <w:p w14:paraId="010C4F93" w14:textId="1B750D81" w:rsidR="007D443A" w:rsidRPr="007D443A" w:rsidRDefault="007D443A" w:rsidP="0000231F">
            <w:pPr>
              <w:pStyle w:val="Tabletext"/>
              <w:framePr w:hSpace="0" w:wrap="auto" w:vAnchor="margin" w:hAnchor="text" w:yAlign="inline"/>
            </w:pPr>
            <w:r w:rsidRPr="007D443A">
              <w:t>A: Behaving with integrity, demonstrating strong commitment to ethical values, and respecting the rule of law.</w:t>
            </w:r>
          </w:p>
        </w:tc>
        <w:tc>
          <w:tcPr>
            <w:tcW w:w="1665" w:type="dxa"/>
            <w:shd w:val="clear" w:color="auto" w:fill="FFF2CC" w:themeFill="accent4" w:themeFillTint="33"/>
          </w:tcPr>
          <w:p w14:paraId="50557991" w14:textId="7493CCCD" w:rsidR="007D443A" w:rsidRPr="007D443A" w:rsidRDefault="007D443A" w:rsidP="0000231F">
            <w:pPr>
              <w:pStyle w:val="Tabletext"/>
              <w:framePr w:hSpace="0" w:wrap="auto" w:vAnchor="margin" w:hAnchor="text" w:yAlign="inline"/>
            </w:pPr>
            <w:r w:rsidRPr="007D443A">
              <w:t>Management of FOIs and SARs</w:t>
            </w:r>
          </w:p>
        </w:tc>
        <w:tc>
          <w:tcPr>
            <w:tcW w:w="1524" w:type="dxa"/>
            <w:shd w:val="clear" w:color="auto" w:fill="FFF2CC" w:themeFill="accent4" w:themeFillTint="33"/>
          </w:tcPr>
          <w:p w14:paraId="7A258E3C" w14:textId="3C3FDE5B" w:rsidR="007D443A" w:rsidRPr="007D443A" w:rsidRDefault="007D443A" w:rsidP="0000231F">
            <w:pPr>
              <w:pStyle w:val="Tabletext"/>
              <w:framePr w:hSpace="0" w:wrap="auto" w:vAnchor="margin" w:hAnchor="text" w:yAlign="inline"/>
            </w:pPr>
            <w:r w:rsidRPr="007D443A">
              <w:t>Head of Governance</w:t>
            </w:r>
            <w:r w:rsidR="007F6C9D">
              <w:t xml:space="preserve"> and Performance</w:t>
            </w:r>
            <w:r w:rsidRPr="007D443A">
              <w:t xml:space="preserve"> and Office Manager</w:t>
            </w:r>
          </w:p>
        </w:tc>
        <w:tc>
          <w:tcPr>
            <w:tcW w:w="6563" w:type="dxa"/>
            <w:shd w:val="clear" w:color="auto" w:fill="FFF2CC" w:themeFill="accent4" w:themeFillTint="33"/>
          </w:tcPr>
          <w:p w14:paraId="4E92DE87" w14:textId="77777777" w:rsidR="007D443A" w:rsidRPr="007D443A" w:rsidRDefault="007D443A" w:rsidP="0000231F">
            <w:pPr>
              <w:rPr>
                <w:sz w:val="18"/>
                <w:szCs w:val="18"/>
              </w:rPr>
            </w:pPr>
            <w:r w:rsidRPr="007D443A">
              <w:rPr>
                <w:sz w:val="18"/>
                <w:szCs w:val="18"/>
              </w:rPr>
              <w:t xml:space="preserve">To further enhance and streamline processes, the team intend to create a bank of standardised elements (for example, the specific legislative framework text) to use within responses. </w:t>
            </w:r>
          </w:p>
          <w:p w14:paraId="0DCE81F2" w14:textId="736FC931" w:rsidR="007D443A" w:rsidRPr="007D443A" w:rsidRDefault="007D443A" w:rsidP="0000231F">
            <w:pPr>
              <w:pStyle w:val="Tabletext"/>
              <w:framePr w:hSpace="0" w:wrap="auto" w:vAnchor="margin" w:hAnchor="text" w:yAlign="inline"/>
            </w:pPr>
            <w:r w:rsidRPr="007D443A">
              <w:t xml:space="preserve">This will enable responses to be compiled more quickly and ensure a more uniform and legislatively compliant set of FOI responses to members of the public. </w:t>
            </w:r>
          </w:p>
        </w:tc>
        <w:tc>
          <w:tcPr>
            <w:tcW w:w="2378" w:type="dxa"/>
            <w:vMerge w:val="restart"/>
            <w:shd w:val="clear" w:color="auto" w:fill="FFF2CC" w:themeFill="accent4" w:themeFillTint="33"/>
          </w:tcPr>
          <w:p w14:paraId="465BD4FD" w14:textId="1DB6E4CB" w:rsidR="007D443A" w:rsidRPr="007D443A" w:rsidRDefault="007D443A" w:rsidP="0000231F">
            <w:pPr>
              <w:pStyle w:val="Tabletext"/>
              <w:framePr w:hSpace="0" w:wrap="auto" w:vAnchor="margin" w:hAnchor="text" w:yAlign="inline"/>
            </w:pPr>
            <w:r w:rsidRPr="007D443A">
              <w:t>PARTIAL</w:t>
            </w:r>
            <w:r>
              <w:t>LY MET</w:t>
            </w:r>
          </w:p>
        </w:tc>
      </w:tr>
      <w:tr w:rsidR="007D443A" w14:paraId="2ABD6A51" w14:textId="77777777" w:rsidTr="00BB187A">
        <w:trPr>
          <w:cantSplit/>
          <w:trHeight w:val="219"/>
        </w:trPr>
        <w:tc>
          <w:tcPr>
            <w:tcW w:w="315" w:type="dxa"/>
            <w:shd w:val="clear" w:color="auto" w:fill="FFF2CC" w:themeFill="accent4" w:themeFillTint="33"/>
          </w:tcPr>
          <w:p w14:paraId="61AAEAAE" w14:textId="77777777" w:rsidR="007D443A" w:rsidRDefault="007D443A" w:rsidP="0000231F">
            <w:pPr>
              <w:pStyle w:val="Tabletext"/>
              <w:framePr w:hSpace="0" w:wrap="auto" w:vAnchor="margin" w:hAnchor="text" w:yAlign="inline"/>
            </w:pPr>
          </w:p>
        </w:tc>
        <w:tc>
          <w:tcPr>
            <w:tcW w:w="2115" w:type="dxa"/>
            <w:shd w:val="clear" w:color="auto" w:fill="FFF2CC" w:themeFill="accent4" w:themeFillTint="33"/>
          </w:tcPr>
          <w:p w14:paraId="74F9F08C" w14:textId="77777777" w:rsidR="007D443A" w:rsidRPr="007D443A" w:rsidRDefault="007D443A" w:rsidP="0000231F">
            <w:pPr>
              <w:pStyle w:val="Tabletext"/>
              <w:framePr w:hSpace="0" w:wrap="auto" w:vAnchor="margin" w:hAnchor="text" w:yAlign="inline"/>
            </w:pPr>
          </w:p>
        </w:tc>
        <w:tc>
          <w:tcPr>
            <w:tcW w:w="1665" w:type="dxa"/>
            <w:shd w:val="clear" w:color="auto" w:fill="FFF2CC" w:themeFill="accent4" w:themeFillTint="33"/>
          </w:tcPr>
          <w:p w14:paraId="338E14CF" w14:textId="77777777" w:rsidR="007D443A" w:rsidRPr="007D443A" w:rsidRDefault="007D443A" w:rsidP="0000231F">
            <w:pPr>
              <w:pStyle w:val="Tabletext"/>
              <w:framePr w:hSpace="0" w:wrap="auto" w:vAnchor="margin" w:hAnchor="text" w:yAlign="inline"/>
            </w:pPr>
          </w:p>
        </w:tc>
        <w:tc>
          <w:tcPr>
            <w:tcW w:w="1524" w:type="dxa"/>
            <w:shd w:val="clear" w:color="auto" w:fill="FFF2CC" w:themeFill="accent4" w:themeFillTint="33"/>
          </w:tcPr>
          <w:p w14:paraId="6CC11D0B" w14:textId="77777777" w:rsidR="007D443A" w:rsidRPr="007D443A" w:rsidRDefault="007D443A" w:rsidP="0000231F">
            <w:pPr>
              <w:pStyle w:val="Tabletext"/>
              <w:framePr w:hSpace="0" w:wrap="auto" w:vAnchor="margin" w:hAnchor="text" w:yAlign="inline"/>
            </w:pPr>
          </w:p>
        </w:tc>
        <w:tc>
          <w:tcPr>
            <w:tcW w:w="6563" w:type="dxa"/>
            <w:shd w:val="clear" w:color="auto" w:fill="FFF2CC" w:themeFill="accent4" w:themeFillTint="33"/>
          </w:tcPr>
          <w:p w14:paraId="478412A7" w14:textId="02B7CB72" w:rsidR="007D443A" w:rsidRPr="007D443A" w:rsidRDefault="007D443A" w:rsidP="0000231F">
            <w:pPr>
              <w:rPr>
                <w:i/>
                <w:iCs/>
                <w:sz w:val="18"/>
                <w:szCs w:val="18"/>
              </w:rPr>
            </w:pPr>
            <w:r w:rsidRPr="007D443A">
              <w:rPr>
                <w:i/>
                <w:iCs/>
                <w:sz w:val="18"/>
                <w:szCs w:val="18"/>
              </w:rPr>
              <w:t>Staff have designed some standardised processes and are in use, but work continues.</w:t>
            </w:r>
            <w:r w:rsidR="005953A9">
              <w:rPr>
                <w:i/>
                <w:iCs/>
                <w:sz w:val="18"/>
                <w:szCs w:val="18"/>
              </w:rPr>
              <w:t xml:space="preserve"> </w:t>
            </w:r>
            <w:r w:rsidRPr="007D443A">
              <w:rPr>
                <w:i/>
                <w:iCs/>
                <w:sz w:val="18"/>
                <w:szCs w:val="18"/>
              </w:rPr>
              <w:t>Aim to be finalised in next six months, depending on workload</w:t>
            </w:r>
            <w:r w:rsidR="00CF4F5B">
              <w:rPr>
                <w:i/>
                <w:iCs/>
                <w:sz w:val="18"/>
                <w:szCs w:val="18"/>
              </w:rPr>
              <w:t>.</w:t>
            </w:r>
          </w:p>
        </w:tc>
        <w:tc>
          <w:tcPr>
            <w:tcW w:w="2378" w:type="dxa"/>
            <w:vMerge/>
            <w:shd w:val="clear" w:color="auto" w:fill="FFF2CC" w:themeFill="accent4" w:themeFillTint="33"/>
          </w:tcPr>
          <w:p w14:paraId="30CC5AA0" w14:textId="77777777" w:rsidR="007D443A" w:rsidRPr="007D443A" w:rsidRDefault="007D443A" w:rsidP="0000231F">
            <w:pPr>
              <w:pStyle w:val="Tabletext"/>
              <w:framePr w:hSpace="0" w:wrap="auto" w:vAnchor="margin" w:hAnchor="text" w:yAlign="inline"/>
            </w:pPr>
          </w:p>
        </w:tc>
      </w:tr>
      <w:tr w:rsidR="007D443A" w14:paraId="5EBD4B2B" w14:textId="77777777" w:rsidTr="00BB187A">
        <w:trPr>
          <w:cantSplit/>
          <w:trHeight w:val="219"/>
        </w:trPr>
        <w:tc>
          <w:tcPr>
            <w:tcW w:w="315" w:type="dxa"/>
            <w:shd w:val="clear" w:color="auto" w:fill="FFF2CC" w:themeFill="accent4" w:themeFillTint="33"/>
          </w:tcPr>
          <w:p w14:paraId="591C8542" w14:textId="77777777" w:rsidR="007D443A" w:rsidRDefault="007D443A" w:rsidP="0000231F">
            <w:pPr>
              <w:pStyle w:val="Tabletext"/>
              <w:framePr w:hSpace="0" w:wrap="auto" w:vAnchor="margin" w:hAnchor="text" w:yAlign="inline"/>
            </w:pPr>
          </w:p>
        </w:tc>
        <w:tc>
          <w:tcPr>
            <w:tcW w:w="2115" w:type="dxa"/>
            <w:shd w:val="clear" w:color="auto" w:fill="FFF2CC" w:themeFill="accent4" w:themeFillTint="33"/>
          </w:tcPr>
          <w:p w14:paraId="36310E11" w14:textId="22864913" w:rsidR="007D443A" w:rsidRPr="007D443A" w:rsidRDefault="007D443A" w:rsidP="0000231F">
            <w:pPr>
              <w:pStyle w:val="Tabletext"/>
              <w:framePr w:hSpace="0" w:wrap="auto" w:vAnchor="margin" w:hAnchor="text" w:yAlign="inline"/>
            </w:pPr>
            <w:r w:rsidRPr="007D443A">
              <w:t>A: Behaving with integrity, demonstrating strong commitment to ethical values, and respecting the rule of law.</w:t>
            </w:r>
          </w:p>
        </w:tc>
        <w:tc>
          <w:tcPr>
            <w:tcW w:w="1665" w:type="dxa"/>
            <w:shd w:val="clear" w:color="auto" w:fill="FFF2CC" w:themeFill="accent4" w:themeFillTint="33"/>
          </w:tcPr>
          <w:p w14:paraId="12F57AE5" w14:textId="14AE2384" w:rsidR="007D443A" w:rsidRPr="007D443A" w:rsidRDefault="007D443A" w:rsidP="0000231F">
            <w:pPr>
              <w:pStyle w:val="Tabletext"/>
              <w:framePr w:hSpace="0" w:wrap="auto" w:vAnchor="margin" w:hAnchor="text" w:yAlign="inline"/>
            </w:pPr>
            <w:r w:rsidRPr="007D443A">
              <w:t>Membership of CDSP</w:t>
            </w:r>
          </w:p>
        </w:tc>
        <w:tc>
          <w:tcPr>
            <w:tcW w:w="1524" w:type="dxa"/>
            <w:shd w:val="clear" w:color="auto" w:fill="FFF2CC" w:themeFill="accent4" w:themeFillTint="33"/>
          </w:tcPr>
          <w:p w14:paraId="6E785910" w14:textId="7795289C" w:rsidR="007D443A" w:rsidRPr="007D443A" w:rsidRDefault="007D443A" w:rsidP="0000231F">
            <w:pPr>
              <w:pStyle w:val="Tabletext"/>
              <w:framePr w:hSpace="0" w:wrap="auto" w:vAnchor="margin" w:hAnchor="text" w:yAlign="inline"/>
            </w:pPr>
            <w:r w:rsidRPr="007D443A">
              <w:t>Chairs of CDSP and Head of Standards</w:t>
            </w:r>
          </w:p>
        </w:tc>
        <w:tc>
          <w:tcPr>
            <w:tcW w:w="6563" w:type="dxa"/>
            <w:shd w:val="clear" w:color="auto" w:fill="FFF2CC" w:themeFill="accent4" w:themeFillTint="33"/>
          </w:tcPr>
          <w:p w14:paraId="6D1F6D11" w14:textId="77777777" w:rsidR="007D443A" w:rsidRPr="007D443A" w:rsidRDefault="007D443A" w:rsidP="0000231F">
            <w:pPr>
              <w:pStyle w:val="Tabletext"/>
              <w:framePr w:hSpace="0" w:wrap="auto" w:vAnchor="margin" w:hAnchor="text" w:yAlign="inline"/>
            </w:pPr>
            <w:r w:rsidRPr="007D443A">
              <w:t>The CDSP needs to further broaden its membership, to include partnership agencies such as Liaison and Diversion.</w:t>
            </w:r>
          </w:p>
          <w:p w14:paraId="19FDABA8" w14:textId="3A817973" w:rsidR="007D443A" w:rsidRPr="007D443A" w:rsidRDefault="007D443A" w:rsidP="0000231F">
            <w:pPr>
              <w:pStyle w:val="Tabletext"/>
              <w:framePr w:hSpace="0" w:wrap="auto" w:vAnchor="margin" w:hAnchor="text" w:yAlign="inline"/>
            </w:pPr>
          </w:p>
        </w:tc>
        <w:tc>
          <w:tcPr>
            <w:tcW w:w="2378" w:type="dxa"/>
            <w:vMerge w:val="restart"/>
            <w:shd w:val="clear" w:color="auto" w:fill="FFF2CC" w:themeFill="accent4" w:themeFillTint="33"/>
          </w:tcPr>
          <w:p w14:paraId="33AF14CA" w14:textId="1F17BA21" w:rsidR="007D443A" w:rsidRPr="007D443A" w:rsidRDefault="007D443A" w:rsidP="0000231F">
            <w:pPr>
              <w:pStyle w:val="Tabletext"/>
              <w:framePr w:hSpace="0" w:wrap="auto" w:vAnchor="margin" w:hAnchor="text" w:yAlign="inline"/>
            </w:pPr>
            <w:r w:rsidRPr="007D443A">
              <w:t>MET</w:t>
            </w:r>
          </w:p>
        </w:tc>
      </w:tr>
      <w:tr w:rsidR="007D443A" w14:paraId="00423750" w14:textId="77777777" w:rsidTr="00BB187A">
        <w:trPr>
          <w:cantSplit/>
          <w:trHeight w:val="219"/>
        </w:trPr>
        <w:tc>
          <w:tcPr>
            <w:tcW w:w="315" w:type="dxa"/>
            <w:shd w:val="clear" w:color="auto" w:fill="FFF2CC" w:themeFill="accent4" w:themeFillTint="33"/>
          </w:tcPr>
          <w:p w14:paraId="1800B925" w14:textId="77777777" w:rsidR="007D443A" w:rsidRDefault="007D443A" w:rsidP="0000231F">
            <w:pPr>
              <w:pStyle w:val="Tabletext"/>
              <w:framePr w:hSpace="0" w:wrap="auto" w:vAnchor="margin" w:hAnchor="text" w:yAlign="inline"/>
            </w:pPr>
          </w:p>
        </w:tc>
        <w:tc>
          <w:tcPr>
            <w:tcW w:w="2115" w:type="dxa"/>
            <w:shd w:val="clear" w:color="auto" w:fill="FFF2CC" w:themeFill="accent4" w:themeFillTint="33"/>
          </w:tcPr>
          <w:p w14:paraId="6ECB9050" w14:textId="77777777" w:rsidR="007D443A" w:rsidRPr="007D443A" w:rsidRDefault="007D443A" w:rsidP="0000231F">
            <w:pPr>
              <w:pStyle w:val="Tabletext"/>
              <w:framePr w:hSpace="0" w:wrap="auto" w:vAnchor="margin" w:hAnchor="text" w:yAlign="inline"/>
            </w:pPr>
          </w:p>
        </w:tc>
        <w:tc>
          <w:tcPr>
            <w:tcW w:w="1665" w:type="dxa"/>
            <w:shd w:val="clear" w:color="auto" w:fill="FFF2CC" w:themeFill="accent4" w:themeFillTint="33"/>
          </w:tcPr>
          <w:p w14:paraId="126C3F08" w14:textId="77777777" w:rsidR="007D443A" w:rsidRPr="007D443A" w:rsidRDefault="007D443A" w:rsidP="0000231F">
            <w:pPr>
              <w:pStyle w:val="Tabletext"/>
              <w:framePr w:hSpace="0" w:wrap="auto" w:vAnchor="margin" w:hAnchor="text" w:yAlign="inline"/>
            </w:pPr>
          </w:p>
        </w:tc>
        <w:tc>
          <w:tcPr>
            <w:tcW w:w="1524" w:type="dxa"/>
            <w:shd w:val="clear" w:color="auto" w:fill="FFF2CC" w:themeFill="accent4" w:themeFillTint="33"/>
          </w:tcPr>
          <w:p w14:paraId="5DBAD405" w14:textId="77777777" w:rsidR="007D443A" w:rsidRPr="007D443A" w:rsidRDefault="007D443A" w:rsidP="0000231F">
            <w:pPr>
              <w:pStyle w:val="Tabletext"/>
              <w:framePr w:hSpace="0" w:wrap="auto" w:vAnchor="margin" w:hAnchor="text" w:yAlign="inline"/>
            </w:pPr>
          </w:p>
        </w:tc>
        <w:tc>
          <w:tcPr>
            <w:tcW w:w="6563" w:type="dxa"/>
            <w:shd w:val="clear" w:color="auto" w:fill="FFF2CC" w:themeFill="accent4" w:themeFillTint="33"/>
          </w:tcPr>
          <w:p w14:paraId="6364B3E8" w14:textId="7C7F3858" w:rsidR="007D443A" w:rsidRPr="007D443A" w:rsidRDefault="007D443A" w:rsidP="0000231F">
            <w:pPr>
              <w:pStyle w:val="Tabletext"/>
              <w:framePr w:hSpace="0" w:wrap="auto" w:vAnchor="margin" w:hAnchor="text" w:yAlign="inline"/>
              <w:rPr>
                <w:i/>
                <w:iCs/>
              </w:rPr>
            </w:pPr>
            <w:r w:rsidRPr="007D443A">
              <w:rPr>
                <w:i/>
                <w:iCs/>
              </w:rPr>
              <w:t>LDR are invited, and now also provide data to the CDSP.</w:t>
            </w:r>
            <w:r w:rsidR="005953A9">
              <w:rPr>
                <w:i/>
                <w:iCs/>
              </w:rPr>
              <w:t xml:space="preserve"> </w:t>
            </w:r>
            <w:r w:rsidRPr="007D443A">
              <w:rPr>
                <w:i/>
                <w:iCs/>
              </w:rPr>
              <w:t>Head of Custody Nurse team also attends.</w:t>
            </w:r>
            <w:r w:rsidR="005953A9">
              <w:rPr>
                <w:i/>
                <w:iCs/>
              </w:rPr>
              <w:t xml:space="preserve"> </w:t>
            </w:r>
            <w:r w:rsidRPr="007D443A">
              <w:rPr>
                <w:i/>
                <w:iCs/>
              </w:rPr>
              <w:t>More ICVs also attend, as well as an additional member of the Force’s IAG</w:t>
            </w:r>
          </w:p>
        </w:tc>
        <w:tc>
          <w:tcPr>
            <w:tcW w:w="2378" w:type="dxa"/>
            <w:vMerge/>
            <w:shd w:val="clear" w:color="auto" w:fill="FFF2CC" w:themeFill="accent4" w:themeFillTint="33"/>
          </w:tcPr>
          <w:p w14:paraId="2956C14C" w14:textId="77777777" w:rsidR="007D443A" w:rsidRPr="007D443A" w:rsidRDefault="007D443A" w:rsidP="0000231F">
            <w:pPr>
              <w:pStyle w:val="Tabletext"/>
              <w:framePr w:hSpace="0" w:wrap="auto" w:vAnchor="margin" w:hAnchor="text" w:yAlign="inline"/>
            </w:pPr>
          </w:p>
        </w:tc>
      </w:tr>
      <w:tr w:rsidR="007D443A" w14:paraId="4417642E" w14:textId="77777777" w:rsidTr="00BB187A">
        <w:trPr>
          <w:cantSplit/>
          <w:trHeight w:val="219"/>
        </w:trPr>
        <w:tc>
          <w:tcPr>
            <w:tcW w:w="315" w:type="dxa"/>
            <w:shd w:val="clear" w:color="auto" w:fill="FFF2CC" w:themeFill="accent4" w:themeFillTint="33"/>
          </w:tcPr>
          <w:p w14:paraId="3AE5E100" w14:textId="77777777" w:rsidR="007D443A" w:rsidRDefault="007D443A" w:rsidP="0000231F">
            <w:pPr>
              <w:pStyle w:val="Tabletext"/>
              <w:framePr w:hSpace="0" w:wrap="auto" w:vAnchor="margin" w:hAnchor="text" w:yAlign="inline"/>
            </w:pPr>
          </w:p>
        </w:tc>
        <w:tc>
          <w:tcPr>
            <w:tcW w:w="2115" w:type="dxa"/>
            <w:shd w:val="clear" w:color="auto" w:fill="FFF2CC" w:themeFill="accent4" w:themeFillTint="33"/>
          </w:tcPr>
          <w:p w14:paraId="1FF58DED" w14:textId="383E2BA4" w:rsidR="007D443A" w:rsidRPr="007D443A" w:rsidRDefault="007D443A" w:rsidP="0000231F">
            <w:pPr>
              <w:pStyle w:val="Tabletext"/>
              <w:framePr w:hSpace="0" w:wrap="auto" w:vAnchor="margin" w:hAnchor="text" w:yAlign="inline"/>
            </w:pPr>
            <w:r w:rsidRPr="007D443A">
              <w:t>A: Behaving with integrity, demonstrating strong commitment to ethical values, and respecting the rule of law.</w:t>
            </w:r>
          </w:p>
        </w:tc>
        <w:tc>
          <w:tcPr>
            <w:tcW w:w="1665" w:type="dxa"/>
            <w:shd w:val="clear" w:color="auto" w:fill="FFF2CC" w:themeFill="accent4" w:themeFillTint="33"/>
          </w:tcPr>
          <w:p w14:paraId="2A52772B" w14:textId="441CFD0F" w:rsidR="007D443A" w:rsidRPr="007D443A" w:rsidRDefault="007D443A" w:rsidP="0000231F">
            <w:pPr>
              <w:pStyle w:val="Tabletext"/>
              <w:framePr w:hSpace="0" w:wrap="auto" w:vAnchor="margin" w:hAnchor="text" w:yAlign="inline"/>
            </w:pPr>
            <w:r w:rsidRPr="007D443A">
              <w:t>Strengthened grant conditions and application process for Commissioned Services</w:t>
            </w:r>
          </w:p>
        </w:tc>
        <w:tc>
          <w:tcPr>
            <w:tcW w:w="1524" w:type="dxa"/>
            <w:shd w:val="clear" w:color="auto" w:fill="FFF2CC" w:themeFill="accent4" w:themeFillTint="33"/>
          </w:tcPr>
          <w:p w14:paraId="38B27DB2" w14:textId="2724F10E" w:rsidR="007D443A" w:rsidRPr="007D443A" w:rsidRDefault="007D443A" w:rsidP="0000231F">
            <w:pPr>
              <w:pStyle w:val="Tabletext"/>
              <w:framePr w:hSpace="0" w:wrap="auto" w:vAnchor="margin" w:hAnchor="text" w:yAlign="inline"/>
            </w:pPr>
            <w:r w:rsidRPr="007D443A">
              <w:t>CFO and Head of Commissioning</w:t>
            </w:r>
          </w:p>
        </w:tc>
        <w:tc>
          <w:tcPr>
            <w:tcW w:w="6563" w:type="dxa"/>
            <w:shd w:val="clear" w:color="auto" w:fill="FFF2CC" w:themeFill="accent4" w:themeFillTint="33"/>
          </w:tcPr>
          <w:p w14:paraId="4F40804D" w14:textId="77777777" w:rsidR="007D443A" w:rsidRPr="007D443A" w:rsidRDefault="007D443A" w:rsidP="0000231F">
            <w:pPr>
              <w:rPr>
                <w:sz w:val="18"/>
                <w:szCs w:val="18"/>
              </w:rPr>
            </w:pPr>
            <w:r w:rsidRPr="007D443A">
              <w:rPr>
                <w:sz w:val="18"/>
                <w:szCs w:val="18"/>
              </w:rPr>
              <w:t xml:space="preserve">The OPCC intends to further strengthen processes, by reviewing grant conditions years, and carrying out spot check audits. </w:t>
            </w:r>
          </w:p>
          <w:p w14:paraId="328CDDAC" w14:textId="5B35976E" w:rsidR="007D443A" w:rsidRPr="007D443A" w:rsidRDefault="007D443A" w:rsidP="00834FE8">
            <w:pPr>
              <w:pStyle w:val="Tabletext"/>
              <w:framePr w:hSpace="0" w:wrap="auto" w:vAnchor="margin" w:hAnchor="text" w:yAlign="inline"/>
            </w:pPr>
            <w:r w:rsidRPr="007D443A">
              <w:t>The degree to which oversight will be enhanced depends on staffing levels.</w:t>
            </w:r>
          </w:p>
        </w:tc>
        <w:tc>
          <w:tcPr>
            <w:tcW w:w="2378" w:type="dxa"/>
            <w:vMerge w:val="restart"/>
            <w:shd w:val="clear" w:color="auto" w:fill="FFF2CC" w:themeFill="accent4" w:themeFillTint="33"/>
          </w:tcPr>
          <w:p w14:paraId="6120D850" w14:textId="19DE493E" w:rsidR="007D443A" w:rsidRPr="007D443A" w:rsidRDefault="007D443A" w:rsidP="0000231F">
            <w:pPr>
              <w:pStyle w:val="Tabletext"/>
              <w:framePr w:hSpace="0" w:wrap="auto" w:vAnchor="margin" w:hAnchor="text" w:yAlign="inline"/>
            </w:pPr>
            <w:r w:rsidRPr="007D443A">
              <w:t>PARTIALLY MET</w:t>
            </w:r>
          </w:p>
        </w:tc>
      </w:tr>
      <w:tr w:rsidR="007D443A" w14:paraId="680BDF0B" w14:textId="77777777" w:rsidTr="00BB187A">
        <w:trPr>
          <w:cantSplit/>
          <w:trHeight w:val="219"/>
        </w:trPr>
        <w:tc>
          <w:tcPr>
            <w:tcW w:w="315" w:type="dxa"/>
            <w:shd w:val="clear" w:color="auto" w:fill="FFF2CC" w:themeFill="accent4" w:themeFillTint="33"/>
          </w:tcPr>
          <w:p w14:paraId="027E297C" w14:textId="77777777" w:rsidR="007D443A" w:rsidRDefault="007D443A" w:rsidP="0000231F">
            <w:pPr>
              <w:pStyle w:val="Tabletext"/>
              <w:framePr w:hSpace="0" w:wrap="auto" w:vAnchor="margin" w:hAnchor="text" w:yAlign="inline"/>
            </w:pPr>
          </w:p>
        </w:tc>
        <w:tc>
          <w:tcPr>
            <w:tcW w:w="2115" w:type="dxa"/>
            <w:shd w:val="clear" w:color="auto" w:fill="FFF2CC" w:themeFill="accent4" w:themeFillTint="33"/>
          </w:tcPr>
          <w:p w14:paraId="3D0A2821" w14:textId="77777777" w:rsidR="007D443A" w:rsidRPr="007D443A" w:rsidRDefault="007D443A" w:rsidP="0000231F">
            <w:pPr>
              <w:pStyle w:val="Tabletext"/>
              <w:framePr w:hSpace="0" w:wrap="auto" w:vAnchor="margin" w:hAnchor="text" w:yAlign="inline"/>
            </w:pPr>
          </w:p>
        </w:tc>
        <w:tc>
          <w:tcPr>
            <w:tcW w:w="1665" w:type="dxa"/>
            <w:shd w:val="clear" w:color="auto" w:fill="FFF2CC" w:themeFill="accent4" w:themeFillTint="33"/>
          </w:tcPr>
          <w:p w14:paraId="49B248AA" w14:textId="77777777" w:rsidR="007D443A" w:rsidRPr="007D443A" w:rsidRDefault="007D443A" w:rsidP="0000231F">
            <w:pPr>
              <w:pStyle w:val="Tabletext"/>
              <w:framePr w:hSpace="0" w:wrap="auto" w:vAnchor="margin" w:hAnchor="text" w:yAlign="inline"/>
            </w:pPr>
          </w:p>
        </w:tc>
        <w:tc>
          <w:tcPr>
            <w:tcW w:w="1524" w:type="dxa"/>
            <w:shd w:val="clear" w:color="auto" w:fill="FFF2CC" w:themeFill="accent4" w:themeFillTint="33"/>
          </w:tcPr>
          <w:p w14:paraId="579A87F5" w14:textId="77777777" w:rsidR="007D443A" w:rsidRPr="007D443A" w:rsidRDefault="007D443A" w:rsidP="0000231F">
            <w:pPr>
              <w:pStyle w:val="Tabletext"/>
              <w:framePr w:hSpace="0" w:wrap="auto" w:vAnchor="margin" w:hAnchor="text" w:yAlign="inline"/>
            </w:pPr>
          </w:p>
        </w:tc>
        <w:tc>
          <w:tcPr>
            <w:tcW w:w="6563" w:type="dxa"/>
            <w:shd w:val="clear" w:color="auto" w:fill="FFF2CC" w:themeFill="accent4" w:themeFillTint="33"/>
          </w:tcPr>
          <w:p w14:paraId="5E5EB8EA" w14:textId="47DB5538" w:rsidR="007D443A" w:rsidRPr="007D443A" w:rsidRDefault="007D443A" w:rsidP="0000231F">
            <w:pPr>
              <w:rPr>
                <w:i/>
                <w:iCs/>
                <w:sz w:val="18"/>
                <w:szCs w:val="18"/>
              </w:rPr>
            </w:pPr>
            <w:r w:rsidRPr="007D443A">
              <w:rPr>
                <w:i/>
                <w:iCs/>
                <w:sz w:val="18"/>
                <w:szCs w:val="18"/>
              </w:rPr>
              <w:t>Grant conditions reviewed yearly, learning taken</w:t>
            </w:r>
            <w:r w:rsidR="0051180F">
              <w:rPr>
                <w:i/>
                <w:iCs/>
                <w:sz w:val="18"/>
                <w:szCs w:val="18"/>
              </w:rPr>
              <w:t xml:space="preserve"> to </w:t>
            </w:r>
            <w:r w:rsidR="00A70BEE">
              <w:rPr>
                <w:i/>
                <w:iCs/>
                <w:sz w:val="18"/>
                <w:szCs w:val="18"/>
              </w:rPr>
              <w:t>inform future practice</w:t>
            </w:r>
            <w:r w:rsidRPr="007D443A">
              <w:rPr>
                <w:i/>
                <w:iCs/>
                <w:sz w:val="18"/>
                <w:szCs w:val="18"/>
              </w:rPr>
              <w:t>.</w:t>
            </w:r>
            <w:r w:rsidR="005953A9">
              <w:rPr>
                <w:i/>
                <w:iCs/>
                <w:sz w:val="18"/>
                <w:szCs w:val="18"/>
              </w:rPr>
              <w:t xml:space="preserve"> </w:t>
            </w:r>
            <w:r w:rsidRPr="007D443A">
              <w:rPr>
                <w:i/>
                <w:iCs/>
                <w:sz w:val="18"/>
                <w:szCs w:val="18"/>
              </w:rPr>
              <w:br/>
              <w:t>Audit process still in development owing to staffing capacity; aim to be proactive</w:t>
            </w:r>
            <w:r w:rsidR="00B95A1B">
              <w:rPr>
                <w:i/>
                <w:iCs/>
                <w:sz w:val="18"/>
                <w:szCs w:val="18"/>
              </w:rPr>
              <w:t xml:space="preserve"> in future.</w:t>
            </w:r>
          </w:p>
        </w:tc>
        <w:tc>
          <w:tcPr>
            <w:tcW w:w="2378" w:type="dxa"/>
            <w:vMerge/>
            <w:shd w:val="clear" w:color="auto" w:fill="FFF2CC" w:themeFill="accent4" w:themeFillTint="33"/>
          </w:tcPr>
          <w:p w14:paraId="72E8CCF6" w14:textId="77777777" w:rsidR="007D443A" w:rsidRPr="007D443A" w:rsidRDefault="007D443A" w:rsidP="0000231F">
            <w:pPr>
              <w:pStyle w:val="Tabletext"/>
              <w:framePr w:hSpace="0" w:wrap="auto" w:vAnchor="margin" w:hAnchor="text" w:yAlign="inline"/>
            </w:pPr>
          </w:p>
        </w:tc>
      </w:tr>
      <w:tr w:rsidR="00A91577" w14:paraId="41E96267" w14:textId="77777777" w:rsidTr="00443F58">
        <w:trPr>
          <w:cantSplit/>
          <w:trHeight w:val="219"/>
        </w:trPr>
        <w:tc>
          <w:tcPr>
            <w:tcW w:w="315" w:type="dxa"/>
            <w:shd w:val="clear" w:color="auto" w:fill="FFE599" w:themeFill="accent4" w:themeFillTint="66"/>
          </w:tcPr>
          <w:p w14:paraId="611D3999" w14:textId="7D04270E" w:rsidR="00A91577" w:rsidRDefault="00443F58" w:rsidP="00A91577">
            <w:pPr>
              <w:pStyle w:val="Tabletext"/>
              <w:framePr w:hSpace="0" w:wrap="auto" w:vAnchor="margin" w:hAnchor="text" w:yAlign="inline"/>
            </w:pPr>
            <w:r>
              <w:t>2</w:t>
            </w:r>
          </w:p>
        </w:tc>
        <w:tc>
          <w:tcPr>
            <w:tcW w:w="2115" w:type="dxa"/>
            <w:shd w:val="clear" w:color="auto" w:fill="FFE599" w:themeFill="accent4" w:themeFillTint="66"/>
          </w:tcPr>
          <w:p w14:paraId="393798D2" w14:textId="77777777" w:rsidR="00A91577" w:rsidRPr="007D443A" w:rsidRDefault="00A91577" w:rsidP="00A91577">
            <w:pPr>
              <w:pStyle w:val="Tabletext"/>
              <w:framePr w:hSpace="0" w:wrap="auto" w:vAnchor="margin" w:hAnchor="text" w:yAlign="inline"/>
            </w:pPr>
            <w:r w:rsidRPr="007D443A">
              <w:t xml:space="preserve">B: Ensuring openness and </w:t>
            </w:r>
            <w:r w:rsidRPr="007D443A">
              <w:rPr>
                <w:color w:val="000000" w:themeColor="text1"/>
              </w:rPr>
              <w:t>comprehensive</w:t>
            </w:r>
            <w:r w:rsidRPr="007D443A">
              <w:t xml:space="preserve"> stakeholder engagement</w:t>
            </w:r>
          </w:p>
        </w:tc>
        <w:tc>
          <w:tcPr>
            <w:tcW w:w="1665" w:type="dxa"/>
            <w:shd w:val="clear" w:color="auto" w:fill="FFE599" w:themeFill="accent4" w:themeFillTint="66"/>
          </w:tcPr>
          <w:p w14:paraId="24EE7BE5" w14:textId="7D4976C3" w:rsidR="00A91577" w:rsidRPr="007D443A" w:rsidRDefault="00A91577" w:rsidP="00A91577">
            <w:pPr>
              <w:pStyle w:val="Tabletext"/>
              <w:framePr w:hSpace="0" w:wrap="auto" w:vAnchor="margin" w:hAnchor="text" w:yAlign="inline"/>
            </w:pPr>
            <w:r w:rsidRPr="007D443A">
              <w:t>Schools’ engagement programme</w:t>
            </w:r>
          </w:p>
        </w:tc>
        <w:tc>
          <w:tcPr>
            <w:tcW w:w="1524" w:type="dxa"/>
            <w:shd w:val="clear" w:color="auto" w:fill="FFE599" w:themeFill="accent4" w:themeFillTint="66"/>
          </w:tcPr>
          <w:p w14:paraId="6C13BE3B" w14:textId="065E0FDA" w:rsidR="00A91577" w:rsidRPr="007D443A" w:rsidRDefault="00A91577" w:rsidP="00A91577">
            <w:pPr>
              <w:pStyle w:val="Tabletext"/>
              <w:framePr w:hSpace="0" w:wrap="auto" w:vAnchor="margin" w:hAnchor="text" w:yAlign="inline"/>
            </w:pPr>
            <w:r w:rsidRPr="007D443A">
              <w:t>Head of Communications</w:t>
            </w:r>
          </w:p>
        </w:tc>
        <w:tc>
          <w:tcPr>
            <w:tcW w:w="6563" w:type="dxa"/>
            <w:shd w:val="clear" w:color="auto" w:fill="FFE599" w:themeFill="accent4" w:themeFillTint="66"/>
          </w:tcPr>
          <w:p w14:paraId="6192DF28" w14:textId="77777777" w:rsidR="00A91577" w:rsidRPr="007D443A" w:rsidRDefault="00A91577" w:rsidP="00A91577">
            <w:pPr>
              <w:rPr>
                <w:sz w:val="18"/>
                <w:szCs w:val="18"/>
              </w:rPr>
            </w:pPr>
            <w:r w:rsidRPr="007D443A">
              <w:rPr>
                <w:sz w:val="18"/>
                <w:szCs w:val="18"/>
              </w:rPr>
              <w:t xml:space="preserve">The engagement with schools is in its early stages. The aim is to visit 100 schools, and to refine the programme as it progresses, using feedback from the first round of visits. </w:t>
            </w:r>
          </w:p>
          <w:p w14:paraId="4C75C68F" w14:textId="5A87EDE0" w:rsidR="00A91577" w:rsidRPr="007D443A" w:rsidRDefault="00A91577" w:rsidP="00A91577">
            <w:pPr>
              <w:pStyle w:val="Tabletext"/>
              <w:framePr w:hSpace="0" w:wrap="auto" w:vAnchor="margin" w:hAnchor="text" w:yAlign="inline"/>
            </w:pPr>
            <w:r w:rsidRPr="007D443A">
              <w:t xml:space="preserve">The PCC also aims to develop collaboration with Collaborate Digital to avoid overlap between the two. </w:t>
            </w:r>
          </w:p>
        </w:tc>
        <w:tc>
          <w:tcPr>
            <w:tcW w:w="2378" w:type="dxa"/>
            <w:vMerge w:val="restart"/>
            <w:shd w:val="clear" w:color="auto" w:fill="FFE599" w:themeFill="accent4" w:themeFillTint="66"/>
          </w:tcPr>
          <w:p w14:paraId="5D4F2FCB" w14:textId="1ED0E942" w:rsidR="00A91577" w:rsidRPr="007D443A" w:rsidRDefault="003B54DF" w:rsidP="00A91577">
            <w:pPr>
              <w:pStyle w:val="Tabletext"/>
              <w:framePr w:hSpace="0" w:wrap="auto" w:vAnchor="margin" w:hAnchor="text" w:yAlign="inline"/>
            </w:pPr>
            <w:r w:rsidRPr="007D443A">
              <w:t>PARTIALLY MET</w:t>
            </w:r>
          </w:p>
        </w:tc>
      </w:tr>
      <w:tr w:rsidR="00A91577" w14:paraId="7E7038A2" w14:textId="77777777" w:rsidTr="00443F58">
        <w:trPr>
          <w:cantSplit/>
          <w:trHeight w:val="219"/>
        </w:trPr>
        <w:tc>
          <w:tcPr>
            <w:tcW w:w="315" w:type="dxa"/>
            <w:shd w:val="clear" w:color="auto" w:fill="FFE599" w:themeFill="accent4" w:themeFillTint="66"/>
          </w:tcPr>
          <w:p w14:paraId="3170D339" w14:textId="77777777" w:rsidR="00A91577" w:rsidRDefault="00A91577" w:rsidP="00A91577">
            <w:pPr>
              <w:pStyle w:val="Tabletext"/>
              <w:framePr w:hSpace="0" w:wrap="auto" w:vAnchor="margin" w:hAnchor="text" w:yAlign="inline"/>
            </w:pPr>
          </w:p>
        </w:tc>
        <w:tc>
          <w:tcPr>
            <w:tcW w:w="2115" w:type="dxa"/>
            <w:shd w:val="clear" w:color="auto" w:fill="FFE599" w:themeFill="accent4" w:themeFillTint="66"/>
          </w:tcPr>
          <w:p w14:paraId="50640853" w14:textId="77777777" w:rsidR="00A91577" w:rsidRPr="007D443A" w:rsidRDefault="00A91577" w:rsidP="00A91577">
            <w:pPr>
              <w:pStyle w:val="Tabletext"/>
              <w:framePr w:hSpace="0" w:wrap="auto" w:vAnchor="margin" w:hAnchor="text" w:yAlign="inline"/>
            </w:pPr>
          </w:p>
        </w:tc>
        <w:tc>
          <w:tcPr>
            <w:tcW w:w="1665" w:type="dxa"/>
            <w:shd w:val="clear" w:color="auto" w:fill="FFE599" w:themeFill="accent4" w:themeFillTint="66"/>
          </w:tcPr>
          <w:p w14:paraId="28A03118" w14:textId="1CAEA864" w:rsidR="00A91577" w:rsidRPr="007D443A" w:rsidRDefault="00A91577" w:rsidP="00A91577">
            <w:pPr>
              <w:pStyle w:val="Tabletext"/>
              <w:framePr w:hSpace="0" w:wrap="auto" w:vAnchor="margin" w:hAnchor="text" w:yAlign="inline"/>
            </w:pPr>
          </w:p>
        </w:tc>
        <w:tc>
          <w:tcPr>
            <w:tcW w:w="1524" w:type="dxa"/>
            <w:shd w:val="clear" w:color="auto" w:fill="FFE599" w:themeFill="accent4" w:themeFillTint="66"/>
          </w:tcPr>
          <w:p w14:paraId="24883080" w14:textId="2D1BC058" w:rsidR="00A91577" w:rsidRPr="007D443A" w:rsidRDefault="00A91577" w:rsidP="00A91577">
            <w:pPr>
              <w:pStyle w:val="Tabletext"/>
              <w:framePr w:hSpace="0" w:wrap="auto" w:vAnchor="margin" w:hAnchor="text" w:yAlign="inline"/>
            </w:pPr>
          </w:p>
        </w:tc>
        <w:tc>
          <w:tcPr>
            <w:tcW w:w="6563" w:type="dxa"/>
            <w:shd w:val="clear" w:color="auto" w:fill="FFE599" w:themeFill="accent4" w:themeFillTint="66"/>
          </w:tcPr>
          <w:p w14:paraId="17B95C9E" w14:textId="60011CB2" w:rsidR="00A91577" w:rsidRPr="007D443A" w:rsidRDefault="00C8497B" w:rsidP="00A91577">
            <w:pPr>
              <w:pStyle w:val="Tabletext"/>
              <w:framePr w:hSpace="0" w:wrap="auto" w:vAnchor="margin" w:hAnchor="text" w:yAlign="inline"/>
              <w:rPr>
                <w:i/>
                <w:iCs/>
              </w:rPr>
            </w:pPr>
            <w:r w:rsidRPr="007D443A">
              <w:rPr>
                <w:i/>
                <w:iCs/>
              </w:rPr>
              <w:t xml:space="preserve">Visited </w:t>
            </w:r>
            <w:r w:rsidR="007442BC" w:rsidRPr="007D443A">
              <w:rPr>
                <w:i/>
                <w:iCs/>
              </w:rPr>
              <w:t>16 schools between Marc</w:t>
            </w:r>
            <w:r w:rsidR="00060902">
              <w:rPr>
                <w:i/>
                <w:iCs/>
              </w:rPr>
              <w:t>h</w:t>
            </w:r>
            <w:r w:rsidR="007442BC" w:rsidRPr="007D443A">
              <w:rPr>
                <w:i/>
                <w:iCs/>
              </w:rPr>
              <w:t xml:space="preserve"> and Octo</w:t>
            </w:r>
            <w:r w:rsidR="00FB2DA9">
              <w:rPr>
                <w:i/>
                <w:iCs/>
              </w:rPr>
              <w:t xml:space="preserve">ber </w:t>
            </w:r>
            <w:r w:rsidR="007442BC" w:rsidRPr="007D443A">
              <w:rPr>
                <w:i/>
                <w:iCs/>
              </w:rPr>
              <w:t>25; however announcement of abolition of PCCs has changed engagement focus.</w:t>
            </w:r>
            <w:r w:rsidR="005953A9">
              <w:rPr>
                <w:i/>
                <w:iCs/>
              </w:rPr>
              <w:t xml:space="preserve"> </w:t>
            </w:r>
            <w:r w:rsidR="009D62E8" w:rsidRPr="007D443A">
              <w:rPr>
                <w:i/>
                <w:iCs/>
              </w:rPr>
              <w:br/>
              <w:t xml:space="preserve">Saw over 1 500 pupils, and </w:t>
            </w:r>
            <w:r w:rsidR="00FB2DA9" w:rsidRPr="007D443A">
              <w:rPr>
                <w:i/>
                <w:iCs/>
              </w:rPr>
              <w:t>promoted</w:t>
            </w:r>
            <w:r w:rsidR="009D62E8" w:rsidRPr="007D443A">
              <w:rPr>
                <w:i/>
                <w:iCs/>
              </w:rPr>
              <w:t xml:space="preserve"> the </w:t>
            </w:r>
            <w:r w:rsidR="00FB2DA9" w:rsidRPr="007D443A">
              <w:rPr>
                <w:i/>
                <w:iCs/>
              </w:rPr>
              <w:t>stay</w:t>
            </w:r>
            <w:r w:rsidR="009D62E8" w:rsidRPr="007D443A">
              <w:rPr>
                <w:i/>
                <w:iCs/>
              </w:rPr>
              <w:t xml:space="preserve"> safe </w:t>
            </w:r>
            <w:r w:rsidR="00FB2DA9">
              <w:rPr>
                <w:i/>
                <w:iCs/>
              </w:rPr>
              <w:t xml:space="preserve">campaign </w:t>
            </w:r>
            <w:r w:rsidR="009D62E8" w:rsidRPr="007D443A">
              <w:rPr>
                <w:i/>
                <w:iCs/>
              </w:rPr>
              <w:t xml:space="preserve">and </w:t>
            </w:r>
            <w:r w:rsidR="00FB2DA9">
              <w:rPr>
                <w:i/>
                <w:iCs/>
              </w:rPr>
              <w:t xml:space="preserve">the </w:t>
            </w:r>
            <w:r w:rsidR="009D62E8" w:rsidRPr="007D443A">
              <w:rPr>
                <w:i/>
                <w:iCs/>
              </w:rPr>
              <w:t>safe</w:t>
            </w:r>
            <w:r w:rsidR="00FB2DA9">
              <w:rPr>
                <w:i/>
                <w:iCs/>
              </w:rPr>
              <w:t>r</w:t>
            </w:r>
            <w:r w:rsidR="009D62E8" w:rsidRPr="007D443A">
              <w:rPr>
                <w:i/>
                <w:iCs/>
              </w:rPr>
              <w:t xml:space="preserve"> use of </w:t>
            </w:r>
            <w:r w:rsidR="00FB2DA9" w:rsidRPr="007D443A">
              <w:rPr>
                <w:i/>
                <w:iCs/>
              </w:rPr>
              <w:t>internet</w:t>
            </w:r>
            <w:r w:rsidR="00FB2DA9">
              <w:rPr>
                <w:i/>
                <w:iCs/>
              </w:rPr>
              <w:t xml:space="preserve"> generally</w:t>
            </w:r>
            <w:r w:rsidR="00B95A1B">
              <w:rPr>
                <w:i/>
                <w:iCs/>
              </w:rPr>
              <w:t>.</w:t>
            </w:r>
          </w:p>
        </w:tc>
        <w:tc>
          <w:tcPr>
            <w:tcW w:w="2378" w:type="dxa"/>
            <w:vMerge/>
            <w:shd w:val="clear" w:color="auto" w:fill="FFE599" w:themeFill="accent4" w:themeFillTint="66"/>
          </w:tcPr>
          <w:p w14:paraId="3D22E321" w14:textId="77777777" w:rsidR="00A91577" w:rsidRPr="007D443A" w:rsidRDefault="00A91577" w:rsidP="00A91577">
            <w:pPr>
              <w:pStyle w:val="Tabletext"/>
              <w:framePr w:hSpace="0" w:wrap="auto" w:vAnchor="margin" w:hAnchor="text" w:yAlign="inline"/>
            </w:pPr>
          </w:p>
        </w:tc>
      </w:tr>
      <w:tr w:rsidR="00A91577" w14:paraId="6C3DC891" w14:textId="77777777" w:rsidTr="00BB187A">
        <w:trPr>
          <w:cantSplit/>
          <w:trHeight w:val="219"/>
        </w:trPr>
        <w:tc>
          <w:tcPr>
            <w:tcW w:w="315" w:type="dxa"/>
            <w:shd w:val="clear" w:color="auto" w:fill="FFE599" w:themeFill="accent4" w:themeFillTint="66"/>
          </w:tcPr>
          <w:p w14:paraId="3239A247" w14:textId="55A9A6C6" w:rsidR="00A91577" w:rsidRDefault="00A91577" w:rsidP="00A91577">
            <w:pPr>
              <w:pStyle w:val="Tabletext"/>
              <w:framePr w:hSpace="0" w:wrap="auto" w:vAnchor="margin" w:hAnchor="text" w:yAlign="inline"/>
            </w:pPr>
          </w:p>
        </w:tc>
        <w:tc>
          <w:tcPr>
            <w:tcW w:w="2115" w:type="dxa"/>
            <w:shd w:val="clear" w:color="auto" w:fill="FFE599" w:themeFill="accent4" w:themeFillTint="66"/>
          </w:tcPr>
          <w:p w14:paraId="68134858" w14:textId="77777777" w:rsidR="00A91577" w:rsidRPr="007D443A" w:rsidRDefault="00A91577" w:rsidP="00A91577">
            <w:pPr>
              <w:pStyle w:val="Tabletext"/>
              <w:framePr w:hSpace="0" w:wrap="auto" w:vAnchor="margin" w:hAnchor="text" w:yAlign="inline"/>
            </w:pPr>
            <w:r w:rsidRPr="007D443A">
              <w:t xml:space="preserve">B: Ensuring openness and </w:t>
            </w:r>
            <w:r w:rsidRPr="007D443A">
              <w:rPr>
                <w:color w:val="000000" w:themeColor="text1"/>
              </w:rPr>
              <w:t>comprehensive</w:t>
            </w:r>
            <w:r w:rsidRPr="007D443A">
              <w:t xml:space="preserve"> stakeholder engagement</w:t>
            </w:r>
          </w:p>
        </w:tc>
        <w:tc>
          <w:tcPr>
            <w:tcW w:w="1665" w:type="dxa"/>
            <w:shd w:val="clear" w:color="auto" w:fill="FFE599" w:themeFill="accent4" w:themeFillTint="66"/>
          </w:tcPr>
          <w:p w14:paraId="46CB4DE8" w14:textId="3FB00E42" w:rsidR="00A91577" w:rsidRPr="007D443A" w:rsidRDefault="00A91577" w:rsidP="00A91577">
            <w:pPr>
              <w:pStyle w:val="Tabletext"/>
              <w:framePr w:hSpace="0" w:wrap="auto" w:vAnchor="margin" w:hAnchor="text" w:yAlign="inline"/>
            </w:pPr>
            <w:r w:rsidRPr="007D443A">
              <w:t>Development of Performance and Delivery Board</w:t>
            </w:r>
          </w:p>
        </w:tc>
        <w:tc>
          <w:tcPr>
            <w:tcW w:w="1524" w:type="dxa"/>
            <w:shd w:val="clear" w:color="auto" w:fill="FFE599" w:themeFill="accent4" w:themeFillTint="66"/>
          </w:tcPr>
          <w:p w14:paraId="00789361" w14:textId="2DE51BD8" w:rsidR="00A91577" w:rsidRPr="007D443A" w:rsidRDefault="00A91577" w:rsidP="00A91577">
            <w:pPr>
              <w:pStyle w:val="Tabletext"/>
              <w:framePr w:hSpace="0" w:wrap="auto" w:vAnchor="margin" w:hAnchor="text" w:yAlign="inline"/>
            </w:pPr>
            <w:r w:rsidRPr="007D443A">
              <w:t xml:space="preserve">Head of </w:t>
            </w:r>
            <w:r w:rsidR="007F6C9D">
              <w:t xml:space="preserve">Governance and </w:t>
            </w:r>
            <w:r w:rsidRPr="007D443A">
              <w:t>Performance</w:t>
            </w:r>
          </w:p>
        </w:tc>
        <w:tc>
          <w:tcPr>
            <w:tcW w:w="6563" w:type="dxa"/>
            <w:shd w:val="clear" w:color="auto" w:fill="FFE599" w:themeFill="accent4" w:themeFillTint="66"/>
          </w:tcPr>
          <w:p w14:paraId="3FAEEEDE" w14:textId="71F57677" w:rsidR="00A91577" w:rsidRPr="007D443A" w:rsidRDefault="00A91577" w:rsidP="00A91577">
            <w:pPr>
              <w:rPr>
                <w:sz w:val="18"/>
                <w:szCs w:val="18"/>
              </w:rPr>
            </w:pPr>
            <w:r w:rsidRPr="007D443A">
              <w:rPr>
                <w:sz w:val="18"/>
                <w:szCs w:val="18"/>
              </w:rPr>
              <w:t>This project is in its initial stages, and it will be an on-going process of refinement over the next financial year.</w:t>
            </w:r>
            <w:r w:rsidR="005953A9">
              <w:rPr>
                <w:sz w:val="18"/>
                <w:szCs w:val="18"/>
              </w:rPr>
              <w:t xml:space="preserve"> </w:t>
            </w:r>
            <w:r w:rsidRPr="007D443A">
              <w:rPr>
                <w:sz w:val="18"/>
                <w:szCs w:val="18"/>
              </w:rPr>
              <w:t xml:space="preserve">It will also need to take account of the police reform and devolution agendas at the national level. </w:t>
            </w:r>
          </w:p>
          <w:p w14:paraId="2CBA9867" w14:textId="350E8295" w:rsidR="00A91577" w:rsidRPr="007D443A" w:rsidRDefault="00A91577" w:rsidP="00A91577">
            <w:pPr>
              <w:pStyle w:val="Tabletext"/>
              <w:framePr w:hSpace="0" w:wrap="auto" w:vAnchor="margin" w:hAnchor="text" w:yAlign="inline"/>
            </w:pPr>
            <w:r w:rsidRPr="007D443A">
              <w:t>The way in which the Board is broadcast will be reviewed to give a more professional look, and to increase public engagement.</w:t>
            </w:r>
          </w:p>
        </w:tc>
        <w:tc>
          <w:tcPr>
            <w:tcW w:w="2378" w:type="dxa"/>
            <w:vMerge w:val="restart"/>
            <w:shd w:val="clear" w:color="auto" w:fill="FFE599" w:themeFill="accent4" w:themeFillTint="66"/>
          </w:tcPr>
          <w:p w14:paraId="0D7568AF" w14:textId="481B06D3" w:rsidR="00A91577" w:rsidRPr="007D443A" w:rsidRDefault="00EF44EB" w:rsidP="00A91577">
            <w:pPr>
              <w:pStyle w:val="Tabletext"/>
              <w:framePr w:hSpace="0" w:wrap="auto" w:vAnchor="margin" w:hAnchor="text" w:yAlign="inline"/>
            </w:pPr>
            <w:r w:rsidRPr="007D443A">
              <w:t>MET</w:t>
            </w:r>
          </w:p>
        </w:tc>
      </w:tr>
      <w:tr w:rsidR="00A91577" w14:paraId="760485B4" w14:textId="77777777" w:rsidTr="00BB187A">
        <w:trPr>
          <w:cantSplit/>
          <w:trHeight w:val="219"/>
        </w:trPr>
        <w:tc>
          <w:tcPr>
            <w:tcW w:w="315" w:type="dxa"/>
            <w:shd w:val="clear" w:color="auto" w:fill="FFE599" w:themeFill="accent4" w:themeFillTint="66"/>
          </w:tcPr>
          <w:p w14:paraId="194453B5" w14:textId="77777777" w:rsidR="00A91577" w:rsidRDefault="00A91577" w:rsidP="00A91577">
            <w:pPr>
              <w:pStyle w:val="Tabletext"/>
              <w:framePr w:hSpace="0" w:wrap="auto" w:vAnchor="margin" w:hAnchor="text" w:yAlign="inline"/>
            </w:pPr>
          </w:p>
        </w:tc>
        <w:tc>
          <w:tcPr>
            <w:tcW w:w="2115" w:type="dxa"/>
            <w:shd w:val="clear" w:color="auto" w:fill="FFE599" w:themeFill="accent4" w:themeFillTint="66"/>
          </w:tcPr>
          <w:p w14:paraId="6D4C0DB5" w14:textId="77777777" w:rsidR="00A91577" w:rsidRPr="007D443A" w:rsidRDefault="00A91577" w:rsidP="00A91577">
            <w:pPr>
              <w:pStyle w:val="Tabletext"/>
              <w:framePr w:hSpace="0" w:wrap="auto" w:vAnchor="margin" w:hAnchor="text" w:yAlign="inline"/>
            </w:pPr>
          </w:p>
        </w:tc>
        <w:tc>
          <w:tcPr>
            <w:tcW w:w="1665" w:type="dxa"/>
            <w:shd w:val="clear" w:color="auto" w:fill="FFE599" w:themeFill="accent4" w:themeFillTint="66"/>
          </w:tcPr>
          <w:p w14:paraId="19B6D97C" w14:textId="6A20EFAC" w:rsidR="00A91577" w:rsidRPr="007D443A" w:rsidRDefault="00A91577" w:rsidP="00A91577">
            <w:pPr>
              <w:pStyle w:val="Tabletext"/>
              <w:framePr w:hSpace="0" w:wrap="auto" w:vAnchor="margin" w:hAnchor="text" w:yAlign="inline"/>
            </w:pPr>
          </w:p>
        </w:tc>
        <w:tc>
          <w:tcPr>
            <w:tcW w:w="1524" w:type="dxa"/>
            <w:shd w:val="clear" w:color="auto" w:fill="FFE599" w:themeFill="accent4" w:themeFillTint="66"/>
          </w:tcPr>
          <w:p w14:paraId="16C21FEC" w14:textId="4670A2C3" w:rsidR="00A91577" w:rsidRPr="007D443A" w:rsidRDefault="00A91577" w:rsidP="00A91577">
            <w:pPr>
              <w:pStyle w:val="Tabletext"/>
              <w:framePr w:hSpace="0" w:wrap="auto" w:vAnchor="margin" w:hAnchor="text" w:yAlign="inline"/>
            </w:pPr>
          </w:p>
        </w:tc>
        <w:tc>
          <w:tcPr>
            <w:tcW w:w="6563" w:type="dxa"/>
            <w:shd w:val="clear" w:color="auto" w:fill="FFE599" w:themeFill="accent4" w:themeFillTint="66"/>
          </w:tcPr>
          <w:p w14:paraId="304F6B37" w14:textId="435F2B50" w:rsidR="00A91577" w:rsidRPr="007D443A" w:rsidRDefault="00D878E3" w:rsidP="00A91577">
            <w:pPr>
              <w:pStyle w:val="Tabletext"/>
              <w:framePr w:hSpace="0" w:wrap="auto" w:vAnchor="margin" w:hAnchor="text" w:yAlign="inline"/>
              <w:rPr>
                <w:i/>
                <w:iCs/>
              </w:rPr>
            </w:pPr>
            <w:r w:rsidRPr="007D443A">
              <w:rPr>
                <w:i/>
                <w:iCs/>
              </w:rPr>
              <w:t xml:space="preserve">Various </w:t>
            </w:r>
            <w:r w:rsidR="00C765B5" w:rsidRPr="007D443A">
              <w:rPr>
                <w:i/>
                <w:iCs/>
              </w:rPr>
              <w:t xml:space="preserve">matters considered, and P&amp;D </w:t>
            </w:r>
            <w:r w:rsidR="00624D6D">
              <w:rPr>
                <w:i/>
                <w:iCs/>
              </w:rPr>
              <w:t xml:space="preserve">Board </w:t>
            </w:r>
            <w:r w:rsidR="00C765B5" w:rsidRPr="007D443A">
              <w:rPr>
                <w:i/>
                <w:iCs/>
              </w:rPr>
              <w:t xml:space="preserve">now </w:t>
            </w:r>
            <w:r w:rsidR="00FB2DA9" w:rsidRPr="007D443A">
              <w:rPr>
                <w:i/>
                <w:iCs/>
              </w:rPr>
              <w:t>focusing</w:t>
            </w:r>
            <w:r w:rsidR="00C765B5" w:rsidRPr="007D443A">
              <w:rPr>
                <w:i/>
                <w:iCs/>
              </w:rPr>
              <w:t xml:space="preserve"> on performance framework.</w:t>
            </w:r>
            <w:r w:rsidR="005953A9">
              <w:rPr>
                <w:i/>
                <w:iCs/>
              </w:rPr>
              <w:t xml:space="preserve"> </w:t>
            </w:r>
            <w:r w:rsidR="00FB2DA9" w:rsidRPr="007D443A">
              <w:rPr>
                <w:i/>
                <w:iCs/>
              </w:rPr>
              <w:t>Broadcasting</w:t>
            </w:r>
            <w:r w:rsidR="00C765B5" w:rsidRPr="007D443A">
              <w:rPr>
                <w:i/>
                <w:iCs/>
              </w:rPr>
              <w:t xml:space="preserve"> options reviewed, but </w:t>
            </w:r>
            <w:r w:rsidR="00720CE8" w:rsidRPr="007D443A">
              <w:rPr>
                <w:i/>
                <w:iCs/>
              </w:rPr>
              <w:t xml:space="preserve">decided to </w:t>
            </w:r>
            <w:r w:rsidR="00FB2DA9">
              <w:rPr>
                <w:i/>
                <w:iCs/>
              </w:rPr>
              <w:t xml:space="preserve">keep </w:t>
            </w:r>
            <w:r w:rsidR="00720CE8" w:rsidRPr="007D443A">
              <w:rPr>
                <w:i/>
                <w:iCs/>
              </w:rPr>
              <w:t xml:space="preserve">current arrangements. </w:t>
            </w:r>
          </w:p>
        </w:tc>
        <w:tc>
          <w:tcPr>
            <w:tcW w:w="2378" w:type="dxa"/>
            <w:vMerge/>
            <w:shd w:val="clear" w:color="auto" w:fill="FFE599" w:themeFill="accent4" w:themeFillTint="66"/>
          </w:tcPr>
          <w:p w14:paraId="71D0E595" w14:textId="77777777" w:rsidR="00A91577" w:rsidRPr="007D443A" w:rsidRDefault="00A91577" w:rsidP="00A91577">
            <w:pPr>
              <w:pStyle w:val="Tabletext"/>
              <w:framePr w:hSpace="0" w:wrap="auto" w:vAnchor="margin" w:hAnchor="text" w:yAlign="inline"/>
            </w:pPr>
          </w:p>
        </w:tc>
      </w:tr>
      <w:tr w:rsidR="00A91577" w14:paraId="58E62C66" w14:textId="77777777" w:rsidTr="00443F58">
        <w:trPr>
          <w:cantSplit/>
          <w:trHeight w:val="219"/>
        </w:trPr>
        <w:tc>
          <w:tcPr>
            <w:tcW w:w="315" w:type="dxa"/>
            <w:shd w:val="clear" w:color="auto" w:fill="FFE599" w:themeFill="accent4" w:themeFillTint="66"/>
          </w:tcPr>
          <w:p w14:paraId="268A3EE8" w14:textId="686FE73F" w:rsidR="00A91577" w:rsidRDefault="00A91577" w:rsidP="00A91577">
            <w:pPr>
              <w:pStyle w:val="Tabletext"/>
              <w:framePr w:hSpace="0" w:wrap="auto" w:vAnchor="margin" w:hAnchor="text" w:yAlign="inline"/>
            </w:pPr>
            <w:r>
              <w:t xml:space="preserve"> </w:t>
            </w:r>
          </w:p>
        </w:tc>
        <w:tc>
          <w:tcPr>
            <w:tcW w:w="2115" w:type="dxa"/>
            <w:shd w:val="clear" w:color="auto" w:fill="FFE599" w:themeFill="accent4" w:themeFillTint="66"/>
          </w:tcPr>
          <w:p w14:paraId="209C0F25" w14:textId="77777777" w:rsidR="00A91577" w:rsidRPr="007D443A" w:rsidRDefault="00A91577" w:rsidP="00A91577">
            <w:pPr>
              <w:pStyle w:val="Tabletext"/>
              <w:framePr w:hSpace="0" w:wrap="auto" w:vAnchor="margin" w:hAnchor="text" w:yAlign="inline"/>
            </w:pPr>
            <w:r w:rsidRPr="007D443A">
              <w:t xml:space="preserve">B: Ensuring openness and </w:t>
            </w:r>
            <w:r w:rsidRPr="007D443A">
              <w:rPr>
                <w:color w:val="000000" w:themeColor="text1"/>
              </w:rPr>
              <w:t>comprehensive</w:t>
            </w:r>
            <w:r w:rsidRPr="007D443A">
              <w:t xml:space="preserve"> stakeholder engagement</w:t>
            </w:r>
          </w:p>
        </w:tc>
        <w:tc>
          <w:tcPr>
            <w:tcW w:w="1665" w:type="dxa"/>
            <w:shd w:val="clear" w:color="auto" w:fill="FFE599" w:themeFill="accent4" w:themeFillTint="66"/>
          </w:tcPr>
          <w:p w14:paraId="1DFDAF26" w14:textId="130B28A8" w:rsidR="00A91577" w:rsidRPr="007D443A" w:rsidRDefault="00A91577" w:rsidP="00A91577">
            <w:pPr>
              <w:pStyle w:val="Tabletext"/>
              <w:framePr w:hSpace="0" w:wrap="auto" w:vAnchor="margin" w:hAnchor="text" w:yAlign="inline"/>
            </w:pPr>
            <w:r w:rsidRPr="007D443A">
              <w:t>Re-commissioning of ISVA and Therapy Services</w:t>
            </w:r>
          </w:p>
        </w:tc>
        <w:tc>
          <w:tcPr>
            <w:tcW w:w="1524" w:type="dxa"/>
            <w:shd w:val="clear" w:color="auto" w:fill="FFE599" w:themeFill="accent4" w:themeFillTint="66"/>
          </w:tcPr>
          <w:p w14:paraId="2834FAD4" w14:textId="2E237073" w:rsidR="00A91577" w:rsidRPr="007D443A" w:rsidRDefault="00A91577" w:rsidP="00A91577">
            <w:pPr>
              <w:pStyle w:val="Tabletext"/>
              <w:framePr w:hSpace="0" w:wrap="auto" w:vAnchor="margin" w:hAnchor="text" w:yAlign="inline"/>
            </w:pPr>
            <w:r w:rsidRPr="007D443A">
              <w:t>Head of Commissioning</w:t>
            </w:r>
          </w:p>
        </w:tc>
        <w:tc>
          <w:tcPr>
            <w:tcW w:w="6563" w:type="dxa"/>
            <w:shd w:val="clear" w:color="auto" w:fill="FFE599" w:themeFill="accent4" w:themeFillTint="66"/>
          </w:tcPr>
          <w:p w14:paraId="13876F6F" w14:textId="209DC731" w:rsidR="00A91577" w:rsidRPr="007D443A" w:rsidRDefault="00A91577" w:rsidP="00A91577">
            <w:pPr>
              <w:pStyle w:val="Tabletext"/>
              <w:framePr w:hSpace="0" w:wrap="auto" w:vAnchor="margin" w:hAnchor="text" w:yAlign="inline"/>
            </w:pPr>
            <w:r w:rsidRPr="007D443A">
              <w:t>There is a need to further develop and refine the process to ensure that the engagement programme to ensure it does not re-traumatise victims.</w:t>
            </w:r>
          </w:p>
        </w:tc>
        <w:tc>
          <w:tcPr>
            <w:tcW w:w="2378" w:type="dxa"/>
            <w:vMerge w:val="restart"/>
            <w:shd w:val="clear" w:color="auto" w:fill="FFE599" w:themeFill="accent4" w:themeFillTint="66"/>
          </w:tcPr>
          <w:p w14:paraId="233F928F" w14:textId="76CF944F" w:rsidR="00A91577" w:rsidRPr="007D443A" w:rsidRDefault="005A45B1" w:rsidP="00A91577">
            <w:pPr>
              <w:pStyle w:val="Tabletext"/>
              <w:framePr w:hSpace="0" w:wrap="auto" w:vAnchor="margin" w:hAnchor="text" w:yAlign="inline"/>
            </w:pPr>
            <w:r w:rsidRPr="007D443A">
              <w:t>MET</w:t>
            </w:r>
          </w:p>
        </w:tc>
      </w:tr>
      <w:tr w:rsidR="00BB187A" w14:paraId="05539F84" w14:textId="77777777" w:rsidTr="00443F58">
        <w:trPr>
          <w:cantSplit/>
          <w:trHeight w:val="219"/>
        </w:trPr>
        <w:tc>
          <w:tcPr>
            <w:tcW w:w="315" w:type="dxa"/>
            <w:shd w:val="clear" w:color="auto" w:fill="FFE599" w:themeFill="accent4" w:themeFillTint="66"/>
          </w:tcPr>
          <w:p w14:paraId="11422497" w14:textId="77777777" w:rsidR="00BB187A" w:rsidRDefault="00BB187A" w:rsidP="00BB187A">
            <w:pPr>
              <w:pStyle w:val="Tabletext"/>
              <w:framePr w:hSpace="0" w:wrap="auto" w:vAnchor="margin" w:hAnchor="text" w:yAlign="inline"/>
            </w:pPr>
          </w:p>
        </w:tc>
        <w:tc>
          <w:tcPr>
            <w:tcW w:w="2115" w:type="dxa"/>
            <w:shd w:val="clear" w:color="auto" w:fill="FFE599" w:themeFill="accent4" w:themeFillTint="66"/>
          </w:tcPr>
          <w:p w14:paraId="31827F09" w14:textId="77777777" w:rsidR="00BB187A" w:rsidRPr="007D443A" w:rsidRDefault="00BB187A" w:rsidP="00BB187A">
            <w:pPr>
              <w:pStyle w:val="Tabletext"/>
              <w:framePr w:hSpace="0" w:wrap="auto" w:vAnchor="margin" w:hAnchor="text" w:yAlign="inline"/>
            </w:pPr>
          </w:p>
        </w:tc>
        <w:tc>
          <w:tcPr>
            <w:tcW w:w="1665" w:type="dxa"/>
            <w:shd w:val="clear" w:color="auto" w:fill="FFE599" w:themeFill="accent4" w:themeFillTint="66"/>
          </w:tcPr>
          <w:p w14:paraId="76504F5D" w14:textId="77777777" w:rsidR="00BB187A" w:rsidRPr="007D443A" w:rsidRDefault="00BB187A" w:rsidP="00BB187A">
            <w:pPr>
              <w:pStyle w:val="Tabletext"/>
              <w:framePr w:hSpace="0" w:wrap="auto" w:vAnchor="margin" w:hAnchor="text" w:yAlign="inline"/>
            </w:pPr>
          </w:p>
        </w:tc>
        <w:tc>
          <w:tcPr>
            <w:tcW w:w="1524" w:type="dxa"/>
            <w:shd w:val="clear" w:color="auto" w:fill="FFE599" w:themeFill="accent4" w:themeFillTint="66"/>
          </w:tcPr>
          <w:p w14:paraId="02018D7D" w14:textId="77777777" w:rsidR="00BB187A" w:rsidRPr="007D443A" w:rsidRDefault="00BB187A" w:rsidP="00BB187A">
            <w:pPr>
              <w:pStyle w:val="Tabletext"/>
              <w:framePr w:hSpace="0" w:wrap="auto" w:vAnchor="margin" w:hAnchor="text" w:yAlign="inline"/>
            </w:pPr>
          </w:p>
        </w:tc>
        <w:tc>
          <w:tcPr>
            <w:tcW w:w="6563" w:type="dxa"/>
            <w:shd w:val="clear" w:color="auto" w:fill="FFE599" w:themeFill="accent4" w:themeFillTint="66"/>
          </w:tcPr>
          <w:p w14:paraId="27843F5A" w14:textId="2F1199B9" w:rsidR="00BB187A" w:rsidRPr="00FB2DA9" w:rsidRDefault="005A45B1" w:rsidP="00BB187A">
            <w:pPr>
              <w:pStyle w:val="Tabletext"/>
              <w:framePr w:hSpace="0" w:wrap="auto" w:vAnchor="margin" w:hAnchor="text" w:yAlign="inline"/>
              <w:rPr>
                <w:i/>
                <w:iCs/>
              </w:rPr>
            </w:pPr>
            <w:r w:rsidRPr="00FB2DA9">
              <w:rPr>
                <w:i/>
                <w:iCs/>
              </w:rPr>
              <w:t>Re-</w:t>
            </w:r>
            <w:r w:rsidR="00FB2DA9" w:rsidRPr="00FB2DA9">
              <w:rPr>
                <w:i/>
                <w:iCs/>
              </w:rPr>
              <w:t>commissioning</w:t>
            </w:r>
            <w:r w:rsidR="00F92CD7" w:rsidRPr="00FB2DA9">
              <w:rPr>
                <w:i/>
                <w:iCs/>
              </w:rPr>
              <w:t xml:space="preserve"> completed </w:t>
            </w:r>
            <w:r w:rsidR="00B23B36" w:rsidRPr="00FB2DA9">
              <w:rPr>
                <w:i/>
                <w:iCs/>
              </w:rPr>
              <w:t>1</w:t>
            </w:r>
            <w:r w:rsidR="00B23B36" w:rsidRPr="00FB2DA9">
              <w:rPr>
                <w:i/>
                <w:iCs/>
                <w:vertAlign w:val="superscript"/>
              </w:rPr>
              <w:t>st</w:t>
            </w:r>
            <w:r w:rsidR="00B23B36" w:rsidRPr="00FB2DA9">
              <w:rPr>
                <w:i/>
                <w:iCs/>
              </w:rPr>
              <w:t xml:space="preserve"> April 2026</w:t>
            </w:r>
            <w:r w:rsidR="00AE4C3D" w:rsidRPr="00FB2DA9">
              <w:rPr>
                <w:i/>
                <w:iCs/>
              </w:rPr>
              <w:t>; engagement with victims was positive</w:t>
            </w:r>
            <w:r w:rsidR="00765163">
              <w:rPr>
                <w:i/>
                <w:iCs/>
              </w:rPr>
              <w:t>.</w:t>
            </w:r>
          </w:p>
        </w:tc>
        <w:tc>
          <w:tcPr>
            <w:tcW w:w="2378" w:type="dxa"/>
            <w:vMerge/>
            <w:shd w:val="clear" w:color="auto" w:fill="FFE599" w:themeFill="accent4" w:themeFillTint="66"/>
          </w:tcPr>
          <w:p w14:paraId="177F2FA6" w14:textId="77777777" w:rsidR="00BB187A" w:rsidRPr="007D443A" w:rsidRDefault="00BB187A" w:rsidP="00BB187A">
            <w:pPr>
              <w:pStyle w:val="Tabletext"/>
              <w:framePr w:hSpace="0" w:wrap="auto" w:vAnchor="margin" w:hAnchor="text" w:yAlign="inline"/>
            </w:pPr>
          </w:p>
        </w:tc>
      </w:tr>
      <w:tr w:rsidR="00A91577" w14:paraId="36A2367C" w14:textId="77777777" w:rsidTr="00443F58">
        <w:trPr>
          <w:cantSplit/>
          <w:trHeight w:val="219"/>
        </w:trPr>
        <w:tc>
          <w:tcPr>
            <w:tcW w:w="315" w:type="dxa"/>
            <w:shd w:val="clear" w:color="auto" w:fill="FFF2CC" w:themeFill="accent4" w:themeFillTint="33"/>
          </w:tcPr>
          <w:p w14:paraId="741B44DF" w14:textId="5660233A" w:rsidR="00A91577" w:rsidRPr="00E46734" w:rsidRDefault="00443F58" w:rsidP="00A91577">
            <w:pPr>
              <w:pStyle w:val="Tabletext"/>
              <w:framePr w:hSpace="0" w:wrap="auto" w:vAnchor="margin" w:hAnchor="text" w:yAlign="inline"/>
            </w:pPr>
            <w:r>
              <w:t>3</w:t>
            </w:r>
          </w:p>
        </w:tc>
        <w:tc>
          <w:tcPr>
            <w:tcW w:w="2115" w:type="dxa"/>
            <w:shd w:val="clear" w:color="auto" w:fill="FFF2CC" w:themeFill="accent4" w:themeFillTint="33"/>
          </w:tcPr>
          <w:p w14:paraId="552E0883" w14:textId="77777777" w:rsidR="00A91577" w:rsidRPr="007D443A" w:rsidRDefault="00A91577" w:rsidP="00A91577">
            <w:pPr>
              <w:pStyle w:val="Tabletext"/>
              <w:framePr w:hSpace="0" w:wrap="auto" w:vAnchor="margin" w:hAnchor="text" w:yAlign="inline"/>
            </w:pPr>
            <w:r w:rsidRPr="007D443A">
              <w:t>C. Defining outcomes in terms of sustainable service and economic benefits</w:t>
            </w:r>
          </w:p>
        </w:tc>
        <w:tc>
          <w:tcPr>
            <w:tcW w:w="1665" w:type="dxa"/>
            <w:shd w:val="clear" w:color="auto" w:fill="FFF2CC" w:themeFill="accent4" w:themeFillTint="33"/>
          </w:tcPr>
          <w:p w14:paraId="620959D6" w14:textId="2E592894" w:rsidR="00A91577" w:rsidRPr="007D443A" w:rsidRDefault="00A91577" w:rsidP="00A91577">
            <w:pPr>
              <w:pStyle w:val="Tabletext"/>
              <w:framePr w:hSpace="0" w:wrap="auto" w:vAnchor="margin" w:hAnchor="text" w:yAlign="inline"/>
            </w:pPr>
            <w:r w:rsidRPr="007D443A">
              <w:t>Improving Management of Criminal Justice Partnership work</w:t>
            </w:r>
          </w:p>
        </w:tc>
        <w:tc>
          <w:tcPr>
            <w:tcW w:w="1524" w:type="dxa"/>
            <w:shd w:val="clear" w:color="auto" w:fill="FFF2CC" w:themeFill="accent4" w:themeFillTint="33"/>
          </w:tcPr>
          <w:p w14:paraId="6F78E23C" w14:textId="2D7681AB" w:rsidR="00A91577" w:rsidRPr="007D443A" w:rsidRDefault="00A91577" w:rsidP="00A91577">
            <w:pPr>
              <w:pStyle w:val="Tabletext"/>
              <w:framePr w:hSpace="0" w:wrap="auto" w:vAnchor="margin" w:hAnchor="text" w:yAlign="inline"/>
              <w:rPr>
                <w:spacing w:val="-4"/>
              </w:rPr>
            </w:pPr>
            <w:r w:rsidRPr="007D443A">
              <w:t>Chief Executive and KCJB Manager</w:t>
            </w:r>
          </w:p>
        </w:tc>
        <w:tc>
          <w:tcPr>
            <w:tcW w:w="6563" w:type="dxa"/>
            <w:shd w:val="clear" w:color="auto" w:fill="FFF2CC" w:themeFill="accent4" w:themeFillTint="33"/>
          </w:tcPr>
          <w:p w14:paraId="36595709" w14:textId="5F2EFF13" w:rsidR="00A91577" w:rsidRPr="007D443A" w:rsidRDefault="00A91577" w:rsidP="00A91577">
            <w:pPr>
              <w:rPr>
                <w:sz w:val="18"/>
                <w:szCs w:val="18"/>
              </w:rPr>
            </w:pPr>
            <w:r w:rsidRPr="007D443A">
              <w:rPr>
                <w:sz w:val="18"/>
                <w:szCs w:val="18"/>
              </w:rPr>
              <w:t>There are significant issues with each organisation having its own data sets. This makes it challenging to both access data and to pull together for to a comprehensive Board pack.</w:t>
            </w:r>
            <w:r w:rsidR="005953A9">
              <w:rPr>
                <w:sz w:val="18"/>
                <w:szCs w:val="18"/>
              </w:rPr>
              <w:t xml:space="preserve"> </w:t>
            </w:r>
          </w:p>
          <w:p w14:paraId="15540E46" w14:textId="738EEA66" w:rsidR="00A91577" w:rsidRPr="007D443A" w:rsidRDefault="00A91577" w:rsidP="00A91577">
            <w:pPr>
              <w:pStyle w:val="Tabletext"/>
              <w:framePr w:hSpace="0" w:wrap="auto" w:vAnchor="margin" w:hAnchor="text" w:yAlign="inline"/>
            </w:pPr>
            <w:r w:rsidRPr="007D443A">
              <w:t>The OPCC will also lobby government to try to break down some of the barriers around siloed funding and national contracts.</w:t>
            </w:r>
            <w:r w:rsidR="005953A9">
              <w:t xml:space="preserve"> </w:t>
            </w:r>
          </w:p>
        </w:tc>
        <w:tc>
          <w:tcPr>
            <w:tcW w:w="2378" w:type="dxa"/>
            <w:vMerge w:val="restart"/>
            <w:shd w:val="clear" w:color="auto" w:fill="FFF2CC" w:themeFill="accent4" w:themeFillTint="33"/>
          </w:tcPr>
          <w:p w14:paraId="178DD146" w14:textId="30939996" w:rsidR="00A91577" w:rsidRPr="007D443A" w:rsidRDefault="007A0A35" w:rsidP="00A91577">
            <w:pPr>
              <w:pStyle w:val="Tabletext"/>
              <w:framePr w:hSpace="0" w:wrap="auto" w:vAnchor="margin" w:hAnchor="text" w:yAlign="inline"/>
            </w:pPr>
            <w:r w:rsidRPr="007D443A">
              <w:t xml:space="preserve">PARTIALLY </w:t>
            </w:r>
            <w:r w:rsidR="00364098" w:rsidRPr="007D443A">
              <w:t>MET</w:t>
            </w:r>
          </w:p>
        </w:tc>
      </w:tr>
      <w:tr w:rsidR="00BB187A" w14:paraId="5BE514C8" w14:textId="77777777" w:rsidTr="00443F58">
        <w:trPr>
          <w:cantSplit/>
          <w:trHeight w:val="219"/>
        </w:trPr>
        <w:tc>
          <w:tcPr>
            <w:tcW w:w="315" w:type="dxa"/>
            <w:shd w:val="clear" w:color="auto" w:fill="FFF2CC" w:themeFill="accent4" w:themeFillTint="33"/>
          </w:tcPr>
          <w:p w14:paraId="0810F48A" w14:textId="77777777" w:rsidR="00BB187A" w:rsidRDefault="00BB187A" w:rsidP="00BB187A">
            <w:pPr>
              <w:pStyle w:val="Tabletext"/>
              <w:framePr w:hSpace="0" w:wrap="auto" w:vAnchor="margin" w:hAnchor="text" w:yAlign="inline"/>
            </w:pPr>
          </w:p>
        </w:tc>
        <w:tc>
          <w:tcPr>
            <w:tcW w:w="2115" w:type="dxa"/>
            <w:shd w:val="clear" w:color="auto" w:fill="FFF2CC" w:themeFill="accent4" w:themeFillTint="33"/>
          </w:tcPr>
          <w:p w14:paraId="0D81FC2C" w14:textId="77777777" w:rsidR="00BB187A" w:rsidRPr="007D443A" w:rsidRDefault="00BB187A" w:rsidP="00BB187A">
            <w:pPr>
              <w:pStyle w:val="Tabletext"/>
              <w:framePr w:hSpace="0" w:wrap="auto" w:vAnchor="margin" w:hAnchor="text" w:yAlign="inline"/>
            </w:pPr>
          </w:p>
        </w:tc>
        <w:tc>
          <w:tcPr>
            <w:tcW w:w="1665" w:type="dxa"/>
            <w:shd w:val="clear" w:color="auto" w:fill="FFF2CC" w:themeFill="accent4" w:themeFillTint="33"/>
          </w:tcPr>
          <w:p w14:paraId="4EB3D3A3" w14:textId="77777777" w:rsidR="00BB187A" w:rsidRPr="007D443A" w:rsidRDefault="00BB187A" w:rsidP="00BB187A">
            <w:pPr>
              <w:pStyle w:val="Tabletext"/>
              <w:framePr w:hSpace="0" w:wrap="auto" w:vAnchor="margin" w:hAnchor="text" w:yAlign="inline"/>
            </w:pPr>
          </w:p>
        </w:tc>
        <w:tc>
          <w:tcPr>
            <w:tcW w:w="1524" w:type="dxa"/>
            <w:shd w:val="clear" w:color="auto" w:fill="FFF2CC" w:themeFill="accent4" w:themeFillTint="33"/>
          </w:tcPr>
          <w:p w14:paraId="63CB0222" w14:textId="77777777" w:rsidR="00BB187A" w:rsidRPr="007D443A" w:rsidRDefault="00BB187A" w:rsidP="00BB187A">
            <w:pPr>
              <w:pStyle w:val="Tabletext"/>
              <w:framePr w:hSpace="0" w:wrap="auto" w:vAnchor="margin" w:hAnchor="text" w:yAlign="inline"/>
            </w:pPr>
          </w:p>
        </w:tc>
        <w:tc>
          <w:tcPr>
            <w:tcW w:w="6563" w:type="dxa"/>
            <w:shd w:val="clear" w:color="auto" w:fill="FFF2CC" w:themeFill="accent4" w:themeFillTint="33"/>
          </w:tcPr>
          <w:p w14:paraId="248CC84B" w14:textId="33E34460" w:rsidR="00BB187A" w:rsidRPr="00B47F0D" w:rsidRDefault="00CA74E5" w:rsidP="00BB187A">
            <w:pPr>
              <w:pStyle w:val="Tabletext"/>
              <w:framePr w:hSpace="0" w:wrap="auto" w:vAnchor="margin" w:hAnchor="text" w:yAlign="inline"/>
              <w:rPr>
                <w:i/>
                <w:iCs/>
              </w:rPr>
            </w:pPr>
            <w:r w:rsidRPr="00B47F0D">
              <w:rPr>
                <w:i/>
                <w:iCs/>
              </w:rPr>
              <w:t xml:space="preserve">There is now a performance data pack containing </w:t>
            </w:r>
            <w:r w:rsidR="00CE27BE" w:rsidRPr="00B47F0D">
              <w:rPr>
                <w:i/>
                <w:iCs/>
              </w:rPr>
              <w:t>most</w:t>
            </w:r>
            <w:r w:rsidRPr="00B47F0D">
              <w:rPr>
                <w:i/>
                <w:iCs/>
              </w:rPr>
              <w:t xml:space="preserve"> relevant partners’ data. </w:t>
            </w:r>
            <w:r w:rsidR="00E2172C" w:rsidRPr="00B47F0D">
              <w:rPr>
                <w:i/>
                <w:iCs/>
              </w:rPr>
              <w:t xml:space="preserve">Work is </w:t>
            </w:r>
            <w:r w:rsidR="00FB2DA9" w:rsidRPr="00B47F0D">
              <w:rPr>
                <w:i/>
                <w:iCs/>
              </w:rPr>
              <w:t>on-going</w:t>
            </w:r>
            <w:r w:rsidR="00E2172C" w:rsidRPr="00B47F0D">
              <w:rPr>
                <w:i/>
                <w:iCs/>
              </w:rPr>
              <w:t xml:space="preserve"> to get final few partners’ data included.</w:t>
            </w:r>
            <w:r w:rsidR="005953A9">
              <w:rPr>
                <w:i/>
                <w:iCs/>
              </w:rPr>
              <w:t xml:space="preserve"> </w:t>
            </w:r>
            <w:r w:rsidRPr="00B47F0D">
              <w:rPr>
                <w:i/>
                <w:iCs/>
              </w:rPr>
              <w:t>This is</w:t>
            </w:r>
            <w:r w:rsidR="00364098" w:rsidRPr="00B47F0D">
              <w:rPr>
                <w:i/>
                <w:iCs/>
              </w:rPr>
              <w:t xml:space="preserve"> used at Core </w:t>
            </w:r>
            <w:r w:rsidR="00B47F0D" w:rsidRPr="00B47F0D">
              <w:rPr>
                <w:i/>
                <w:iCs/>
              </w:rPr>
              <w:t>Performance</w:t>
            </w:r>
            <w:r w:rsidR="00364098" w:rsidRPr="00B47F0D">
              <w:rPr>
                <w:i/>
                <w:iCs/>
              </w:rPr>
              <w:t xml:space="preserve"> Group and informs KCJB</w:t>
            </w:r>
            <w:r w:rsidR="001034D5" w:rsidRPr="00B47F0D">
              <w:rPr>
                <w:i/>
                <w:iCs/>
              </w:rPr>
              <w:t>.</w:t>
            </w:r>
            <w:r w:rsidR="005953A9">
              <w:rPr>
                <w:i/>
                <w:iCs/>
              </w:rPr>
              <w:t xml:space="preserve"> </w:t>
            </w:r>
            <w:r w:rsidR="001034D5" w:rsidRPr="00B47F0D">
              <w:rPr>
                <w:i/>
                <w:iCs/>
              </w:rPr>
              <w:t xml:space="preserve">Working to ensure that </w:t>
            </w:r>
            <w:r w:rsidR="00487018">
              <w:rPr>
                <w:i/>
                <w:iCs/>
              </w:rPr>
              <w:t xml:space="preserve">review </w:t>
            </w:r>
            <w:r w:rsidR="00153858">
              <w:rPr>
                <w:i/>
                <w:iCs/>
              </w:rPr>
              <w:t xml:space="preserve">and </w:t>
            </w:r>
            <w:r w:rsidR="008D25C1">
              <w:rPr>
                <w:i/>
                <w:iCs/>
              </w:rPr>
              <w:t xml:space="preserve">discussion around </w:t>
            </w:r>
            <w:r w:rsidR="00153858">
              <w:rPr>
                <w:i/>
                <w:iCs/>
              </w:rPr>
              <w:t xml:space="preserve">interpretation </w:t>
            </w:r>
            <w:r w:rsidR="00487018">
              <w:rPr>
                <w:i/>
                <w:iCs/>
              </w:rPr>
              <w:t xml:space="preserve">of data </w:t>
            </w:r>
            <w:r w:rsidR="00B47F0D" w:rsidRPr="00B47F0D">
              <w:rPr>
                <w:i/>
                <w:iCs/>
              </w:rPr>
              <w:t>takes place at the CPG</w:t>
            </w:r>
            <w:r w:rsidR="001034D5" w:rsidRPr="00B47F0D">
              <w:rPr>
                <w:i/>
                <w:iCs/>
              </w:rPr>
              <w:t xml:space="preserve">, and </w:t>
            </w:r>
            <w:r w:rsidR="00CE27BE" w:rsidRPr="00B47F0D">
              <w:rPr>
                <w:i/>
                <w:iCs/>
              </w:rPr>
              <w:t xml:space="preserve">that KCJB </w:t>
            </w:r>
            <w:r w:rsidR="00B47F0D" w:rsidRPr="00B47F0D">
              <w:rPr>
                <w:i/>
                <w:iCs/>
              </w:rPr>
              <w:t>remains</w:t>
            </w:r>
            <w:r w:rsidR="00CE27BE" w:rsidRPr="00B47F0D">
              <w:rPr>
                <w:i/>
                <w:iCs/>
              </w:rPr>
              <w:t xml:space="preserve"> strategic</w:t>
            </w:r>
            <w:r w:rsidR="00BC7736">
              <w:rPr>
                <w:i/>
                <w:iCs/>
              </w:rPr>
              <w:t>.</w:t>
            </w:r>
            <w:r w:rsidR="005953A9">
              <w:rPr>
                <w:i/>
                <w:iCs/>
              </w:rPr>
              <w:t xml:space="preserve"> </w:t>
            </w:r>
            <w:r w:rsidR="00487D40">
              <w:rPr>
                <w:i/>
                <w:iCs/>
              </w:rPr>
              <w:t xml:space="preserve">Engagement with Government </w:t>
            </w:r>
            <w:r w:rsidR="004B6F0F">
              <w:rPr>
                <w:i/>
                <w:iCs/>
              </w:rPr>
              <w:t>continues</w:t>
            </w:r>
            <w:r w:rsidR="00CA2B98">
              <w:rPr>
                <w:i/>
                <w:iCs/>
              </w:rPr>
              <w:t>.</w:t>
            </w:r>
          </w:p>
        </w:tc>
        <w:tc>
          <w:tcPr>
            <w:tcW w:w="2378" w:type="dxa"/>
            <w:vMerge/>
            <w:shd w:val="clear" w:color="auto" w:fill="FFF2CC" w:themeFill="accent4" w:themeFillTint="33"/>
          </w:tcPr>
          <w:p w14:paraId="47ECA0E4" w14:textId="77777777" w:rsidR="00BB187A" w:rsidRPr="007D443A" w:rsidRDefault="00BB187A" w:rsidP="00BB187A">
            <w:pPr>
              <w:pStyle w:val="Tabletext"/>
              <w:framePr w:hSpace="0" w:wrap="auto" w:vAnchor="margin" w:hAnchor="text" w:yAlign="inline"/>
            </w:pPr>
          </w:p>
        </w:tc>
      </w:tr>
      <w:tr w:rsidR="002F10F4" w14:paraId="5B66DC28" w14:textId="77777777" w:rsidTr="00443F58">
        <w:trPr>
          <w:cantSplit/>
          <w:trHeight w:val="219"/>
        </w:trPr>
        <w:tc>
          <w:tcPr>
            <w:tcW w:w="315" w:type="dxa"/>
            <w:shd w:val="clear" w:color="auto" w:fill="FFF2CC" w:themeFill="accent4" w:themeFillTint="33"/>
          </w:tcPr>
          <w:p w14:paraId="3CA6F992" w14:textId="77777777" w:rsidR="002F10F4" w:rsidRDefault="002F10F4" w:rsidP="002F10F4">
            <w:pPr>
              <w:pStyle w:val="Tabletext"/>
              <w:framePr w:hSpace="0" w:wrap="auto" w:vAnchor="margin" w:hAnchor="text" w:yAlign="inline"/>
            </w:pPr>
          </w:p>
        </w:tc>
        <w:tc>
          <w:tcPr>
            <w:tcW w:w="2115" w:type="dxa"/>
            <w:shd w:val="clear" w:color="auto" w:fill="FFF2CC" w:themeFill="accent4" w:themeFillTint="33"/>
          </w:tcPr>
          <w:p w14:paraId="6CC121A4" w14:textId="77777777" w:rsidR="002F10F4" w:rsidRPr="007D443A" w:rsidRDefault="002F10F4" w:rsidP="002F10F4">
            <w:pPr>
              <w:pStyle w:val="Tabletext"/>
              <w:framePr w:hSpace="0" w:wrap="auto" w:vAnchor="margin" w:hAnchor="text" w:yAlign="inline"/>
            </w:pPr>
          </w:p>
        </w:tc>
        <w:tc>
          <w:tcPr>
            <w:tcW w:w="1665" w:type="dxa"/>
            <w:shd w:val="clear" w:color="auto" w:fill="FFF2CC" w:themeFill="accent4" w:themeFillTint="33"/>
          </w:tcPr>
          <w:p w14:paraId="483474FB" w14:textId="632E91B1" w:rsidR="002F10F4" w:rsidRPr="007D443A" w:rsidRDefault="002F10F4" w:rsidP="002F10F4">
            <w:pPr>
              <w:pStyle w:val="Tabletext"/>
              <w:framePr w:hSpace="0" w:wrap="auto" w:vAnchor="margin" w:hAnchor="text" w:yAlign="inline"/>
            </w:pPr>
            <w:r w:rsidRPr="007D443A">
              <w:t>Working with Victim Support to survey victims of crime about their experiences with the Police and Criminal Justice System</w:t>
            </w:r>
          </w:p>
        </w:tc>
        <w:tc>
          <w:tcPr>
            <w:tcW w:w="1524" w:type="dxa"/>
            <w:shd w:val="clear" w:color="auto" w:fill="FFF2CC" w:themeFill="accent4" w:themeFillTint="33"/>
          </w:tcPr>
          <w:p w14:paraId="1F78AA4F" w14:textId="0C981D2E" w:rsidR="002F10F4" w:rsidRPr="007D443A" w:rsidRDefault="002F10F4" w:rsidP="002F10F4">
            <w:pPr>
              <w:pStyle w:val="Tabletext"/>
              <w:framePr w:hSpace="0" w:wrap="auto" w:vAnchor="margin" w:hAnchor="text" w:yAlign="inline"/>
            </w:pPr>
            <w:r w:rsidRPr="007D443A">
              <w:t>Head of Commissioning</w:t>
            </w:r>
          </w:p>
        </w:tc>
        <w:tc>
          <w:tcPr>
            <w:tcW w:w="6563" w:type="dxa"/>
            <w:shd w:val="clear" w:color="auto" w:fill="FFF2CC" w:themeFill="accent4" w:themeFillTint="33"/>
          </w:tcPr>
          <w:p w14:paraId="42A41413" w14:textId="77777777" w:rsidR="002F10F4" w:rsidRPr="007D443A" w:rsidRDefault="002F10F4" w:rsidP="002F10F4">
            <w:pPr>
              <w:rPr>
                <w:sz w:val="18"/>
                <w:szCs w:val="18"/>
              </w:rPr>
            </w:pPr>
            <w:r w:rsidRPr="007D443A">
              <w:rPr>
                <w:sz w:val="18"/>
                <w:szCs w:val="18"/>
              </w:rPr>
              <w:t>The response rate will be closely monitored to ensure that the number of responses is of a level where appropriate conclusions can be drawn.</w:t>
            </w:r>
          </w:p>
          <w:p w14:paraId="732A6C77" w14:textId="01624018" w:rsidR="00530581" w:rsidRPr="007D443A" w:rsidRDefault="002F10F4" w:rsidP="00834FE8">
            <w:pPr>
              <w:pStyle w:val="Tabletext"/>
              <w:framePr w:hSpace="0" w:wrap="auto" w:vAnchor="margin" w:hAnchor="text" w:yAlign="inline"/>
            </w:pPr>
            <w:r w:rsidRPr="007D443A">
              <w:t>The team is aware of survey fatigue.</w:t>
            </w:r>
          </w:p>
        </w:tc>
        <w:tc>
          <w:tcPr>
            <w:tcW w:w="2378" w:type="dxa"/>
            <w:shd w:val="clear" w:color="auto" w:fill="FFF2CC" w:themeFill="accent4" w:themeFillTint="33"/>
          </w:tcPr>
          <w:p w14:paraId="3D901448" w14:textId="42BAFFDA" w:rsidR="002F10F4" w:rsidRPr="007D443A" w:rsidRDefault="00530581" w:rsidP="002F10F4">
            <w:pPr>
              <w:pStyle w:val="Tabletext"/>
              <w:framePr w:hSpace="0" w:wrap="auto" w:vAnchor="margin" w:hAnchor="text" w:yAlign="inline"/>
            </w:pPr>
            <w:r w:rsidRPr="007D443A">
              <w:t>MET</w:t>
            </w:r>
          </w:p>
        </w:tc>
      </w:tr>
      <w:tr w:rsidR="00B47F0D" w14:paraId="62C08DF4" w14:textId="77777777" w:rsidTr="00443F58">
        <w:trPr>
          <w:cantSplit/>
          <w:trHeight w:val="219"/>
        </w:trPr>
        <w:tc>
          <w:tcPr>
            <w:tcW w:w="315" w:type="dxa"/>
            <w:shd w:val="clear" w:color="auto" w:fill="FFF2CC" w:themeFill="accent4" w:themeFillTint="33"/>
          </w:tcPr>
          <w:p w14:paraId="19503008" w14:textId="77777777" w:rsidR="00B47F0D" w:rsidRDefault="00B47F0D" w:rsidP="002F10F4">
            <w:pPr>
              <w:pStyle w:val="Tabletext"/>
              <w:framePr w:hSpace="0" w:wrap="auto" w:vAnchor="margin" w:hAnchor="text" w:yAlign="inline"/>
            </w:pPr>
          </w:p>
        </w:tc>
        <w:tc>
          <w:tcPr>
            <w:tcW w:w="2115" w:type="dxa"/>
            <w:shd w:val="clear" w:color="auto" w:fill="FFF2CC" w:themeFill="accent4" w:themeFillTint="33"/>
          </w:tcPr>
          <w:p w14:paraId="344F649F" w14:textId="77777777" w:rsidR="00B47F0D" w:rsidRPr="007D443A" w:rsidRDefault="00B47F0D" w:rsidP="002F10F4">
            <w:pPr>
              <w:pStyle w:val="Tabletext"/>
              <w:framePr w:hSpace="0" w:wrap="auto" w:vAnchor="margin" w:hAnchor="text" w:yAlign="inline"/>
            </w:pPr>
          </w:p>
        </w:tc>
        <w:tc>
          <w:tcPr>
            <w:tcW w:w="1665" w:type="dxa"/>
            <w:shd w:val="clear" w:color="auto" w:fill="FFF2CC" w:themeFill="accent4" w:themeFillTint="33"/>
          </w:tcPr>
          <w:p w14:paraId="64D3E6B3" w14:textId="77777777" w:rsidR="00B47F0D" w:rsidRPr="007D443A" w:rsidRDefault="00B47F0D" w:rsidP="002F10F4">
            <w:pPr>
              <w:pStyle w:val="Tabletext"/>
              <w:framePr w:hSpace="0" w:wrap="auto" w:vAnchor="margin" w:hAnchor="text" w:yAlign="inline"/>
            </w:pPr>
          </w:p>
        </w:tc>
        <w:tc>
          <w:tcPr>
            <w:tcW w:w="1524" w:type="dxa"/>
            <w:shd w:val="clear" w:color="auto" w:fill="FFF2CC" w:themeFill="accent4" w:themeFillTint="33"/>
          </w:tcPr>
          <w:p w14:paraId="3046510C" w14:textId="77777777" w:rsidR="00B47F0D" w:rsidRPr="007D443A" w:rsidRDefault="00B47F0D" w:rsidP="002F10F4">
            <w:pPr>
              <w:pStyle w:val="Tabletext"/>
              <w:framePr w:hSpace="0" w:wrap="auto" w:vAnchor="margin" w:hAnchor="text" w:yAlign="inline"/>
            </w:pPr>
          </w:p>
        </w:tc>
        <w:tc>
          <w:tcPr>
            <w:tcW w:w="6563" w:type="dxa"/>
            <w:shd w:val="clear" w:color="auto" w:fill="FFF2CC" w:themeFill="accent4" w:themeFillTint="33"/>
          </w:tcPr>
          <w:p w14:paraId="14A0020B" w14:textId="6480CFD8" w:rsidR="00B47F0D" w:rsidRPr="00B47F0D" w:rsidRDefault="00B47F0D" w:rsidP="002F10F4">
            <w:pPr>
              <w:rPr>
                <w:i/>
                <w:iCs/>
                <w:sz w:val="18"/>
                <w:szCs w:val="18"/>
              </w:rPr>
            </w:pPr>
            <w:r w:rsidRPr="00B47F0D">
              <w:rPr>
                <w:i/>
                <w:iCs/>
                <w:sz w:val="18"/>
                <w:szCs w:val="18"/>
              </w:rPr>
              <w:t>Survey in place, but take up is low; exploring greater engagement via Victim Support</w:t>
            </w:r>
            <w:r w:rsidR="009E46D4">
              <w:rPr>
                <w:i/>
                <w:iCs/>
                <w:sz w:val="18"/>
                <w:szCs w:val="18"/>
              </w:rPr>
              <w:t>.</w:t>
            </w:r>
          </w:p>
        </w:tc>
        <w:tc>
          <w:tcPr>
            <w:tcW w:w="2378" w:type="dxa"/>
            <w:shd w:val="clear" w:color="auto" w:fill="FFF2CC" w:themeFill="accent4" w:themeFillTint="33"/>
          </w:tcPr>
          <w:p w14:paraId="597B1AD0" w14:textId="77777777" w:rsidR="00B47F0D" w:rsidRPr="007D443A" w:rsidRDefault="00B47F0D" w:rsidP="002F10F4">
            <w:pPr>
              <w:pStyle w:val="Tabletext"/>
              <w:framePr w:hSpace="0" w:wrap="auto" w:vAnchor="margin" w:hAnchor="text" w:yAlign="inline"/>
            </w:pPr>
          </w:p>
        </w:tc>
      </w:tr>
      <w:tr w:rsidR="002F10F4" w14:paraId="56780F88" w14:textId="77777777" w:rsidTr="00BB187A">
        <w:trPr>
          <w:cantSplit/>
          <w:trHeight w:val="219"/>
        </w:trPr>
        <w:tc>
          <w:tcPr>
            <w:tcW w:w="315" w:type="dxa"/>
            <w:shd w:val="clear" w:color="auto" w:fill="FFE599" w:themeFill="accent4" w:themeFillTint="66"/>
          </w:tcPr>
          <w:p w14:paraId="7A1A8808" w14:textId="41344CA0" w:rsidR="002F10F4" w:rsidRDefault="00443F58" w:rsidP="002F10F4">
            <w:pPr>
              <w:pStyle w:val="Tabletext"/>
              <w:framePr w:hSpace="0" w:wrap="auto" w:vAnchor="margin" w:hAnchor="text" w:yAlign="inline"/>
            </w:pPr>
            <w:r>
              <w:t>4</w:t>
            </w:r>
          </w:p>
        </w:tc>
        <w:tc>
          <w:tcPr>
            <w:tcW w:w="2115" w:type="dxa"/>
            <w:shd w:val="clear" w:color="auto" w:fill="FFE599" w:themeFill="accent4" w:themeFillTint="66"/>
          </w:tcPr>
          <w:p w14:paraId="66E18920" w14:textId="24A11B8C" w:rsidR="002F10F4" w:rsidRPr="007D443A" w:rsidRDefault="002F10F4" w:rsidP="002F10F4">
            <w:pPr>
              <w:pStyle w:val="Tabletext"/>
              <w:framePr w:hSpace="0" w:wrap="auto" w:vAnchor="margin" w:hAnchor="text" w:yAlign="inline"/>
            </w:pPr>
            <w:r w:rsidRPr="007D443A">
              <w:t>D. Determining the actions necessary to achieve the intended outcomes</w:t>
            </w:r>
          </w:p>
        </w:tc>
        <w:tc>
          <w:tcPr>
            <w:tcW w:w="1665" w:type="dxa"/>
            <w:shd w:val="clear" w:color="auto" w:fill="FFE599" w:themeFill="accent4" w:themeFillTint="66"/>
          </w:tcPr>
          <w:p w14:paraId="755671F4" w14:textId="53AA9A08" w:rsidR="002F10F4" w:rsidRPr="007D443A" w:rsidRDefault="002F10F4" w:rsidP="002F10F4">
            <w:pPr>
              <w:pStyle w:val="Tabletext"/>
              <w:framePr w:hSpace="0" w:wrap="auto" w:vAnchor="margin" w:hAnchor="text" w:yAlign="inline"/>
            </w:pPr>
            <w:r w:rsidRPr="007D443A">
              <w:t>Monitoring compliance with Victims’ Code</w:t>
            </w:r>
          </w:p>
        </w:tc>
        <w:tc>
          <w:tcPr>
            <w:tcW w:w="1524" w:type="dxa"/>
            <w:shd w:val="clear" w:color="auto" w:fill="FFE599" w:themeFill="accent4" w:themeFillTint="66"/>
          </w:tcPr>
          <w:p w14:paraId="105E9BF9" w14:textId="52E40C62" w:rsidR="002F10F4" w:rsidRPr="007D443A" w:rsidRDefault="002F10F4" w:rsidP="002F10F4">
            <w:pPr>
              <w:pStyle w:val="Tabletext"/>
              <w:framePr w:hSpace="0" w:wrap="auto" w:vAnchor="margin" w:hAnchor="text" w:yAlign="inline"/>
            </w:pPr>
            <w:r w:rsidRPr="007D443A">
              <w:t>Head of Commissioning</w:t>
            </w:r>
          </w:p>
        </w:tc>
        <w:tc>
          <w:tcPr>
            <w:tcW w:w="6563" w:type="dxa"/>
            <w:shd w:val="clear" w:color="auto" w:fill="FFE599" w:themeFill="accent4" w:themeFillTint="66"/>
          </w:tcPr>
          <w:p w14:paraId="18925C87" w14:textId="11BBDF86" w:rsidR="002F10F4" w:rsidRPr="007D443A" w:rsidRDefault="002F10F4" w:rsidP="002F10F4">
            <w:pPr>
              <w:rPr>
                <w:sz w:val="18"/>
                <w:szCs w:val="18"/>
              </w:rPr>
            </w:pPr>
            <w:r w:rsidRPr="007D443A">
              <w:rPr>
                <w:sz w:val="18"/>
                <w:szCs w:val="18"/>
              </w:rPr>
              <w:t xml:space="preserve">This new requirement is likely to place significant new demands on the OPCC’s team, and on partners. The level is not yet known, as the statutory guidance has not been released, but will require careful monitoring. </w:t>
            </w:r>
          </w:p>
        </w:tc>
        <w:tc>
          <w:tcPr>
            <w:tcW w:w="2378" w:type="dxa"/>
            <w:shd w:val="clear" w:color="auto" w:fill="FFE599" w:themeFill="accent4" w:themeFillTint="66"/>
          </w:tcPr>
          <w:p w14:paraId="41F45BF1" w14:textId="7A0E3700" w:rsidR="002F10F4" w:rsidRPr="007D443A" w:rsidRDefault="007566AD" w:rsidP="002F10F4">
            <w:pPr>
              <w:pStyle w:val="Tabletext"/>
              <w:framePr w:hSpace="0" w:wrap="auto" w:vAnchor="margin" w:hAnchor="text" w:yAlign="inline"/>
            </w:pPr>
            <w:r w:rsidRPr="007D443A">
              <w:t>n/a</w:t>
            </w:r>
          </w:p>
        </w:tc>
      </w:tr>
      <w:tr w:rsidR="002F10F4" w14:paraId="4D499623" w14:textId="77777777" w:rsidTr="00BB187A">
        <w:trPr>
          <w:cantSplit/>
          <w:trHeight w:val="219"/>
        </w:trPr>
        <w:tc>
          <w:tcPr>
            <w:tcW w:w="315" w:type="dxa"/>
            <w:shd w:val="clear" w:color="auto" w:fill="FFE599" w:themeFill="accent4" w:themeFillTint="66"/>
          </w:tcPr>
          <w:p w14:paraId="1867535E" w14:textId="77777777" w:rsidR="002F10F4" w:rsidRDefault="002F10F4" w:rsidP="002F10F4">
            <w:pPr>
              <w:pStyle w:val="Tabletext"/>
              <w:framePr w:hSpace="0" w:wrap="auto" w:vAnchor="margin" w:hAnchor="text" w:yAlign="inline"/>
            </w:pPr>
          </w:p>
        </w:tc>
        <w:tc>
          <w:tcPr>
            <w:tcW w:w="2115" w:type="dxa"/>
            <w:shd w:val="clear" w:color="auto" w:fill="FFE599" w:themeFill="accent4" w:themeFillTint="66"/>
          </w:tcPr>
          <w:p w14:paraId="4EF5F305" w14:textId="77777777" w:rsidR="002F10F4" w:rsidRPr="007D443A" w:rsidRDefault="002F10F4" w:rsidP="002F10F4">
            <w:pPr>
              <w:pStyle w:val="Tabletext"/>
              <w:framePr w:hSpace="0" w:wrap="auto" w:vAnchor="margin" w:hAnchor="text" w:yAlign="inline"/>
            </w:pPr>
          </w:p>
        </w:tc>
        <w:tc>
          <w:tcPr>
            <w:tcW w:w="1665" w:type="dxa"/>
            <w:shd w:val="clear" w:color="auto" w:fill="FFE599" w:themeFill="accent4" w:themeFillTint="66"/>
          </w:tcPr>
          <w:p w14:paraId="4C78F7A8" w14:textId="77777777" w:rsidR="002F10F4" w:rsidRPr="007D443A" w:rsidRDefault="002F10F4" w:rsidP="002F10F4">
            <w:pPr>
              <w:pStyle w:val="Tabletext"/>
              <w:framePr w:hSpace="0" w:wrap="auto" w:vAnchor="margin" w:hAnchor="text" w:yAlign="inline"/>
            </w:pPr>
          </w:p>
        </w:tc>
        <w:tc>
          <w:tcPr>
            <w:tcW w:w="1524" w:type="dxa"/>
            <w:shd w:val="clear" w:color="auto" w:fill="FFE599" w:themeFill="accent4" w:themeFillTint="66"/>
          </w:tcPr>
          <w:p w14:paraId="57C1D700" w14:textId="77777777" w:rsidR="002F10F4" w:rsidRPr="007D443A" w:rsidRDefault="002F10F4" w:rsidP="002F10F4">
            <w:pPr>
              <w:pStyle w:val="Tabletext"/>
              <w:framePr w:hSpace="0" w:wrap="auto" w:vAnchor="margin" w:hAnchor="text" w:yAlign="inline"/>
            </w:pPr>
          </w:p>
        </w:tc>
        <w:tc>
          <w:tcPr>
            <w:tcW w:w="6563" w:type="dxa"/>
            <w:shd w:val="clear" w:color="auto" w:fill="FFE599" w:themeFill="accent4" w:themeFillTint="66"/>
          </w:tcPr>
          <w:p w14:paraId="4261F537" w14:textId="74040224" w:rsidR="002F10F4" w:rsidRPr="00B47F0D" w:rsidRDefault="007566AD" w:rsidP="002F10F4">
            <w:pPr>
              <w:rPr>
                <w:i/>
                <w:iCs/>
                <w:sz w:val="18"/>
                <w:szCs w:val="18"/>
              </w:rPr>
            </w:pPr>
            <w:r w:rsidRPr="00B47F0D">
              <w:rPr>
                <w:i/>
                <w:iCs/>
                <w:sz w:val="18"/>
                <w:szCs w:val="18"/>
              </w:rPr>
              <w:t>Legislation not yet introduced</w:t>
            </w:r>
            <w:r w:rsidR="004020A2" w:rsidRPr="00B47F0D">
              <w:rPr>
                <w:i/>
                <w:iCs/>
                <w:sz w:val="18"/>
                <w:szCs w:val="18"/>
              </w:rPr>
              <w:t>; will fall into V</w:t>
            </w:r>
            <w:r w:rsidR="00BF4CF4">
              <w:rPr>
                <w:i/>
                <w:iCs/>
                <w:sz w:val="18"/>
                <w:szCs w:val="18"/>
              </w:rPr>
              <w:t xml:space="preserve">ictims </w:t>
            </w:r>
            <w:r w:rsidR="004020A2" w:rsidRPr="00B47F0D">
              <w:rPr>
                <w:i/>
                <w:iCs/>
                <w:sz w:val="18"/>
                <w:szCs w:val="18"/>
              </w:rPr>
              <w:t>&amp;W</w:t>
            </w:r>
            <w:r w:rsidR="00BF4CF4">
              <w:rPr>
                <w:i/>
                <w:iCs/>
                <w:sz w:val="18"/>
                <w:szCs w:val="18"/>
              </w:rPr>
              <w:t>itness</w:t>
            </w:r>
            <w:r w:rsidR="004020A2" w:rsidRPr="00B47F0D">
              <w:rPr>
                <w:i/>
                <w:iCs/>
                <w:sz w:val="18"/>
                <w:szCs w:val="18"/>
              </w:rPr>
              <w:t xml:space="preserve"> sub-group</w:t>
            </w:r>
          </w:p>
        </w:tc>
        <w:tc>
          <w:tcPr>
            <w:tcW w:w="2378" w:type="dxa"/>
            <w:shd w:val="clear" w:color="auto" w:fill="FFE599" w:themeFill="accent4" w:themeFillTint="66"/>
          </w:tcPr>
          <w:p w14:paraId="43090D21" w14:textId="77777777" w:rsidR="002F10F4" w:rsidRPr="007D443A" w:rsidRDefault="002F10F4" w:rsidP="002F10F4">
            <w:pPr>
              <w:pStyle w:val="Tabletext"/>
              <w:framePr w:hSpace="0" w:wrap="auto" w:vAnchor="margin" w:hAnchor="text" w:yAlign="inline"/>
            </w:pPr>
          </w:p>
        </w:tc>
      </w:tr>
      <w:tr w:rsidR="002F10F4" w14:paraId="3666B3EB" w14:textId="77777777" w:rsidTr="00BB187A">
        <w:trPr>
          <w:cantSplit/>
          <w:trHeight w:val="219"/>
        </w:trPr>
        <w:tc>
          <w:tcPr>
            <w:tcW w:w="315" w:type="dxa"/>
            <w:shd w:val="clear" w:color="auto" w:fill="FFE599" w:themeFill="accent4" w:themeFillTint="66"/>
          </w:tcPr>
          <w:p w14:paraId="7739F839" w14:textId="77777777" w:rsidR="002F10F4" w:rsidRDefault="002F10F4" w:rsidP="002F10F4">
            <w:pPr>
              <w:pStyle w:val="Tabletext"/>
              <w:framePr w:hSpace="0" w:wrap="auto" w:vAnchor="margin" w:hAnchor="text" w:yAlign="inline"/>
            </w:pPr>
          </w:p>
        </w:tc>
        <w:tc>
          <w:tcPr>
            <w:tcW w:w="2115" w:type="dxa"/>
            <w:shd w:val="clear" w:color="auto" w:fill="FFE599" w:themeFill="accent4" w:themeFillTint="66"/>
          </w:tcPr>
          <w:p w14:paraId="05F4ACA7" w14:textId="77777777" w:rsidR="002F10F4" w:rsidRPr="007D443A" w:rsidRDefault="002F10F4" w:rsidP="002F10F4">
            <w:pPr>
              <w:pStyle w:val="Tabletext"/>
              <w:framePr w:hSpace="0" w:wrap="auto" w:vAnchor="margin" w:hAnchor="text" w:yAlign="inline"/>
            </w:pPr>
          </w:p>
        </w:tc>
        <w:tc>
          <w:tcPr>
            <w:tcW w:w="1665" w:type="dxa"/>
            <w:shd w:val="clear" w:color="auto" w:fill="FFE599" w:themeFill="accent4" w:themeFillTint="66"/>
          </w:tcPr>
          <w:p w14:paraId="16904595" w14:textId="232AFA17" w:rsidR="002F10F4" w:rsidRPr="007D443A" w:rsidRDefault="002F10F4" w:rsidP="002F10F4">
            <w:pPr>
              <w:pStyle w:val="Tabletext"/>
              <w:framePr w:hSpace="0" w:wrap="auto" w:vAnchor="margin" w:hAnchor="text" w:yAlign="inline"/>
            </w:pPr>
            <w:r w:rsidRPr="007D443A">
              <w:t>Development of a new CJ work programme</w:t>
            </w:r>
          </w:p>
        </w:tc>
        <w:tc>
          <w:tcPr>
            <w:tcW w:w="1524" w:type="dxa"/>
            <w:shd w:val="clear" w:color="auto" w:fill="FFE599" w:themeFill="accent4" w:themeFillTint="66"/>
          </w:tcPr>
          <w:p w14:paraId="37CA2079" w14:textId="42C90219" w:rsidR="002F10F4" w:rsidRPr="007D443A" w:rsidRDefault="002F10F4" w:rsidP="002F10F4">
            <w:pPr>
              <w:pStyle w:val="Tabletext"/>
              <w:framePr w:hSpace="0" w:wrap="auto" w:vAnchor="margin" w:hAnchor="text" w:yAlign="inline"/>
            </w:pPr>
            <w:r w:rsidRPr="007D443A">
              <w:t>Chief Executive and KCJB Manager</w:t>
            </w:r>
          </w:p>
        </w:tc>
        <w:tc>
          <w:tcPr>
            <w:tcW w:w="6563" w:type="dxa"/>
            <w:shd w:val="clear" w:color="auto" w:fill="FFE599" w:themeFill="accent4" w:themeFillTint="66"/>
          </w:tcPr>
          <w:p w14:paraId="604C9666" w14:textId="34624656" w:rsidR="002F10F4" w:rsidRPr="007D443A" w:rsidRDefault="002F10F4" w:rsidP="002F10F4">
            <w:pPr>
              <w:rPr>
                <w:sz w:val="18"/>
                <w:szCs w:val="18"/>
              </w:rPr>
            </w:pPr>
            <w:r w:rsidRPr="007D443A">
              <w:rPr>
                <w:sz w:val="18"/>
                <w:szCs w:val="18"/>
              </w:rPr>
              <w:t xml:space="preserve">The need for a further task group has been identified, to review key processes and ‘journeys’ within the CJS, with the aim of increasing efficiency across the sector. </w:t>
            </w:r>
          </w:p>
        </w:tc>
        <w:tc>
          <w:tcPr>
            <w:tcW w:w="2378" w:type="dxa"/>
            <w:shd w:val="clear" w:color="auto" w:fill="FFE599" w:themeFill="accent4" w:themeFillTint="66"/>
          </w:tcPr>
          <w:p w14:paraId="7532BC17" w14:textId="649F9B64" w:rsidR="002F10F4" w:rsidRPr="007D443A" w:rsidRDefault="00656CF0" w:rsidP="002F10F4">
            <w:pPr>
              <w:pStyle w:val="Tabletext"/>
              <w:framePr w:hSpace="0" w:wrap="auto" w:vAnchor="margin" w:hAnchor="text" w:yAlign="inline"/>
            </w:pPr>
            <w:r w:rsidRPr="007D443A">
              <w:t>PARTIALLY MET</w:t>
            </w:r>
          </w:p>
        </w:tc>
      </w:tr>
      <w:tr w:rsidR="002F10F4" w14:paraId="0C0EC537" w14:textId="77777777" w:rsidTr="00BB187A">
        <w:trPr>
          <w:cantSplit/>
          <w:trHeight w:val="219"/>
        </w:trPr>
        <w:tc>
          <w:tcPr>
            <w:tcW w:w="315" w:type="dxa"/>
            <w:shd w:val="clear" w:color="auto" w:fill="FFE599" w:themeFill="accent4" w:themeFillTint="66"/>
          </w:tcPr>
          <w:p w14:paraId="1D111810" w14:textId="77777777" w:rsidR="002F10F4" w:rsidRDefault="002F10F4" w:rsidP="002F10F4">
            <w:pPr>
              <w:pStyle w:val="Tabletext"/>
              <w:framePr w:hSpace="0" w:wrap="auto" w:vAnchor="margin" w:hAnchor="text" w:yAlign="inline"/>
            </w:pPr>
          </w:p>
        </w:tc>
        <w:tc>
          <w:tcPr>
            <w:tcW w:w="2115" w:type="dxa"/>
            <w:shd w:val="clear" w:color="auto" w:fill="FFE599" w:themeFill="accent4" w:themeFillTint="66"/>
          </w:tcPr>
          <w:p w14:paraId="33D4E18C" w14:textId="77777777" w:rsidR="002F10F4" w:rsidRPr="007D443A" w:rsidRDefault="002F10F4" w:rsidP="002F10F4">
            <w:pPr>
              <w:pStyle w:val="Tabletext"/>
              <w:framePr w:hSpace="0" w:wrap="auto" w:vAnchor="margin" w:hAnchor="text" w:yAlign="inline"/>
            </w:pPr>
          </w:p>
        </w:tc>
        <w:tc>
          <w:tcPr>
            <w:tcW w:w="1665" w:type="dxa"/>
            <w:shd w:val="clear" w:color="auto" w:fill="FFE599" w:themeFill="accent4" w:themeFillTint="66"/>
          </w:tcPr>
          <w:p w14:paraId="08DD997F" w14:textId="77777777" w:rsidR="002F10F4" w:rsidRPr="007D443A" w:rsidRDefault="002F10F4" w:rsidP="002F10F4">
            <w:pPr>
              <w:pStyle w:val="Tabletext"/>
              <w:framePr w:hSpace="0" w:wrap="auto" w:vAnchor="margin" w:hAnchor="text" w:yAlign="inline"/>
            </w:pPr>
          </w:p>
        </w:tc>
        <w:tc>
          <w:tcPr>
            <w:tcW w:w="1524" w:type="dxa"/>
            <w:shd w:val="clear" w:color="auto" w:fill="FFE599" w:themeFill="accent4" w:themeFillTint="66"/>
          </w:tcPr>
          <w:p w14:paraId="38564440" w14:textId="77777777" w:rsidR="002F10F4" w:rsidRPr="007D443A" w:rsidRDefault="002F10F4" w:rsidP="002F10F4">
            <w:pPr>
              <w:pStyle w:val="Tabletext"/>
              <w:framePr w:hSpace="0" w:wrap="auto" w:vAnchor="margin" w:hAnchor="text" w:yAlign="inline"/>
            </w:pPr>
          </w:p>
        </w:tc>
        <w:tc>
          <w:tcPr>
            <w:tcW w:w="6563" w:type="dxa"/>
            <w:shd w:val="clear" w:color="auto" w:fill="FFE599" w:themeFill="accent4" w:themeFillTint="66"/>
          </w:tcPr>
          <w:p w14:paraId="60851E0B" w14:textId="7EB68B51" w:rsidR="002F10F4" w:rsidRPr="0016163C" w:rsidRDefault="00446766" w:rsidP="002F10F4">
            <w:pPr>
              <w:rPr>
                <w:i/>
                <w:iCs/>
                <w:sz w:val="18"/>
                <w:szCs w:val="18"/>
              </w:rPr>
            </w:pPr>
            <w:r>
              <w:rPr>
                <w:i/>
                <w:iCs/>
                <w:sz w:val="18"/>
                <w:szCs w:val="18"/>
              </w:rPr>
              <w:t xml:space="preserve">Workshop held in March to map </w:t>
            </w:r>
            <w:r w:rsidR="00110710">
              <w:rPr>
                <w:i/>
                <w:iCs/>
                <w:sz w:val="18"/>
                <w:szCs w:val="18"/>
              </w:rPr>
              <w:t xml:space="preserve">‘journey’ through CJ system </w:t>
            </w:r>
            <w:r w:rsidR="00522C2F">
              <w:rPr>
                <w:i/>
                <w:iCs/>
                <w:sz w:val="18"/>
                <w:szCs w:val="18"/>
              </w:rPr>
              <w:t xml:space="preserve">and associated processes </w:t>
            </w:r>
            <w:r w:rsidR="00110710">
              <w:rPr>
                <w:i/>
                <w:iCs/>
                <w:sz w:val="18"/>
                <w:szCs w:val="18"/>
              </w:rPr>
              <w:t xml:space="preserve">in </w:t>
            </w:r>
            <w:r w:rsidR="00522C2F">
              <w:rPr>
                <w:i/>
                <w:iCs/>
                <w:sz w:val="18"/>
                <w:szCs w:val="18"/>
              </w:rPr>
              <w:t>order to</w:t>
            </w:r>
            <w:r w:rsidR="00FB5CC9">
              <w:rPr>
                <w:i/>
                <w:iCs/>
                <w:sz w:val="18"/>
                <w:szCs w:val="18"/>
              </w:rPr>
              <w:t xml:space="preserve"> provide greater understanding and identify risks/opportunities</w:t>
            </w:r>
          </w:p>
        </w:tc>
        <w:tc>
          <w:tcPr>
            <w:tcW w:w="2378" w:type="dxa"/>
            <w:shd w:val="clear" w:color="auto" w:fill="FFE599" w:themeFill="accent4" w:themeFillTint="66"/>
          </w:tcPr>
          <w:p w14:paraId="6DDE812E" w14:textId="77777777" w:rsidR="002F10F4" w:rsidRPr="007D443A" w:rsidRDefault="002F10F4" w:rsidP="002F10F4">
            <w:pPr>
              <w:pStyle w:val="Tabletext"/>
              <w:framePr w:hSpace="0" w:wrap="auto" w:vAnchor="margin" w:hAnchor="text" w:yAlign="inline"/>
            </w:pPr>
          </w:p>
        </w:tc>
      </w:tr>
      <w:tr w:rsidR="0016163C" w14:paraId="200211BC" w14:textId="77777777" w:rsidTr="00BB187A">
        <w:trPr>
          <w:cantSplit/>
          <w:trHeight w:val="212"/>
        </w:trPr>
        <w:tc>
          <w:tcPr>
            <w:tcW w:w="315" w:type="dxa"/>
            <w:shd w:val="clear" w:color="auto" w:fill="FFF2CC" w:themeFill="accent4" w:themeFillTint="33"/>
          </w:tcPr>
          <w:p w14:paraId="7E5B2135" w14:textId="0E6C66D3" w:rsidR="0016163C" w:rsidRDefault="00443F58" w:rsidP="002F10F4">
            <w:pPr>
              <w:pStyle w:val="Tabletext"/>
              <w:framePr w:hSpace="0" w:wrap="auto" w:vAnchor="margin" w:hAnchor="text" w:yAlign="inline"/>
            </w:pPr>
            <w:r>
              <w:t>5</w:t>
            </w:r>
          </w:p>
        </w:tc>
        <w:tc>
          <w:tcPr>
            <w:tcW w:w="2115" w:type="dxa"/>
            <w:shd w:val="clear" w:color="auto" w:fill="FFF2CC" w:themeFill="accent4" w:themeFillTint="33"/>
          </w:tcPr>
          <w:p w14:paraId="0915E552" w14:textId="77777777" w:rsidR="0016163C" w:rsidRPr="007D443A" w:rsidRDefault="0016163C" w:rsidP="002F10F4">
            <w:pPr>
              <w:pStyle w:val="Tabletext"/>
              <w:framePr w:hSpace="0" w:wrap="auto" w:vAnchor="margin" w:hAnchor="text" w:yAlign="inline"/>
            </w:pPr>
            <w:r w:rsidRPr="007D443A">
              <w:t xml:space="preserve">E. </w:t>
            </w:r>
            <w:r w:rsidRPr="007D443A">
              <w:rPr>
                <w:color w:val="000000" w:themeColor="text1"/>
              </w:rPr>
              <w:t>Developing</w:t>
            </w:r>
            <w:r w:rsidRPr="007D443A">
              <w:t xml:space="preserve"> the entity’s capacity, including the capability of its leadership and the individuals within it</w:t>
            </w:r>
          </w:p>
        </w:tc>
        <w:tc>
          <w:tcPr>
            <w:tcW w:w="1665" w:type="dxa"/>
            <w:shd w:val="clear" w:color="auto" w:fill="FFF2CC" w:themeFill="accent4" w:themeFillTint="33"/>
          </w:tcPr>
          <w:p w14:paraId="280B2008" w14:textId="5BAB4B7B" w:rsidR="0016163C" w:rsidRPr="007D443A" w:rsidRDefault="0016163C" w:rsidP="002F10F4">
            <w:pPr>
              <w:pStyle w:val="Tabletext"/>
              <w:framePr w:hSpace="0" w:wrap="auto" w:vAnchor="margin" w:hAnchor="text" w:yAlign="inline"/>
            </w:pPr>
            <w:r w:rsidRPr="007D443A">
              <w:t>OPCC staffing</w:t>
            </w:r>
          </w:p>
        </w:tc>
        <w:tc>
          <w:tcPr>
            <w:tcW w:w="1524" w:type="dxa"/>
            <w:shd w:val="clear" w:color="auto" w:fill="FFF2CC" w:themeFill="accent4" w:themeFillTint="33"/>
          </w:tcPr>
          <w:p w14:paraId="4DD890F2" w14:textId="557B9C94" w:rsidR="0016163C" w:rsidRPr="007D443A" w:rsidRDefault="0016163C" w:rsidP="002F10F4">
            <w:pPr>
              <w:pStyle w:val="Tabletext"/>
              <w:framePr w:hSpace="0" w:wrap="auto" w:vAnchor="margin" w:hAnchor="text" w:yAlign="inline"/>
            </w:pPr>
            <w:r w:rsidRPr="007D443A">
              <w:t>Chief Executive and Head of Standards</w:t>
            </w:r>
          </w:p>
        </w:tc>
        <w:tc>
          <w:tcPr>
            <w:tcW w:w="6563" w:type="dxa"/>
            <w:shd w:val="clear" w:color="auto" w:fill="FFF2CC" w:themeFill="accent4" w:themeFillTint="33"/>
          </w:tcPr>
          <w:p w14:paraId="0232AD04" w14:textId="77777777" w:rsidR="0016163C" w:rsidRPr="007D443A" w:rsidRDefault="0016163C" w:rsidP="002F10F4">
            <w:pPr>
              <w:rPr>
                <w:sz w:val="18"/>
                <w:szCs w:val="18"/>
              </w:rPr>
            </w:pPr>
            <w:r w:rsidRPr="007D443A">
              <w:rPr>
                <w:sz w:val="18"/>
                <w:szCs w:val="18"/>
              </w:rPr>
              <w:t xml:space="preserve">The OPCC is inherently disadvantaged by being a small organisation, and therefore the departure of one or two staff can have a significant impact on function. </w:t>
            </w:r>
          </w:p>
          <w:p w14:paraId="6D241E5C" w14:textId="77777777" w:rsidR="0016163C" w:rsidRPr="007D443A" w:rsidRDefault="0016163C" w:rsidP="002F10F4">
            <w:pPr>
              <w:rPr>
                <w:sz w:val="18"/>
                <w:szCs w:val="18"/>
              </w:rPr>
            </w:pPr>
            <w:r w:rsidRPr="007D443A">
              <w:rPr>
                <w:sz w:val="18"/>
                <w:szCs w:val="18"/>
              </w:rPr>
              <w:t>There is also the impact on finances; the time and investment of on-boarding new people; and growing external pressures such as new legislation.</w:t>
            </w:r>
          </w:p>
          <w:p w14:paraId="39F2BC67" w14:textId="1DAD9A33" w:rsidR="0016163C" w:rsidRPr="007D443A" w:rsidRDefault="0016163C" w:rsidP="002F10F4">
            <w:pPr>
              <w:pStyle w:val="Tabletext"/>
              <w:framePr w:hSpace="0" w:wrap="auto" w:vAnchor="margin" w:hAnchor="text" w:yAlign="inline"/>
            </w:pPr>
            <w:r w:rsidRPr="007D443A">
              <w:t xml:space="preserve">Consideration will be given to an Office-wide review of structure and capacity, to ensure the work of the OPCC is on a sustainable footing, with necessary resilience built in. </w:t>
            </w:r>
          </w:p>
        </w:tc>
        <w:tc>
          <w:tcPr>
            <w:tcW w:w="2378" w:type="dxa"/>
            <w:vMerge w:val="restart"/>
            <w:shd w:val="clear" w:color="auto" w:fill="FFF2CC" w:themeFill="accent4" w:themeFillTint="33"/>
          </w:tcPr>
          <w:p w14:paraId="3032981B" w14:textId="7A1C6B89" w:rsidR="0016163C" w:rsidRPr="007D443A" w:rsidRDefault="0016163C" w:rsidP="002F10F4">
            <w:pPr>
              <w:pStyle w:val="Tabletext"/>
              <w:framePr w:hSpace="0" w:wrap="auto" w:vAnchor="margin" w:hAnchor="text" w:yAlign="inline"/>
            </w:pPr>
            <w:r w:rsidRPr="007D443A">
              <w:t>PARTIALLY MET</w:t>
            </w:r>
          </w:p>
        </w:tc>
      </w:tr>
      <w:tr w:rsidR="0016163C" w14:paraId="4EBBA558" w14:textId="77777777" w:rsidTr="00BB187A">
        <w:trPr>
          <w:cantSplit/>
          <w:trHeight w:val="212"/>
        </w:trPr>
        <w:tc>
          <w:tcPr>
            <w:tcW w:w="315" w:type="dxa"/>
            <w:shd w:val="clear" w:color="auto" w:fill="FFF2CC" w:themeFill="accent4" w:themeFillTint="33"/>
          </w:tcPr>
          <w:p w14:paraId="345836EA" w14:textId="77777777" w:rsidR="0016163C" w:rsidRDefault="0016163C" w:rsidP="002F10F4">
            <w:pPr>
              <w:pStyle w:val="Tabletext"/>
              <w:framePr w:hSpace="0" w:wrap="auto" w:vAnchor="margin" w:hAnchor="text" w:yAlign="inline"/>
            </w:pPr>
          </w:p>
        </w:tc>
        <w:tc>
          <w:tcPr>
            <w:tcW w:w="2115" w:type="dxa"/>
            <w:shd w:val="clear" w:color="auto" w:fill="FFF2CC" w:themeFill="accent4" w:themeFillTint="33"/>
          </w:tcPr>
          <w:p w14:paraId="373F7212" w14:textId="77777777" w:rsidR="0016163C" w:rsidRPr="007D443A" w:rsidRDefault="0016163C" w:rsidP="002F10F4">
            <w:pPr>
              <w:pStyle w:val="Tabletext"/>
              <w:framePr w:hSpace="0" w:wrap="auto" w:vAnchor="margin" w:hAnchor="text" w:yAlign="inline"/>
            </w:pPr>
          </w:p>
        </w:tc>
        <w:tc>
          <w:tcPr>
            <w:tcW w:w="1665" w:type="dxa"/>
            <w:shd w:val="clear" w:color="auto" w:fill="FFF2CC" w:themeFill="accent4" w:themeFillTint="33"/>
          </w:tcPr>
          <w:p w14:paraId="1807E5D2" w14:textId="77777777" w:rsidR="0016163C" w:rsidRPr="007D443A" w:rsidRDefault="0016163C" w:rsidP="002F10F4">
            <w:pPr>
              <w:pStyle w:val="Tabletext"/>
              <w:framePr w:hSpace="0" w:wrap="auto" w:vAnchor="margin" w:hAnchor="text" w:yAlign="inline"/>
            </w:pPr>
          </w:p>
        </w:tc>
        <w:tc>
          <w:tcPr>
            <w:tcW w:w="1524" w:type="dxa"/>
            <w:shd w:val="clear" w:color="auto" w:fill="FFF2CC" w:themeFill="accent4" w:themeFillTint="33"/>
          </w:tcPr>
          <w:p w14:paraId="0208757F" w14:textId="77777777" w:rsidR="0016163C" w:rsidRPr="007D443A" w:rsidRDefault="0016163C" w:rsidP="002F10F4">
            <w:pPr>
              <w:pStyle w:val="Tabletext"/>
              <w:framePr w:hSpace="0" w:wrap="auto" w:vAnchor="margin" w:hAnchor="text" w:yAlign="inline"/>
            </w:pPr>
          </w:p>
        </w:tc>
        <w:tc>
          <w:tcPr>
            <w:tcW w:w="6563" w:type="dxa"/>
            <w:shd w:val="clear" w:color="auto" w:fill="FFF2CC" w:themeFill="accent4" w:themeFillTint="33"/>
          </w:tcPr>
          <w:p w14:paraId="68C03815" w14:textId="658AD54B" w:rsidR="0016163C" w:rsidRPr="0016163C" w:rsidRDefault="0016163C" w:rsidP="002F10F4">
            <w:pPr>
              <w:rPr>
                <w:i/>
                <w:iCs/>
                <w:sz w:val="18"/>
                <w:szCs w:val="18"/>
              </w:rPr>
            </w:pPr>
            <w:r w:rsidRPr="0016163C">
              <w:rPr>
                <w:i/>
                <w:iCs/>
                <w:sz w:val="18"/>
                <w:szCs w:val="18"/>
              </w:rPr>
              <w:t>The OPCC conducted a full review of job descriptions, responsibilities, team configuration and capacity.</w:t>
            </w:r>
            <w:r w:rsidR="005953A9">
              <w:rPr>
                <w:i/>
                <w:iCs/>
                <w:sz w:val="18"/>
                <w:szCs w:val="18"/>
              </w:rPr>
              <w:t xml:space="preserve"> </w:t>
            </w:r>
            <w:r w:rsidRPr="0016163C">
              <w:rPr>
                <w:i/>
                <w:iCs/>
                <w:sz w:val="18"/>
                <w:szCs w:val="18"/>
              </w:rPr>
              <w:t>New training opportunities were identified for all members of staff, with an on-going commitment.</w:t>
            </w:r>
            <w:r w:rsidR="005953A9">
              <w:rPr>
                <w:i/>
                <w:iCs/>
                <w:sz w:val="18"/>
                <w:szCs w:val="18"/>
              </w:rPr>
              <w:t xml:space="preserve"> </w:t>
            </w:r>
          </w:p>
          <w:p w14:paraId="19903233" w14:textId="2BB8E771" w:rsidR="0016163C" w:rsidRPr="007D443A" w:rsidRDefault="0016163C" w:rsidP="002F10F4">
            <w:pPr>
              <w:rPr>
                <w:sz w:val="18"/>
                <w:szCs w:val="18"/>
              </w:rPr>
            </w:pPr>
            <w:r w:rsidRPr="0016163C">
              <w:rPr>
                <w:i/>
                <w:iCs/>
                <w:sz w:val="18"/>
                <w:szCs w:val="18"/>
              </w:rPr>
              <w:t>However, some roles could not be recruited into (within Commissioning and Media) owing to the national decision to abolish PCCs.</w:t>
            </w:r>
            <w:r w:rsidR="005953A9">
              <w:rPr>
                <w:i/>
                <w:iCs/>
                <w:sz w:val="18"/>
                <w:szCs w:val="18"/>
              </w:rPr>
              <w:t xml:space="preserve"> </w:t>
            </w:r>
            <w:r w:rsidRPr="0016163C">
              <w:rPr>
                <w:i/>
                <w:iCs/>
                <w:sz w:val="18"/>
                <w:szCs w:val="18"/>
              </w:rPr>
              <w:t>The OPCC has therefore brought in some external support; however, the majority of the work will be managed within existing capacity.</w:t>
            </w:r>
            <w:r w:rsidRPr="007D443A">
              <w:rPr>
                <w:sz w:val="18"/>
                <w:szCs w:val="18"/>
              </w:rPr>
              <w:t xml:space="preserve"> </w:t>
            </w:r>
          </w:p>
        </w:tc>
        <w:tc>
          <w:tcPr>
            <w:tcW w:w="2378" w:type="dxa"/>
            <w:vMerge/>
            <w:shd w:val="clear" w:color="auto" w:fill="FFF2CC" w:themeFill="accent4" w:themeFillTint="33"/>
          </w:tcPr>
          <w:p w14:paraId="4BE296AF" w14:textId="77777777" w:rsidR="0016163C" w:rsidRPr="007D443A" w:rsidRDefault="0016163C" w:rsidP="002F10F4">
            <w:pPr>
              <w:pStyle w:val="Tabletext"/>
              <w:framePr w:hSpace="0" w:wrap="auto" w:vAnchor="margin" w:hAnchor="text" w:yAlign="inline"/>
            </w:pPr>
          </w:p>
        </w:tc>
      </w:tr>
      <w:tr w:rsidR="00CA19FE" w14:paraId="1F66BFF8" w14:textId="77777777" w:rsidTr="00BB187A">
        <w:trPr>
          <w:cantSplit/>
          <w:trHeight w:val="212"/>
        </w:trPr>
        <w:tc>
          <w:tcPr>
            <w:tcW w:w="315" w:type="dxa"/>
            <w:shd w:val="clear" w:color="auto" w:fill="FFF2CC" w:themeFill="accent4" w:themeFillTint="33"/>
          </w:tcPr>
          <w:p w14:paraId="0A6F2F8B" w14:textId="77777777" w:rsidR="00CA19FE" w:rsidRDefault="00CA19FE" w:rsidP="002F10F4">
            <w:pPr>
              <w:pStyle w:val="Tabletext"/>
              <w:framePr w:hSpace="0" w:wrap="auto" w:vAnchor="margin" w:hAnchor="text" w:yAlign="inline"/>
            </w:pPr>
          </w:p>
        </w:tc>
        <w:tc>
          <w:tcPr>
            <w:tcW w:w="2115" w:type="dxa"/>
            <w:shd w:val="clear" w:color="auto" w:fill="FFF2CC" w:themeFill="accent4" w:themeFillTint="33"/>
          </w:tcPr>
          <w:p w14:paraId="667F9D98" w14:textId="77777777" w:rsidR="00CA19FE" w:rsidRPr="007D443A" w:rsidRDefault="00CA19FE" w:rsidP="002F10F4">
            <w:pPr>
              <w:pStyle w:val="Tabletext"/>
              <w:framePr w:hSpace="0" w:wrap="auto" w:vAnchor="margin" w:hAnchor="text" w:yAlign="inline"/>
            </w:pPr>
          </w:p>
        </w:tc>
        <w:tc>
          <w:tcPr>
            <w:tcW w:w="1665" w:type="dxa"/>
            <w:shd w:val="clear" w:color="auto" w:fill="FFF2CC" w:themeFill="accent4" w:themeFillTint="33"/>
          </w:tcPr>
          <w:p w14:paraId="48CDAF9A" w14:textId="28015ACA" w:rsidR="00CA19FE" w:rsidRPr="007D443A" w:rsidRDefault="00CA19FE" w:rsidP="002F10F4">
            <w:pPr>
              <w:pStyle w:val="Tabletext"/>
              <w:framePr w:hSpace="0" w:wrap="auto" w:vAnchor="margin" w:hAnchor="text" w:yAlign="inline"/>
            </w:pPr>
            <w:r w:rsidRPr="007D443A">
              <w:t>Commissioning Team training</w:t>
            </w:r>
          </w:p>
        </w:tc>
        <w:tc>
          <w:tcPr>
            <w:tcW w:w="1524" w:type="dxa"/>
            <w:shd w:val="clear" w:color="auto" w:fill="FFF2CC" w:themeFill="accent4" w:themeFillTint="33"/>
          </w:tcPr>
          <w:p w14:paraId="15D6898E" w14:textId="5704BD11" w:rsidR="00CA19FE" w:rsidRPr="007D443A" w:rsidRDefault="00CA19FE" w:rsidP="002F10F4">
            <w:pPr>
              <w:pStyle w:val="Tabletext"/>
              <w:framePr w:hSpace="0" w:wrap="auto" w:vAnchor="margin" w:hAnchor="text" w:yAlign="inline"/>
              <w:rPr>
                <w:i/>
                <w:iCs/>
              </w:rPr>
            </w:pPr>
            <w:r w:rsidRPr="007D443A">
              <w:t>CFO and Head of Commissioning</w:t>
            </w:r>
          </w:p>
        </w:tc>
        <w:tc>
          <w:tcPr>
            <w:tcW w:w="6563" w:type="dxa"/>
            <w:shd w:val="clear" w:color="auto" w:fill="FFF2CC" w:themeFill="accent4" w:themeFillTint="33"/>
          </w:tcPr>
          <w:p w14:paraId="417974E6" w14:textId="391C9DD0" w:rsidR="00CA19FE" w:rsidRPr="007D443A" w:rsidRDefault="00CA19FE" w:rsidP="00834FE8">
            <w:pPr>
              <w:pStyle w:val="Tabletext"/>
              <w:framePr w:hSpace="0" w:wrap="auto" w:vAnchor="margin" w:hAnchor="text" w:yAlign="inline"/>
              <w:rPr>
                <w:i/>
                <w:iCs/>
              </w:rPr>
            </w:pPr>
            <w:r w:rsidRPr="007D443A">
              <w:t>Owing to the constantly changing landscape, there is a need for further training for staff.</w:t>
            </w:r>
          </w:p>
        </w:tc>
        <w:tc>
          <w:tcPr>
            <w:tcW w:w="2378" w:type="dxa"/>
            <w:vMerge w:val="restart"/>
            <w:shd w:val="clear" w:color="auto" w:fill="FFF2CC" w:themeFill="accent4" w:themeFillTint="33"/>
          </w:tcPr>
          <w:p w14:paraId="6B866F3F" w14:textId="7685B492" w:rsidR="00CA19FE" w:rsidRPr="007D443A" w:rsidRDefault="00CA19FE" w:rsidP="002F10F4">
            <w:pPr>
              <w:pStyle w:val="Tabletext"/>
              <w:framePr w:hSpace="0" w:wrap="auto" w:vAnchor="margin" w:hAnchor="text" w:yAlign="inline"/>
            </w:pPr>
            <w:r w:rsidRPr="007D443A">
              <w:t>MET</w:t>
            </w:r>
          </w:p>
        </w:tc>
      </w:tr>
      <w:tr w:rsidR="00CA19FE" w14:paraId="53119109" w14:textId="77777777" w:rsidTr="00BB187A">
        <w:trPr>
          <w:cantSplit/>
          <w:trHeight w:val="212"/>
        </w:trPr>
        <w:tc>
          <w:tcPr>
            <w:tcW w:w="315" w:type="dxa"/>
            <w:shd w:val="clear" w:color="auto" w:fill="FFF2CC" w:themeFill="accent4" w:themeFillTint="33"/>
          </w:tcPr>
          <w:p w14:paraId="3E05D5C7" w14:textId="77777777" w:rsidR="00CA19FE" w:rsidRDefault="00CA19FE" w:rsidP="002F10F4">
            <w:pPr>
              <w:pStyle w:val="Tabletext"/>
              <w:framePr w:hSpace="0" w:wrap="auto" w:vAnchor="margin" w:hAnchor="text" w:yAlign="inline"/>
            </w:pPr>
          </w:p>
        </w:tc>
        <w:tc>
          <w:tcPr>
            <w:tcW w:w="2115" w:type="dxa"/>
            <w:shd w:val="clear" w:color="auto" w:fill="FFF2CC" w:themeFill="accent4" w:themeFillTint="33"/>
          </w:tcPr>
          <w:p w14:paraId="00E6F5AF" w14:textId="77777777" w:rsidR="00CA19FE" w:rsidRPr="007D443A" w:rsidRDefault="00CA19FE" w:rsidP="002F10F4">
            <w:pPr>
              <w:pStyle w:val="Tabletext"/>
              <w:framePr w:hSpace="0" w:wrap="auto" w:vAnchor="margin" w:hAnchor="text" w:yAlign="inline"/>
            </w:pPr>
          </w:p>
        </w:tc>
        <w:tc>
          <w:tcPr>
            <w:tcW w:w="1665" w:type="dxa"/>
            <w:shd w:val="clear" w:color="auto" w:fill="FFF2CC" w:themeFill="accent4" w:themeFillTint="33"/>
          </w:tcPr>
          <w:p w14:paraId="376BEB81" w14:textId="77777777" w:rsidR="00CA19FE" w:rsidRPr="007D443A" w:rsidRDefault="00CA19FE" w:rsidP="002F10F4">
            <w:pPr>
              <w:pStyle w:val="Tabletext"/>
              <w:framePr w:hSpace="0" w:wrap="auto" w:vAnchor="margin" w:hAnchor="text" w:yAlign="inline"/>
            </w:pPr>
          </w:p>
        </w:tc>
        <w:tc>
          <w:tcPr>
            <w:tcW w:w="1524" w:type="dxa"/>
            <w:shd w:val="clear" w:color="auto" w:fill="FFF2CC" w:themeFill="accent4" w:themeFillTint="33"/>
          </w:tcPr>
          <w:p w14:paraId="42367ECB" w14:textId="77777777" w:rsidR="00CA19FE" w:rsidRPr="007D443A" w:rsidRDefault="00CA19FE" w:rsidP="002F10F4">
            <w:pPr>
              <w:pStyle w:val="Tabletext"/>
              <w:framePr w:hSpace="0" w:wrap="auto" w:vAnchor="margin" w:hAnchor="text" w:yAlign="inline"/>
            </w:pPr>
          </w:p>
        </w:tc>
        <w:tc>
          <w:tcPr>
            <w:tcW w:w="6563" w:type="dxa"/>
            <w:shd w:val="clear" w:color="auto" w:fill="FFF2CC" w:themeFill="accent4" w:themeFillTint="33"/>
          </w:tcPr>
          <w:p w14:paraId="3FAB0943" w14:textId="7D7CEA8A" w:rsidR="00CA19FE" w:rsidRPr="00CA19FE" w:rsidRDefault="00CA19FE" w:rsidP="002F10F4">
            <w:pPr>
              <w:pStyle w:val="Tabletext"/>
              <w:framePr w:hSpace="0" w:wrap="auto" w:vAnchor="margin" w:hAnchor="text" w:yAlign="inline"/>
              <w:rPr>
                <w:i/>
                <w:iCs/>
              </w:rPr>
            </w:pPr>
            <w:r>
              <w:rPr>
                <w:i/>
                <w:iCs/>
              </w:rPr>
              <w:t>Specific training identified and arranged; will take place later in 2026</w:t>
            </w:r>
          </w:p>
        </w:tc>
        <w:tc>
          <w:tcPr>
            <w:tcW w:w="2378" w:type="dxa"/>
            <w:vMerge/>
            <w:shd w:val="clear" w:color="auto" w:fill="FFF2CC" w:themeFill="accent4" w:themeFillTint="33"/>
          </w:tcPr>
          <w:p w14:paraId="1F8F2F2D" w14:textId="77777777" w:rsidR="00CA19FE" w:rsidRPr="007D443A" w:rsidRDefault="00CA19FE" w:rsidP="002F10F4">
            <w:pPr>
              <w:pStyle w:val="Tabletext"/>
              <w:framePr w:hSpace="0" w:wrap="auto" w:vAnchor="margin" w:hAnchor="text" w:yAlign="inline"/>
            </w:pPr>
          </w:p>
        </w:tc>
      </w:tr>
      <w:tr w:rsidR="002F10F4" w14:paraId="276D5A6E" w14:textId="77777777" w:rsidTr="00BB187A">
        <w:trPr>
          <w:cantSplit/>
          <w:trHeight w:val="212"/>
        </w:trPr>
        <w:tc>
          <w:tcPr>
            <w:tcW w:w="315" w:type="dxa"/>
            <w:shd w:val="clear" w:color="auto" w:fill="FFE599" w:themeFill="accent4" w:themeFillTint="66"/>
          </w:tcPr>
          <w:p w14:paraId="43DF5F24" w14:textId="6FB1782D" w:rsidR="002F10F4" w:rsidRDefault="00443F58" w:rsidP="002F10F4">
            <w:pPr>
              <w:pStyle w:val="Tabletext"/>
              <w:framePr w:hSpace="0" w:wrap="auto" w:vAnchor="margin" w:hAnchor="text" w:yAlign="inline"/>
            </w:pPr>
            <w:r>
              <w:t>6</w:t>
            </w:r>
          </w:p>
        </w:tc>
        <w:tc>
          <w:tcPr>
            <w:tcW w:w="2115" w:type="dxa"/>
            <w:shd w:val="clear" w:color="auto" w:fill="FFE599" w:themeFill="accent4" w:themeFillTint="66"/>
          </w:tcPr>
          <w:p w14:paraId="6B51BDF2" w14:textId="77777777" w:rsidR="002F10F4" w:rsidRPr="007D443A" w:rsidRDefault="002F10F4" w:rsidP="002F10F4">
            <w:pPr>
              <w:pStyle w:val="Tabletext"/>
              <w:framePr w:hSpace="0" w:wrap="auto" w:vAnchor="margin" w:hAnchor="text" w:yAlign="inline"/>
            </w:pPr>
            <w:r w:rsidRPr="007D443A">
              <w:t>F. Managing risks and performance through robust internal control and strong public financial management</w:t>
            </w:r>
          </w:p>
        </w:tc>
        <w:tc>
          <w:tcPr>
            <w:tcW w:w="1665" w:type="dxa"/>
            <w:shd w:val="clear" w:color="auto" w:fill="FFE599" w:themeFill="accent4" w:themeFillTint="66"/>
          </w:tcPr>
          <w:p w14:paraId="39F0CCE6" w14:textId="1D5997B1" w:rsidR="002F10F4" w:rsidRPr="007D443A" w:rsidRDefault="002F10F4" w:rsidP="002F10F4">
            <w:pPr>
              <w:pStyle w:val="Tabletext"/>
              <w:framePr w:hSpace="0" w:wrap="auto" w:vAnchor="margin" w:hAnchor="text" w:yAlign="inline"/>
            </w:pPr>
            <w:r w:rsidRPr="007D443A">
              <w:t xml:space="preserve">Appointment of analyst to provide data analysis and insight across all departments and new Boards </w:t>
            </w:r>
          </w:p>
        </w:tc>
        <w:tc>
          <w:tcPr>
            <w:tcW w:w="1524" w:type="dxa"/>
            <w:shd w:val="clear" w:color="auto" w:fill="FFE599" w:themeFill="accent4" w:themeFillTint="66"/>
          </w:tcPr>
          <w:p w14:paraId="782CE250" w14:textId="4D7085CF" w:rsidR="002F10F4" w:rsidRPr="007D443A" w:rsidRDefault="002F10F4" w:rsidP="002F10F4">
            <w:pPr>
              <w:pStyle w:val="Tabletext"/>
              <w:framePr w:hSpace="0" w:wrap="auto" w:vAnchor="margin" w:hAnchor="text" w:yAlign="inline"/>
            </w:pPr>
            <w:r w:rsidRPr="007D443A">
              <w:t xml:space="preserve">Chief Executive and Head of </w:t>
            </w:r>
            <w:r w:rsidR="00A04121">
              <w:t xml:space="preserve">Governance and </w:t>
            </w:r>
            <w:r w:rsidRPr="007D443A">
              <w:t>Performance</w:t>
            </w:r>
          </w:p>
        </w:tc>
        <w:tc>
          <w:tcPr>
            <w:tcW w:w="6563" w:type="dxa"/>
            <w:shd w:val="clear" w:color="auto" w:fill="FFE599" w:themeFill="accent4" w:themeFillTint="66"/>
          </w:tcPr>
          <w:p w14:paraId="414F85CD" w14:textId="27985B17" w:rsidR="002F10F4" w:rsidRPr="007D443A" w:rsidRDefault="002F10F4" w:rsidP="002F10F4">
            <w:pPr>
              <w:pStyle w:val="Tabletext"/>
              <w:framePr w:hSpace="0" w:wrap="auto" w:vAnchor="margin" w:hAnchor="text" w:yAlign="inline"/>
            </w:pPr>
            <w:r w:rsidRPr="007D443A">
              <w:t xml:space="preserve">There needs to be a greater understanding on what data exists both internally and with partners, and how best to collate this to maximise its use for the Office. </w:t>
            </w:r>
          </w:p>
        </w:tc>
        <w:tc>
          <w:tcPr>
            <w:tcW w:w="2378" w:type="dxa"/>
            <w:shd w:val="clear" w:color="auto" w:fill="FFE599" w:themeFill="accent4" w:themeFillTint="66"/>
          </w:tcPr>
          <w:p w14:paraId="22CCD753" w14:textId="003EB0F7" w:rsidR="002F10F4" w:rsidRPr="007D443A" w:rsidRDefault="00972816" w:rsidP="002F10F4">
            <w:pPr>
              <w:pStyle w:val="Tabletext"/>
              <w:framePr w:hSpace="0" w:wrap="auto" w:vAnchor="margin" w:hAnchor="text" w:yAlign="inline"/>
            </w:pPr>
            <w:r w:rsidRPr="007D443A">
              <w:t>PARTIALLY MET</w:t>
            </w:r>
          </w:p>
        </w:tc>
      </w:tr>
      <w:tr w:rsidR="002F10F4" w14:paraId="45DCB589" w14:textId="77777777" w:rsidTr="00BB187A">
        <w:trPr>
          <w:cantSplit/>
          <w:trHeight w:val="212"/>
        </w:trPr>
        <w:tc>
          <w:tcPr>
            <w:tcW w:w="315" w:type="dxa"/>
            <w:shd w:val="clear" w:color="auto" w:fill="FFE599" w:themeFill="accent4" w:themeFillTint="66"/>
          </w:tcPr>
          <w:p w14:paraId="2932E82F" w14:textId="77777777" w:rsidR="002F10F4" w:rsidRDefault="002F10F4" w:rsidP="002F10F4">
            <w:pPr>
              <w:pStyle w:val="Tabletext"/>
              <w:framePr w:hSpace="0" w:wrap="auto" w:vAnchor="margin" w:hAnchor="text" w:yAlign="inline"/>
            </w:pPr>
          </w:p>
        </w:tc>
        <w:tc>
          <w:tcPr>
            <w:tcW w:w="2115" w:type="dxa"/>
            <w:shd w:val="clear" w:color="auto" w:fill="FFE599" w:themeFill="accent4" w:themeFillTint="66"/>
          </w:tcPr>
          <w:p w14:paraId="21020BB9" w14:textId="77777777" w:rsidR="002F10F4" w:rsidRPr="007D443A" w:rsidRDefault="002F10F4" w:rsidP="002F10F4">
            <w:pPr>
              <w:pStyle w:val="Tabletext"/>
              <w:framePr w:hSpace="0" w:wrap="auto" w:vAnchor="margin" w:hAnchor="text" w:yAlign="inline"/>
            </w:pPr>
          </w:p>
        </w:tc>
        <w:tc>
          <w:tcPr>
            <w:tcW w:w="1665" w:type="dxa"/>
            <w:shd w:val="clear" w:color="auto" w:fill="FFE599" w:themeFill="accent4" w:themeFillTint="66"/>
          </w:tcPr>
          <w:p w14:paraId="668877F8" w14:textId="0173749B" w:rsidR="002F10F4" w:rsidRPr="007D443A" w:rsidRDefault="002F10F4" w:rsidP="002F10F4">
            <w:pPr>
              <w:pStyle w:val="Tabletext"/>
              <w:framePr w:hSpace="0" w:wrap="auto" w:vAnchor="margin" w:hAnchor="text" w:yAlign="inline"/>
            </w:pPr>
          </w:p>
        </w:tc>
        <w:tc>
          <w:tcPr>
            <w:tcW w:w="1524" w:type="dxa"/>
            <w:shd w:val="clear" w:color="auto" w:fill="FFE599" w:themeFill="accent4" w:themeFillTint="66"/>
          </w:tcPr>
          <w:p w14:paraId="1C6F550A" w14:textId="7B0B7424" w:rsidR="002F10F4" w:rsidRPr="007D443A" w:rsidRDefault="002F10F4" w:rsidP="002F10F4">
            <w:pPr>
              <w:pStyle w:val="Tabletext"/>
              <w:framePr w:hSpace="0" w:wrap="auto" w:vAnchor="margin" w:hAnchor="text" w:yAlign="inline"/>
            </w:pPr>
          </w:p>
        </w:tc>
        <w:tc>
          <w:tcPr>
            <w:tcW w:w="6563" w:type="dxa"/>
            <w:shd w:val="clear" w:color="auto" w:fill="FFE599" w:themeFill="accent4" w:themeFillTint="66"/>
          </w:tcPr>
          <w:p w14:paraId="320147EE" w14:textId="558B4260" w:rsidR="002F10F4" w:rsidRPr="00CA19FE" w:rsidRDefault="00CA19FE" w:rsidP="002F10F4">
            <w:pPr>
              <w:pStyle w:val="Tabletext"/>
              <w:framePr w:hSpace="0" w:wrap="auto" w:vAnchor="margin" w:hAnchor="text" w:yAlign="inline"/>
              <w:rPr>
                <w:i/>
                <w:iCs/>
              </w:rPr>
            </w:pPr>
            <w:r>
              <w:rPr>
                <w:i/>
                <w:iCs/>
              </w:rPr>
              <w:t xml:space="preserve">Significantly more data is provided to both the </w:t>
            </w:r>
            <w:r w:rsidR="005307A0" w:rsidRPr="00CA19FE">
              <w:rPr>
                <w:i/>
                <w:iCs/>
              </w:rPr>
              <w:t>KCJB and CDSP.</w:t>
            </w:r>
          </w:p>
          <w:p w14:paraId="2D719A16" w14:textId="1E1A3354" w:rsidR="005307A0" w:rsidRPr="007D443A" w:rsidRDefault="005307A0" w:rsidP="002F10F4">
            <w:pPr>
              <w:pStyle w:val="Tabletext"/>
              <w:framePr w:hSpace="0" w:wrap="auto" w:vAnchor="margin" w:hAnchor="text" w:yAlign="inline"/>
            </w:pPr>
            <w:r w:rsidRPr="00CA19FE">
              <w:rPr>
                <w:i/>
                <w:iCs/>
              </w:rPr>
              <w:t xml:space="preserve">However, </w:t>
            </w:r>
            <w:r w:rsidR="00370A79">
              <w:rPr>
                <w:i/>
                <w:iCs/>
              </w:rPr>
              <w:t xml:space="preserve">the OPCC </w:t>
            </w:r>
            <w:r w:rsidRPr="00CA19FE">
              <w:rPr>
                <w:i/>
                <w:iCs/>
              </w:rPr>
              <w:t>do</w:t>
            </w:r>
            <w:r w:rsidR="00024EAF">
              <w:rPr>
                <w:i/>
                <w:iCs/>
              </w:rPr>
              <w:t>es</w:t>
            </w:r>
            <w:r w:rsidRPr="00CA19FE">
              <w:rPr>
                <w:i/>
                <w:iCs/>
              </w:rPr>
              <w:t xml:space="preserve"> not have access to Force data, and will not until Power BI is introduced, </w:t>
            </w:r>
            <w:r w:rsidR="00370A79">
              <w:rPr>
                <w:i/>
                <w:iCs/>
              </w:rPr>
              <w:t xml:space="preserve">the date of </w:t>
            </w:r>
            <w:r w:rsidRPr="00CA19FE">
              <w:rPr>
                <w:i/>
                <w:iCs/>
              </w:rPr>
              <w:t>which is unknown.</w:t>
            </w:r>
            <w:r w:rsidRPr="007D443A">
              <w:t xml:space="preserve"> </w:t>
            </w:r>
          </w:p>
        </w:tc>
        <w:tc>
          <w:tcPr>
            <w:tcW w:w="2378" w:type="dxa"/>
            <w:shd w:val="clear" w:color="auto" w:fill="FFE599" w:themeFill="accent4" w:themeFillTint="66"/>
          </w:tcPr>
          <w:p w14:paraId="7A3106BF" w14:textId="77777777" w:rsidR="002F10F4" w:rsidRPr="007D443A" w:rsidRDefault="002F10F4" w:rsidP="002F10F4">
            <w:pPr>
              <w:pStyle w:val="Tabletext"/>
              <w:framePr w:hSpace="0" w:wrap="auto" w:vAnchor="margin" w:hAnchor="text" w:yAlign="inline"/>
            </w:pPr>
          </w:p>
        </w:tc>
      </w:tr>
      <w:tr w:rsidR="00D61044" w14:paraId="20AD4FD5" w14:textId="77777777" w:rsidTr="00BB187A">
        <w:trPr>
          <w:cantSplit/>
          <w:trHeight w:val="212"/>
        </w:trPr>
        <w:tc>
          <w:tcPr>
            <w:tcW w:w="315" w:type="dxa"/>
            <w:shd w:val="clear" w:color="auto" w:fill="FFE599" w:themeFill="accent4" w:themeFillTint="66"/>
          </w:tcPr>
          <w:p w14:paraId="5E7C7EB8" w14:textId="77777777" w:rsidR="00D61044" w:rsidRDefault="00D61044" w:rsidP="002F10F4">
            <w:pPr>
              <w:pStyle w:val="Tabletext"/>
              <w:framePr w:hSpace="0" w:wrap="auto" w:vAnchor="margin" w:hAnchor="text" w:yAlign="inline"/>
            </w:pPr>
          </w:p>
        </w:tc>
        <w:tc>
          <w:tcPr>
            <w:tcW w:w="2115" w:type="dxa"/>
            <w:shd w:val="clear" w:color="auto" w:fill="FFE599" w:themeFill="accent4" w:themeFillTint="66"/>
          </w:tcPr>
          <w:p w14:paraId="69164E2E" w14:textId="77777777" w:rsidR="00D61044" w:rsidRPr="007D443A" w:rsidRDefault="00D61044" w:rsidP="002F10F4">
            <w:pPr>
              <w:pStyle w:val="Tabletext"/>
              <w:framePr w:hSpace="0" w:wrap="auto" w:vAnchor="margin" w:hAnchor="text" w:yAlign="inline"/>
            </w:pPr>
          </w:p>
        </w:tc>
        <w:tc>
          <w:tcPr>
            <w:tcW w:w="1665" w:type="dxa"/>
            <w:shd w:val="clear" w:color="auto" w:fill="FFE599" w:themeFill="accent4" w:themeFillTint="66"/>
          </w:tcPr>
          <w:p w14:paraId="17C225C9" w14:textId="5FF426CA" w:rsidR="00D61044" w:rsidRPr="007D443A" w:rsidRDefault="00D61044" w:rsidP="002F10F4">
            <w:pPr>
              <w:pStyle w:val="Tabletext"/>
              <w:framePr w:hSpace="0" w:wrap="auto" w:vAnchor="margin" w:hAnchor="text" w:yAlign="inline"/>
            </w:pPr>
            <w:r w:rsidRPr="007D443A">
              <w:t>Strengthened process in commissioning for mid and end of year reviews</w:t>
            </w:r>
          </w:p>
        </w:tc>
        <w:tc>
          <w:tcPr>
            <w:tcW w:w="1524" w:type="dxa"/>
            <w:shd w:val="clear" w:color="auto" w:fill="FFE599" w:themeFill="accent4" w:themeFillTint="66"/>
          </w:tcPr>
          <w:p w14:paraId="0E305927" w14:textId="3480F52A" w:rsidR="00D61044" w:rsidRPr="007D443A" w:rsidRDefault="00D61044" w:rsidP="002F10F4">
            <w:pPr>
              <w:pStyle w:val="Tabletext"/>
              <w:framePr w:hSpace="0" w:wrap="auto" w:vAnchor="margin" w:hAnchor="text" w:yAlign="inline"/>
            </w:pPr>
            <w:r w:rsidRPr="007D443A">
              <w:t>Head of Commissioning</w:t>
            </w:r>
          </w:p>
        </w:tc>
        <w:tc>
          <w:tcPr>
            <w:tcW w:w="6563" w:type="dxa"/>
            <w:shd w:val="clear" w:color="auto" w:fill="FFE599" w:themeFill="accent4" w:themeFillTint="66"/>
          </w:tcPr>
          <w:p w14:paraId="524A27AB" w14:textId="77777777" w:rsidR="00D61044" w:rsidRPr="007D443A" w:rsidRDefault="00D61044" w:rsidP="002F10F4">
            <w:pPr>
              <w:rPr>
                <w:sz w:val="18"/>
                <w:szCs w:val="18"/>
              </w:rPr>
            </w:pPr>
            <w:r w:rsidRPr="007D443A">
              <w:rPr>
                <w:sz w:val="18"/>
                <w:szCs w:val="18"/>
              </w:rPr>
              <w:t xml:space="preserve">As a part of the new process, the team will introduce spot check audits on providers, in line with the RAG rating. </w:t>
            </w:r>
          </w:p>
          <w:p w14:paraId="6FD8EB6E" w14:textId="19DF16D5" w:rsidR="00D61044" w:rsidRPr="007D443A" w:rsidRDefault="00D61044" w:rsidP="00834FE8">
            <w:pPr>
              <w:pStyle w:val="Tabletext"/>
              <w:framePr w:hSpace="0" w:wrap="auto" w:vAnchor="margin" w:hAnchor="text" w:yAlign="inline"/>
            </w:pPr>
            <w:r w:rsidRPr="007D443A">
              <w:t>There is also a need to establish a framework to provide independent assurance on providers’ services and governance arrangements.</w:t>
            </w:r>
          </w:p>
        </w:tc>
        <w:tc>
          <w:tcPr>
            <w:tcW w:w="2378" w:type="dxa"/>
            <w:vMerge w:val="restart"/>
            <w:shd w:val="clear" w:color="auto" w:fill="FFE599" w:themeFill="accent4" w:themeFillTint="66"/>
          </w:tcPr>
          <w:p w14:paraId="7FF17058" w14:textId="77777777" w:rsidR="00D61044" w:rsidRPr="007D443A" w:rsidRDefault="00D61044" w:rsidP="002F10F4">
            <w:pPr>
              <w:pStyle w:val="Tabletext"/>
              <w:framePr w:hSpace="0" w:wrap="auto" w:vAnchor="margin" w:hAnchor="text" w:yAlign="inline"/>
            </w:pPr>
            <w:r w:rsidRPr="007D443A">
              <w:t>PARTIALLY MET</w:t>
            </w:r>
          </w:p>
          <w:p w14:paraId="365A1331" w14:textId="77777777" w:rsidR="00D61044" w:rsidRPr="007D443A" w:rsidRDefault="00D61044" w:rsidP="002F10F4">
            <w:pPr>
              <w:pStyle w:val="Tabletext"/>
              <w:framePr w:hSpace="0" w:wrap="auto" w:vAnchor="margin" w:hAnchor="text" w:yAlign="inline"/>
            </w:pPr>
          </w:p>
          <w:p w14:paraId="3D1843BD" w14:textId="0155376C" w:rsidR="00D61044" w:rsidRPr="007D443A" w:rsidRDefault="00D61044" w:rsidP="002F10F4">
            <w:pPr>
              <w:pStyle w:val="Tabletext"/>
              <w:framePr w:hSpace="0" w:wrap="auto" w:vAnchor="margin" w:hAnchor="text" w:yAlign="inline"/>
            </w:pPr>
            <w:r w:rsidRPr="007D443A">
              <w:t>PARTIALLY MET</w:t>
            </w:r>
          </w:p>
          <w:p w14:paraId="6FCCD8FD" w14:textId="5341D67D" w:rsidR="00D61044" w:rsidRPr="007D443A" w:rsidRDefault="00D61044" w:rsidP="002F10F4">
            <w:pPr>
              <w:pStyle w:val="Tabletext"/>
              <w:framePr w:hSpace="0" w:wrap="auto" w:vAnchor="margin" w:hAnchor="text" w:yAlign="inline"/>
            </w:pPr>
          </w:p>
        </w:tc>
      </w:tr>
      <w:tr w:rsidR="00D61044" w14:paraId="605552F4" w14:textId="77777777" w:rsidTr="00BB187A">
        <w:trPr>
          <w:cantSplit/>
          <w:trHeight w:val="212"/>
        </w:trPr>
        <w:tc>
          <w:tcPr>
            <w:tcW w:w="315" w:type="dxa"/>
            <w:shd w:val="clear" w:color="auto" w:fill="FFE599" w:themeFill="accent4" w:themeFillTint="66"/>
          </w:tcPr>
          <w:p w14:paraId="2D141BB4" w14:textId="77777777" w:rsidR="00D61044" w:rsidRDefault="00D61044" w:rsidP="00BB187A">
            <w:pPr>
              <w:pStyle w:val="Tabletext"/>
              <w:framePr w:hSpace="0" w:wrap="auto" w:vAnchor="margin" w:hAnchor="text" w:yAlign="inline"/>
            </w:pPr>
          </w:p>
        </w:tc>
        <w:tc>
          <w:tcPr>
            <w:tcW w:w="2115" w:type="dxa"/>
            <w:shd w:val="clear" w:color="auto" w:fill="FFE599" w:themeFill="accent4" w:themeFillTint="66"/>
          </w:tcPr>
          <w:p w14:paraId="777796EA" w14:textId="77777777" w:rsidR="00D61044" w:rsidRPr="007D443A" w:rsidRDefault="00D61044" w:rsidP="00BB187A">
            <w:pPr>
              <w:pStyle w:val="Tabletext"/>
              <w:framePr w:hSpace="0" w:wrap="auto" w:vAnchor="margin" w:hAnchor="text" w:yAlign="inline"/>
            </w:pPr>
          </w:p>
        </w:tc>
        <w:tc>
          <w:tcPr>
            <w:tcW w:w="1665" w:type="dxa"/>
            <w:shd w:val="clear" w:color="auto" w:fill="FFE599" w:themeFill="accent4" w:themeFillTint="66"/>
          </w:tcPr>
          <w:p w14:paraId="41E576A2" w14:textId="77777777" w:rsidR="00D61044" w:rsidRPr="007D443A" w:rsidRDefault="00D61044" w:rsidP="00BB187A">
            <w:pPr>
              <w:pStyle w:val="Tabletext"/>
              <w:framePr w:hSpace="0" w:wrap="auto" w:vAnchor="margin" w:hAnchor="text" w:yAlign="inline"/>
            </w:pPr>
          </w:p>
        </w:tc>
        <w:tc>
          <w:tcPr>
            <w:tcW w:w="1524" w:type="dxa"/>
            <w:shd w:val="clear" w:color="auto" w:fill="FFE599" w:themeFill="accent4" w:themeFillTint="66"/>
          </w:tcPr>
          <w:p w14:paraId="1B0506C9" w14:textId="77777777" w:rsidR="00D61044" w:rsidRPr="007D443A" w:rsidRDefault="00D61044" w:rsidP="00BB187A">
            <w:pPr>
              <w:pStyle w:val="Tabletext"/>
              <w:framePr w:hSpace="0" w:wrap="auto" w:vAnchor="margin" w:hAnchor="text" w:yAlign="inline"/>
            </w:pPr>
          </w:p>
        </w:tc>
        <w:tc>
          <w:tcPr>
            <w:tcW w:w="6563" w:type="dxa"/>
            <w:shd w:val="clear" w:color="auto" w:fill="FFE599" w:themeFill="accent4" w:themeFillTint="66"/>
          </w:tcPr>
          <w:p w14:paraId="458AE5D3" w14:textId="51020AC9" w:rsidR="00D61044" w:rsidRPr="00D61044" w:rsidRDefault="00D61044" w:rsidP="00370A79">
            <w:pPr>
              <w:pStyle w:val="Tabletext"/>
              <w:framePr w:hSpace="0" w:wrap="auto" w:vAnchor="margin" w:hAnchor="text" w:yAlign="inline"/>
              <w:rPr>
                <w:i/>
                <w:iCs/>
              </w:rPr>
            </w:pPr>
            <w:r w:rsidRPr="00D61044">
              <w:rPr>
                <w:i/>
                <w:iCs/>
              </w:rPr>
              <w:t>Work with 7 Force Procurement to review commissioned services’ arrangements</w:t>
            </w:r>
          </w:p>
          <w:p w14:paraId="2AE21002" w14:textId="0EA60A53" w:rsidR="00D61044" w:rsidRPr="007D443A" w:rsidRDefault="00D61044" w:rsidP="00370A79">
            <w:pPr>
              <w:pStyle w:val="Tabletext"/>
              <w:framePr w:hSpace="0" w:wrap="auto" w:vAnchor="margin" w:hAnchor="text" w:yAlign="inline"/>
            </w:pPr>
            <w:r w:rsidRPr="00D61044">
              <w:rPr>
                <w:i/>
                <w:iCs/>
              </w:rPr>
              <w:t>Changed process to ensure all organisations seeking funding self-declare governance arrangements</w:t>
            </w:r>
          </w:p>
        </w:tc>
        <w:tc>
          <w:tcPr>
            <w:tcW w:w="2378" w:type="dxa"/>
            <w:vMerge/>
            <w:shd w:val="clear" w:color="auto" w:fill="FFE599" w:themeFill="accent4" w:themeFillTint="66"/>
          </w:tcPr>
          <w:p w14:paraId="3D8CDF0A" w14:textId="77777777" w:rsidR="00D61044" w:rsidRPr="007D443A" w:rsidRDefault="00D61044" w:rsidP="00BB187A">
            <w:pPr>
              <w:pStyle w:val="Tabletext"/>
              <w:framePr w:hSpace="0" w:wrap="auto" w:vAnchor="margin" w:hAnchor="text" w:yAlign="inline"/>
            </w:pPr>
          </w:p>
        </w:tc>
      </w:tr>
      <w:tr w:rsidR="002F10F4" w14:paraId="0A804FCA" w14:textId="77777777" w:rsidTr="00BB187A">
        <w:trPr>
          <w:cantSplit/>
          <w:trHeight w:val="219"/>
        </w:trPr>
        <w:tc>
          <w:tcPr>
            <w:tcW w:w="315" w:type="dxa"/>
            <w:shd w:val="clear" w:color="auto" w:fill="FFF2CC" w:themeFill="accent4" w:themeFillTint="33"/>
          </w:tcPr>
          <w:p w14:paraId="3F2D3531" w14:textId="065C5A26" w:rsidR="002F10F4" w:rsidRPr="00B91EA8" w:rsidRDefault="00443F58" w:rsidP="002F10F4">
            <w:pPr>
              <w:pStyle w:val="Tabletext"/>
              <w:framePr w:hSpace="0" w:wrap="auto" w:vAnchor="margin" w:hAnchor="text" w:yAlign="inline"/>
            </w:pPr>
            <w:r>
              <w:t>7</w:t>
            </w:r>
          </w:p>
        </w:tc>
        <w:tc>
          <w:tcPr>
            <w:tcW w:w="2115" w:type="dxa"/>
            <w:shd w:val="clear" w:color="auto" w:fill="FFF2CC" w:themeFill="accent4" w:themeFillTint="33"/>
          </w:tcPr>
          <w:p w14:paraId="445E6C45" w14:textId="77777777" w:rsidR="002F10F4" w:rsidRPr="007D443A" w:rsidRDefault="002F10F4" w:rsidP="002F10F4">
            <w:pPr>
              <w:pStyle w:val="Tabletext"/>
              <w:framePr w:hSpace="0" w:wrap="auto" w:vAnchor="margin" w:hAnchor="text" w:yAlign="inline"/>
            </w:pPr>
            <w:r w:rsidRPr="007D443A">
              <w:t xml:space="preserve">G. Implementing good practices in transparency, reporting and audit to </w:t>
            </w:r>
            <w:r w:rsidRPr="007D443A">
              <w:rPr>
                <w:color w:val="000000" w:themeColor="text1"/>
              </w:rPr>
              <w:t>deliver</w:t>
            </w:r>
            <w:r w:rsidRPr="007D443A">
              <w:t xml:space="preserve"> effective accountability</w:t>
            </w:r>
          </w:p>
        </w:tc>
        <w:tc>
          <w:tcPr>
            <w:tcW w:w="1665" w:type="dxa"/>
            <w:shd w:val="clear" w:color="auto" w:fill="FFF2CC" w:themeFill="accent4" w:themeFillTint="33"/>
          </w:tcPr>
          <w:p w14:paraId="756C7A3D" w14:textId="673B7190" w:rsidR="002F10F4" w:rsidRPr="007D443A" w:rsidRDefault="002F10F4" w:rsidP="002F10F4">
            <w:pPr>
              <w:pStyle w:val="Tabletext"/>
              <w:framePr w:hSpace="0" w:wrap="auto" w:vAnchor="margin" w:hAnchor="text" w:yAlign="inline"/>
            </w:pPr>
            <w:r w:rsidRPr="007D443A">
              <w:t>Information management and security</w:t>
            </w:r>
          </w:p>
        </w:tc>
        <w:tc>
          <w:tcPr>
            <w:tcW w:w="1524" w:type="dxa"/>
            <w:shd w:val="clear" w:color="auto" w:fill="FFF2CC" w:themeFill="accent4" w:themeFillTint="33"/>
          </w:tcPr>
          <w:p w14:paraId="5D9A7AEE" w14:textId="0B6F86D3" w:rsidR="002F10F4" w:rsidRPr="007D443A" w:rsidRDefault="002F10F4" w:rsidP="002F10F4">
            <w:pPr>
              <w:pStyle w:val="Tabletext"/>
              <w:framePr w:hSpace="0" w:wrap="auto" w:vAnchor="margin" w:hAnchor="text" w:yAlign="inline"/>
            </w:pPr>
            <w:r w:rsidRPr="007D443A">
              <w:t xml:space="preserve">Head of </w:t>
            </w:r>
            <w:r w:rsidR="00A04121">
              <w:t xml:space="preserve">Governance and </w:t>
            </w:r>
            <w:r w:rsidRPr="007D443A">
              <w:t>Performance and Office Manager</w:t>
            </w:r>
          </w:p>
        </w:tc>
        <w:tc>
          <w:tcPr>
            <w:tcW w:w="6563" w:type="dxa"/>
            <w:shd w:val="clear" w:color="auto" w:fill="FFF2CC" w:themeFill="accent4" w:themeFillTint="33"/>
          </w:tcPr>
          <w:p w14:paraId="5334EB00" w14:textId="77777777" w:rsidR="002F10F4" w:rsidRPr="007D443A" w:rsidRDefault="002F10F4" w:rsidP="002F10F4">
            <w:pPr>
              <w:rPr>
                <w:sz w:val="18"/>
                <w:szCs w:val="18"/>
              </w:rPr>
            </w:pPr>
            <w:r w:rsidRPr="007D443A">
              <w:rPr>
                <w:sz w:val="18"/>
                <w:szCs w:val="18"/>
              </w:rPr>
              <w:t>Some of the retained hard copy documents will need to be sent to long term storage.</w:t>
            </w:r>
          </w:p>
          <w:p w14:paraId="0A6AF792" w14:textId="30284BDF" w:rsidR="002F10F4" w:rsidRPr="007D443A" w:rsidRDefault="002F10F4" w:rsidP="002F10F4">
            <w:pPr>
              <w:pStyle w:val="Tabletext"/>
              <w:framePr w:hSpace="0" w:wrap="auto" w:vAnchor="margin" w:hAnchor="text" w:yAlign="inline"/>
            </w:pPr>
            <w:r w:rsidRPr="007D443A">
              <w:t xml:space="preserve">A new asset register will need to be established. </w:t>
            </w:r>
          </w:p>
        </w:tc>
        <w:tc>
          <w:tcPr>
            <w:tcW w:w="2378" w:type="dxa"/>
            <w:vMerge w:val="restart"/>
            <w:shd w:val="clear" w:color="auto" w:fill="FFF2CC" w:themeFill="accent4" w:themeFillTint="33"/>
          </w:tcPr>
          <w:p w14:paraId="44A86039" w14:textId="2CBC8FA1" w:rsidR="002F10F4" w:rsidRPr="007D443A" w:rsidRDefault="00A43E72" w:rsidP="002F10F4">
            <w:pPr>
              <w:pStyle w:val="Tabletext"/>
              <w:framePr w:hSpace="0" w:wrap="auto" w:vAnchor="margin" w:hAnchor="text" w:yAlign="inline"/>
            </w:pPr>
            <w:r w:rsidRPr="007D443A">
              <w:t>PARTIALLY MET</w:t>
            </w:r>
          </w:p>
        </w:tc>
      </w:tr>
      <w:tr w:rsidR="00BB187A" w14:paraId="7F6D2AB9" w14:textId="77777777" w:rsidTr="00BB187A">
        <w:trPr>
          <w:cantSplit/>
          <w:trHeight w:val="219"/>
        </w:trPr>
        <w:tc>
          <w:tcPr>
            <w:tcW w:w="315" w:type="dxa"/>
            <w:shd w:val="clear" w:color="auto" w:fill="FFF2CC" w:themeFill="accent4" w:themeFillTint="33"/>
          </w:tcPr>
          <w:p w14:paraId="7781AD21" w14:textId="77777777" w:rsidR="00BB187A" w:rsidRDefault="00BB187A" w:rsidP="00BB187A">
            <w:pPr>
              <w:pStyle w:val="Tabletext"/>
              <w:framePr w:hSpace="0" w:wrap="auto" w:vAnchor="margin" w:hAnchor="text" w:yAlign="inline"/>
            </w:pPr>
          </w:p>
        </w:tc>
        <w:tc>
          <w:tcPr>
            <w:tcW w:w="2115" w:type="dxa"/>
            <w:shd w:val="clear" w:color="auto" w:fill="FFF2CC" w:themeFill="accent4" w:themeFillTint="33"/>
          </w:tcPr>
          <w:p w14:paraId="44DBC665" w14:textId="77777777" w:rsidR="00BB187A" w:rsidRPr="007D443A" w:rsidRDefault="00BB187A" w:rsidP="00BB187A">
            <w:pPr>
              <w:pStyle w:val="Tabletext"/>
              <w:framePr w:hSpace="0" w:wrap="auto" w:vAnchor="margin" w:hAnchor="text" w:yAlign="inline"/>
            </w:pPr>
          </w:p>
        </w:tc>
        <w:tc>
          <w:tcPr>
            <w:tcW w:w="1665" w:type="dxa"/>
            <w:shd w:val="clear" w:color="auto" w:fill="FFF2CC" w:themeFill="accent4" w:themeFillTint="33"/>
          </w:tcPr>
          <w:p w14:paraId="3E56F0D3" w14:textId="77777777" w:rsidR="00BB187A" w:rsidRPr="007D443A" w:rsidRDefault="00BB187A" w:rsidP="00BB187A">
            <w:pPr>
              <w:pStyle w:val="Tabletext"/>
              <w:framePr w:hSpace="0" w:wrap="auto" w:vAnchor="margin" w:hAnchor="text" w:yAlign="inline"/>
            </w:pPr>
          </w:p>
        </w:tc>
        <w:tc>
          <w:tcPr>
            <w:tcW w:w="1524" w:type="dxa"/>
            <w:shd w:val="clear" w:color="auto" w:fill="FFF2CC" w:themeFill="accent4" w:themeFillTint="33"/>
          </w:tcPr>
          <w:p w14:paraId="2861AA37" w14:textId="77777777" w:rsidR="00BB187A" w:rsidRPr="007D443A" w:rsidRDefault="00BB187A" w:rsidP="00BB187A">
            <w:pPr>
              <w:pStyle w:val="Tabletext"/>
              <w:framePr w:hSpace="0" w:wrap="auto" w:vAnchor="margin" w:hAnchor="text" w:yAlign="inline"/>
            </w:pPr>
          </w:p>
        </w:tc>
        <w:tc>
          <w:tcPr>
            <w:tcW w:w="6563" w:type="dxa"/>
            <w:shd w:val="clear" w:color="auto" w:fill="FFF2CC" w:themeFill="accent4" w:themeFillTint="33"/>
          </w:tcPr>
          <w:p w14:paraId="73C952A2" w14:textId="0BA63A56" w:rsidR="00BB187A" w:rsidRPr="007D443A" w:rsidRDefault="0082547A" w:rsidP="00BB187A">
            <w:pPr>
              <w:pStyle w:val="Tabletext"/>
              <w:framePr w:hSpace="0" w:wrap="auto" w:vAnchor="margin" w:hAnchor="text" w:yAlign="inline"/>
              <w:rPr>
                <w:i/>
                <w:iCs/>
              </w:rPr>
            </w:pPr>
            <w:r w:rsidRPr="007D443A">
              <w:rPr>
                <w:i/>
                <w:iCs/>
              </w:rPr>
              <w:t>Asset register has been created but requires fully populating.</w:t>
            </w:r>
            <w:r w:rsidR="005953A9">
              <w:rPr>
                <w:i/>
                <w:iCs/>
              </w:rPr>
              <w:t xml:space="preserve"> </w:t>
            </w:r>
            <w:r w:rsidRPr="007D443A">
              <w:rPr>
                <w:i/>
                <w:iCs/>
              </w:rPr>
              <w:t xml:space="preserve">Aim for </w:t>
            </w:r>
            <w:r w:rsidR="00885601">
              <w:rPr>
                <w:i/>
                <w:iCs/>
              </w:rPr>
              <w:t xml:space="preserve">completion within </w:t>
            </w:r>
            <w:r w:rsidRPr="007D443A">
              <w:rPr>
                <w:i/>
                <w:iCs/>
              </w:rPr>
              <w:t>one year</w:t>
            </w:r>
          </w:p>
          <w:p w14:paraId="45CBD879" w14:textId="118656D1" w:rsidR="0082547A" w:rsidRPr="007D443A" w:rsidRDefault="00983A63" w:rsidP="00BB187A">
            <w:pPr>
              <w:pStyle w:val="Tabletext"/>
              <w:framePr w:hSpace="0" w:wrap="auto" w:vAnchor="margin" w:hAnchor="text" w:yAlign="inline"/>
              <w:rPr>
                <w:i/>
                <w:iCs/>
              </w:rPr>
            </w:pPr>
            <w:r w:rsidRPr="007D443A">
              <w:rPr>
                <w:i/>
                <w:iCs/>
              </w:rPr>
              <w:t>Hard copy documents have been reviewed</w:t>
            </w:r>
            <w:r w:rsidR="00794B1B" w:rsidRPr="007D443A">
              <w:rPr>
                <w:i/>
                <w:iCs/>
              </w:rPr>
              <w:t xml:space="preserve">; however, </w:t>
            </w:r>
            <w:r w:rsidR="00210D76" w:rsidRPr="007D443A">
              <w:rPr>
                <w:i/>
                <w:iCs/>
              </w:rPr>
              <w:t xml:space="preserve">it is likely that as there is very little hard copy info, may not need long term </w:t>
            </w:r>
            <w:r w:rsidR="00885601" w:rsidRPr="007D443A">
              <w:rPr>
                <w:i/>
                <w:iCs/>
              </w:rPr>
              <w:t>storage</w:t>
            </w:r>
            <w:r w:rsidR="00210D76" w:rsidRPr="007D443A">
              <w:rPr>
                <w:i/>
                <w:iCs/>
              </w:rPr>
              <w:t xml:space="preserve"> </w:t>
            </w:r>
          </w:p>
        </w:tc>
        <w:tc>
          <w:tcPr>
            <w:tcW w:w="2378" w:type="dxa"/>
            <w:vMerge/>
            <w:shd w:val="clear" w:color="auto" w:fill="FFF2CC" w:themeFill="accent4" w:themeFillTint="33"/>
          </w:tcPr>
          <w:p w14:paraId="383C614A" w14:textId="77777777" w:rsidR="00BB187A" w:rsidRPr="007D443A" w:rsidRDefault="00BB187A" w:rsidP="00BB187A">
            <w:pPr>
              <w:pStyle w:val="Tabletext"/>
              <w:framePr w:hSpace="0" w:wrap="auto" w:vAnchor="margin" w:hAnchor="text" w:yAlign="inline"/>
            </w:pPr>
          </w:p>
        </w:tc>
      </w:tr>
      <w:tr w:rsidR="00666356" w14:paraId="7AE41A46" w14:textId="77777777" w:rsidTr="00BB187A">
        <w:trPr>
          <w:cantSplit/>
          <w:trHeight w:val="219"/>
        </w:trPr>
        <w:tc>
          <w:tcPr>
            <w:tcW w:w="315" w:type="dxa"/>
            <w:shd w:val="clear" w:color="auto" w:fill="FFF2CC" w:themeFill="accent4" w:themeFillTint="33"/>
          </w:tcPr>
          <w:p w14:paraId="0C80C39E" w14:textId="77777777" w:rsidR="00666356" w:rsidRDefault="00666356" w:rsidP="002F10F4">
            <w:pPr>
              <w:pStyle w:val="Tabletext"/>
              <w:framePr w:hSpace="0" w:wrap="auto" w:vAnchor="margin" w:hAnchor="text" w:yAlign="inline"/>
            </w:pPr>
          </w:p>
        </w:tc>
        <w:tc>
          <w:tcPr>
            <w:tcW w:w="2115" w:type="dxa"/>
            <w:shd w:val="clear" w:color="auto" w:fill="FFF2CC" w:themeFill="accent4" w:themeFillTint="33"/>
          </w:tcPr>
          <w:p w14:paraId="42DD4CC8" w14:textId="77777777" w:rsidR="00666356" w:rsidRPr="007D443A" w:rsidRDefault="00666356" w:rsidP="002F10F4">
            <w:pPr>
              <w:pStyle w:val="Tabletext"/>
              <w:framePr w:hSpace="0" w:wrap="auto" w:vAnchor="margin" w:hAnchor="text" w:yAlign="inline"/>
            </w:pPr>
          </w:p>
        </w:tc>
        <w:tc>
          <w:tcPr>
            <w:tcW w:w="1665" w:type="dxa"/>
            <w:shd w:val="clear" w:color="auto" w:fill="FFF2CC" w:themeFill="accent4" w:themeFillTint="33"/>
          </w:tcPr>
          <w:p w14:paraId="3ED759F7" w14:textId="3AF9763C" w:rsidR="00666356" w:rsidRPr="007D443A" w:rsidRDefault="00666356" w:rsidP="002F10F4">
            <w:pPr>
              <w:pStyle w:val="Tabletext"/>
              <w:framePr w:hSpace="0" w:wrap="auto" w:vAnchor="margin" w:hAnchor="text" w:yAlign="inline"/>
            </w:pPr>
            <w:r w:rsidRPr="007D443A">
              <w:t>Webcasting JAC</w:t>
            </w:r>
          </w:p>
        </w:tc>
        <w:tc>
          <w:tcPr>
            <w:tcW w:w="1524" w:type="dxa"/>
            <w:shd w:val="clear" w:color="auto" w:fill="FFF2CC" w:themeFill="accent4" w:themeFillTint="33"/>
          </w:tcPr>
          <w:p w14:paraId="66A3333E" w14:textId="0F39BF88" w:rsidR="00666356" w:rsidRPr="007D443A" w:rsidRDefault="00666356" w:rsidP="002F10F4">
            <w:pPr>
              <w:pStyle w:val="Tabletext"/>
              <w:framePr w:hSpace="0" w:wrap="auto" w:vAnchor="margin" w:hAnchor="text" w:yAlign="inline"/>
            </w:pPr>
            <w:r w:rsidRPr="007D443A">
              <w:t>CFO and Head of Standards</w:t>
            </w:r>
          </w:p>
        </w:tc>
        <w:tc>
          <w:tcPr>
            <w:tcW w:w="6563" w:type="dxa"/>
            <w:shd w:val="clear" w:color="auto" w:fill="FFF2CC" w:themeFill="accent4" w:themeFillTint="33"/>
          </w:tcPr>
          <w:p w14:paraId="1DF1BB8D" w14:textId="35756ED1" w:rsidR="00666356" w:rsidRPr="007D443A" w:rsidRDefault="00666356" w:rsidP="002F10F4">
            <w:pPr>
              <w:pStyle w:val="Tabletext"/>
              <w:framePr w:hSpace="0" w:wrap="auto" w:vAnchor="margin" w:hAnchor="text" w:yAlign="inline"/>
              <w:rPr>
                <w:i/>
                <w:iCs/>
              </w:rPr>
            </w:pPr>
            <w:r w:rsidRPr="007D443A">
              <w:t xml:space="preserve">There are some technical issues with simultaneously webcasting and on-line attendance by JAC officers and staff, which need to be resolved. </w:t>
            </w:r>
          </w:p>
        </w:tc>
        <w:tc>
          <w:tcPr>
            <w:tcW w:w="2378" w:type="dxa"/>
            <w:vMerge w:val="restart"/>
            <w:shd w:val="clear" w:color="auto" w:fill="FFF2CC" w:themeFill="accent4" w:themeFillTint="33"/>
          </w:tcPr>
          <w:p w14:paraId="5DB4C485" w14:textId="0D95C51E" w:rsidR="00666356" w:rsidRPr="007D443A" w:rsidRDefault="00666356" w:rsidP="002F10F4">
            <w:pPr>
              <w:pStyle w:val="Tabletext"/>
              <w:framePr w:hSpace="0" w:wrap="auto" w:vAnchor="margin" w:hAnchor="text" w:yAlign="inline"/>
            </w:pPr>
            <w:r>
              <w:t>PARTIALLY MET</w:t>
            </w:r>
          </w:p>
        </w:tc>
      </w:tr>
      <w:tr w:rsidR="00666356" w14:paraId="684C5EF9" w14:textId="77777777" w:rsidTr="00BB187A">
        <w:trPr>
          <w:cantSplit/>
          <w:trHeight w:val="219"/>
        </w:trPr>
        <w:tc>
          <w:tcPr>
            <w:tcW w:w="315" w:type="dxa"/>
            <w:shd w:val="clear" w:color="auto" w:fill="FFF2CC" w:themeFill="accent4" w:themeFillTint="33"/>
          </w:tcPr>
          <w:p w14:paraId="2411BFC7" w14:textId="77777777" w:rsidR="00666356" w:rsidRDefault="00666356" w:rsidP="00BB187A">
            <w:pPr>
              <w:pStyle w:val="Tabletext"/>
              <w:framePr w:hSpace="0" w:wrap="auto" w:vAnchor="margin" w:hAnchor="text" w:yAlign="inline"/>
            </w:pPr>
          </w:p>
        </w:tc>
        <w:tc>
          <w:tcPr>
            <w:tcW w:w="2115" w:type="dxa"/>
            <w:shd w:val="clear" w:color="auto" w:fill="FFF2CC" w:themeFill="accent4" w:themeFillTint="33"/>
          </w:tcPr>
          <w:p w14:paraId="57F6F44E" w14:textId="77777777" w:rsidR="00666356" w:rsidRPr="007D443A" w:rsidRDefault="00666356" w:rsidP="00BB187A">
            <w:pPr>
              <w:pStyle w:val="Tabletext"/>
              <w:framePr w:hSpace="0" w:wrap="auto" w:vAnchor="margin" w:hAnchor="text" w:yAlign="inline"/>
            </w:pPr>
          </w:p>
        </w:tc>
        <w:tc>
          <w:tcPr>
            <w:tcW w:w="1665" w:type="dxa"/>
            <w:shd w:val="clear" w:color="auto" w:fill="FFF2CC" w:themeFill="accent4" w:themeFillTint="33"/>
          </w:tcPr>
          <w:p w14:paraId="38074B53" w14:textId="77777777" w:rsidR="00666356" w:rsidRPr="007D443A" w:rsidRDefault="00666356" w:rsidP="00BB187A">
            <w:pPr>
              <w:pStyle w:val="Tabletext"/>
              <w:framePr w:hSpace="0" w:wrap="auto" w:vAnchor="margin" w:hAnchor="text" w:yAlign="inline"/>
            </w:pPr>
          </w:p>
        </w:tc>
        <w:tc>
          <w:tcPr>
            <w:tcW w:w="1524" w:type="dxa"/>
            <w:shd w:val="clear" w:color="auto" w:fill="FFF2CC" w:themeFill="accent4" w:themeFillTint="33"/>
          </w:tcPr>
          <w:p w14:paraId="0AE173B7" w14:textId="77777777" w:rsidR="00666356" w:rsidRPr="007D443A" w:rsidRDefault="00666356" w:rsidP="00BB187A">
            <w:pPr>
              <w:pStyle w:val="Tabletext"/>
              <w:framePr w:hSpace="0" w:wrap="auto" w:vAnchor="margin" w:hAnchor="text" w:yAlign="inline"/>
            </w:pPr>
          </w:p>
        </w:tc>
        <w:tc>
          <w:tcPr>
            <w:tcW w:w="6563" w:type="dxa"/>
            <w:shd w:val="clear" w:color="auto" w:fill="FFF2CC" w:themeFill="accent4" w:themeFillTint="33"/>
          </w:tcPr>
          <w:p w14:paraId="0620EEAD" w14:textId="08D865F7" w:rsidR="00666356" w:rsidRPr="007D443A" w:rsidRDefault="00666356" w:rsidP="00BB187A">
            <w:pPr>
              <w:pStyle w:val="Tabletext"/>
              <w:framePr w:hSpace="0" w:wrap="auto" w:vAnchor="margin" w:hAnchor="text" w:yAlign="inline"/>
              <w:rPr>
                <w:i/>
                <w:iCs/>
              </w:rPr>
            </w:pPr>
            <w:r>
              <w:rPr>
                <w:i/>
                <w:iCs/>
              </w:rPr>
              <w:t>Currently, webcasting can only take place if there are no virtual attendees, or if there are, they are only in a observer capacity.</w:t>
            </w:r>
            <w:r w:rsidR="005953A9">
              <w:rPr>
                <w:i/>
                <w:iCs/>
              </w:rPr>
              <w:t xml:space="preserve"> </w:t>
            </w:r>
            <w:r>
              <w:rPr>
                <w:i/>
                <w:iCs/>
              </w:rPr>
              <w:t>Therefore webcasting has only occurred on a few occasions.</w:t>
            </w:r>
            <w:r w:rsidR="005953A9">
              <w:rPr>
                <w:i/>
                <w:iCs/>
              </w:rPr>
              <w:t xml:space="preserve"> </w:t>
            </w:r>
            <w:r>
              <w:rPr>
                <w:i/>
                <w:iCs/>
              </w:rPr>
              <w:t>Work continues to find a solution.</w:t>
            </w:r>
            <w:r w:rsidR="005953A9">
              <w:rPr>
                <w:i/>
                <w:iCs/>
              </w:rPr>
              <w:t xml:space="preserve"> </w:t>
            </w:r>
          </w:p>
        </w:tc>
        <w:tc>
          <w:tcPr>
            <w:tcW w:w="2378" w:type="dxa"/>
            <w:vMerge/>
            <w:shd w:val="clear" w:color="auto" w:fill="FFF2CC" w:themeFill="accent4" w:themeFillTint="33"/>
          </w:tcPr>
          <w:p w14:paraId="3871295B" w14:textId="77777777" w:rsidR="00666356" w:rsidRPr="007D443A" w:rsidRDefault="00666356" w:rsidP="00BB187A">
            <w:pPr>
              <w:pStyle w:val="Tabletext"/>
              <w:framePr w:hSpace="0" w:wrap="auto" w:vAnchor="margin" w:hAnchor="text" w:yAlign="inline"/>
            </w:pPr>
          </w:p>
        </w:tc>
      </w:tr>
      <w:tr w:rsidR="00666356" w14:paraId="5406D76C" w14:textId="77777777" w:rsidTr="00BB187A">
        <w:trPr>
          <w:cantSplit/>
          <w:trHeight w:val="219"/>
        </w:trPr>
        <w:tc>
          <w:tcPr>
            <w:tcW w:w="315" w:type="dxa"/>
            <w:shd w:val="clear" w:color="auto" w:fill="FFF2CC" w:themeFill="accent4" w:themeFillTint="33"/>
          </w:tcPr>
          <w:p w14:paraId="54E46B45" w14:textId="77777777" w:rsidR="00666356" w:rsidRDefault="00666356" w:rsidP="002F10F4">
            <w:pPr>
              <w:pStyle w:val="Tabletext"/>
              <w:framePr w:hSpace="0" w:wrap="auto" w:vAnchor="margin" w:hAnchor="text" w:yAlign="inline"/>
            </w:pPr>
          </w:p>
        </w:tc>
        <w:tc>
          <w:tcPr>
            <w:tcW w:w="2115" w:type="dxa"/>
            <w:shd w:val="clear" w:color="auto" w:fill="FFF2CC" w:themeFill="accent4" w:themeFillTint="33"/>
          </w:tcPr>
          <w:p w14:paraId="59F416B9" w14:textId="77777777" w:rsidR="00666356" w:rsidRPr="007D443A" w:rsidRDefault="00666356" w:rsidP="002F10F4">
            <w:pPr>
              <w:pStyle w:val="Tabletext"/>
              <w:framePr w:hSpace="0" w:wrap="auto" w:vAnchor="margin" w:hAnchor="text" w:yAlign="inline"/>
            </w:pPr>
          </w:p>
        </w:tc>
        <w:tc>
          <w:tcPr>
            <w:tcW w:w="1665" w:type="dxa"/>
            <w:shd w:val="clear" w:color="auto" w:fill="FFF2CC" w:themeFill="accent4" w:themeFillTint="33"/>
          </w:tcPr>
          <w:p w14:paraId="04189D30" w14:textId="18FA69BE" w:rsidR="00666356" w:rsidRPr="007D443A" w:rsidRDefault="00666356" w:rsidP="002F10F4">
            <w:pPr>
              <w:pStyle w:val="Tabletext"/>
              <w:framePr w:hSpace="0" w:wrap="auto" w:vAnchor="margin" w:hAnchor="text" w:yAlign="inline"/>
            </w:pPr>
            <w:r w:rsidRPr="007D443A">
              <w:t>New Rural Crime and Retail Crime Boards</w:t>
            </w:r>
          </w:p>
        </w:tc>
        <w:tc>
          <w:tcPr>
            <w:tcW w:w="1524" w:type="dxa"/>
            <w:shd w:val="clear" w:color="auto" w:fill="FFF2CC" w:themeFill="accent4" w:themeFillTint="33"/>
          </w:tcPr>
          <w:p w14:paraId="3F52F615" w14:textId="5830BE9E" w:rsidR="00666356" w:rsidRPr="007D443A" w:rsidRDefault="00666356" w:rsidP="002F10F4">
            <w:pPr>
              <w:pStyle w:val="Tabletext"/>
              <w:framePr w:hSpace="0" w:wrap="auto" w:vAnchor="margin" w:hAnchor="text" w:yAlign="inline"/>
            </w:pPr>
            <w:r w:rsidRPr="007D443A">
              <w:t>Chief Executive and Head of</w:t>
            </w:r>
            <w:r w:rsidR="00A04121">
              <w:t xml:space="preserve"> Governance and</w:t>
            </w:r>
            <w:r w:rsidRPr="007D443A">
              <w:t xml:space="preserve"> Performance</w:t>
            </w:r>
          </w:p>
        </w:tc>
        <w:tc>
          <w:tcPr>
            <w:tcW w:w="6563" w:type="dxa"/>
            <w:shd w:val="clear" w:color="auto" w:fill="FFF2CC" w:themeFill="accent4" w:themeFillTint="33"/>
          </w:tcPr>
          <w:p w14:paraId="6D13FB40" w14:textId="77777777" w:rsidR="00666356" w:rsidRPr="007D443A" w:rsidRDefault="00666356" w:rsidP="002F10F4">
            <w:pPr>
              <w:rPr>
                <w:sz w:val="18"/>
                <w:szCs w:val="18"/>
              </w:rPr>
            </w:pPr>
            <w:r w:rsidRPr="007D443A">
              <w:rPr>
                <w:sz w:val="18"/>
                <w:szCs w:val="18"/>
              </w:rPr>
              <w:t>Now that the Boards are established, there is a need to develop an effective framework and work plan to aid delivery of objectives.</w:t>
            </w:r>
          </w:p>
          <w:p w14:paraId="329AB42C" w14:textId="77777777" w:rsidR="00666356" w:rsidRPr="007D443A" w:rsidRDefault="00666356" w:rsidP="002F10F4">
            <w:pPr>
              <w:rPr>
                <w:sz w:val="18"/>
                <w:szCs w:val="18"/>
              </w:rPr>
            </w:pPr>
            <w:r w:rsidRPr="007D443A">
              <w:rPr>
                <w:sz w:val="18"/>
                <w:szCs w:val="18"/>
              </w:rPr>
              <w:t xml:space="preserve">Work is also being undertaken to ensure outcomes from the Boards feed into KCJB and Performance and Delivery Board. </w:t>
            </w:r>
          </w:p>
          <w:p w14:paraId="6CB74D95" w14:textId="73FEC171" w:rsidR="00666356" w:rsidRPr="007D443A" w:rsidRDefault="00666356" w:rsidP="002F10F4">
            <w:pPr>
              <w:pStyle w:val="Tabletext"/>
              <w:framePr w:hSpace="0" w:wrap="auto" w:vAnchor="margin" w:hAnchor="text" w:yAlign="inline"/>
              <w:rPr>
                <w:i/>
                <w:iCs/>
              </w:rPr>
            </w:pPr>
            <w:r w:rsidRPr="007D443A">
              <w:t xml:space="preserve">Need to capture national best practice </w:t>
            </w:r>
          </w:p>
        </w:tc>
        <w:tc>
          <w:tcPr>
            <w:tcW w:w="2378" w:type="dxa"/>
            <w:vMerge w:val="restart"/>
            <w:shd w:val="clear" w:color="auto" w:fill="FFF2CC" w:themeFill="accent4" w:themeFillTint="33"/>
          </w:tcPr>
          <w:p w14:paraId="4F2831AF" w14:textId="5F6D777A" w:rsidR="00666356" w:rsidRPr="007D443A" w:rsidRDefault="00666356" w:rsidP="002F10F4">
            <w:pPr>
              <w:pStyle w:val="Tabletext"/>
              <w:framePr w:hSpace="0" w:wrap="auto" w:vAnchor="margin" w:hAnchor="text" w:yAlign="inline"/>
            </w:pPr>
            <w:r w:rsidRPr="007D443A">
              <w:t>PARTIALLY MET</w:t>
            </w:r>
          </w:p>
        </w:tc>
      </w:tr>
      <w:tr w:rsidR="00666356" w14:paraId="6DA2A5F4" w14:textId="77777777" w:rsidTr="00BB187A">
        <w:trPr>
          <w:cantSplit/>
          <w:trHeight w:val="219"/>
        </w:trPr>
        <w:tc>
          <w:tcPr>
            <w:tcW w:w="315" w:type="dxa"/>
            <w:shd w:val="clear" w:color="auto" w:fill="FFF2CC" w:themeFill="accent4" w:themeFillTint="33"/>
          </w:tcPr>
          <w:p w14:paraId="5D683D54" w14:textId="77777777" w:rsidR="00666356" w:rsidRDefault="00666356" w:rsidP="00BB187A">
            <w:pPr>
              <w:pStyle w:val="Tabletext"/>
              <w:framePr w:hSpace="0" w:wrap="auto" w:vAnchor="margin" w:hAnchor="text" w:yAlign="inline"/>
            </w:pPr>
          </w:p>
        </w:tc>
        <w:tc>
          <w:tcPr>
            <w:tcW w:w="2115" w:type="dxa"/>
            <w:shd w:val="clear" w:color="auto" w:fill="FFF2CC" w:themeFill="accent4" w:themeFillTint="33"/>
          </w:tcPr>
          <w:p w14:paraId="03059F5A" w14:textId="77777777" w:rsidR="00666356" w:rsidRPr="007D443A" w:rsidRDefault="00666356" w:rsidP="00BB187A">
            <w:pPr>
              <w:pStyle w:val="Tabletext"/>
              <w:framePr w:hSpace="0" w:wrap="auto" w:vAnchor="margin" w:hAnchor="text" w:yAlign="inline"/>
            </w:pPr>
          </w:p>
        </w:tc>
        <w:tc>
          <w:tcPr>
            <w:tcW w:w="1665" w:type="dxa"/>
            <w:shd w:val="clear" w:color="auto" w:fill="FFF2CC" w:themeFill="accent4" w:themeFillTint="33"/>
          </w:tcPr>
          <w:p w14:paraId="09BEFF63" w14:textId="77777777" w:rsidR="00666356" w:rsidRPr="007D443A" w:rsidRDefault="00666356" w:rsidP="00BB187A">
            <w:pPr>
              <w:pStyle w:val="Tabletext"/>
              <w:framePr w:hSpace="0" w:wrap="auto" w:vAnchor="margin" w:hAnchor="text" w:yAlign="inline"/>
            </w:pPr>
          </w:p>
        </w:tc>
        <w:tc>
          <w:tcPr>
            <w:tcW w:w="1524" w:type="dxa"/>
            <w:shd w:val="clear" w:color="auto" w:fill="FFF2CC" w:themeFill="accent4" w:themeFillTint="33"/>
          </w:tcPr>
          <w:p w14:paraId="7F583B93" w14:textId="77777777" w:rsidR="00666356" w:rsidRPr="007D443A" w:rsidRDefault="00666356" w:rsidP="00BB187A">
            <w:pPr>
              <w:pStyle w:val="Tabletext"/>
              <w:framePr w:hSpace="0" w:wrap="auto" w:vAnchor="margin" w:hAnchor="text" w:yAlign="inline"/>
            </w:pPr>
          </w:p>
        </w:tc>
        <w:tc>
          <w:tcPr>
            <w:tcW w:w="6563" w:type="dxa"/>
            <w:shd w:val="clear" w:color="auto" w:fill="FFF2CC" w:themeFill="accent4" w:themeFillTint="33"/>
          </w:tcPr>
          <w:p w14:paraId="1F38E410" w14:textId="6AD2616D" w:rsidR="00666356" w:rsidRPr="007D443A" w:rsidRDefault="00666356" w:rsidP="00BB187A">
            <w:pPr>
              <w:pStyle w:val="Tabletext"/>
              <w:framePr w:hSpace="0" w:wrap="auto" w:vAnchor="margin" w:hAnchor="text" w:yAlign="inline"/>
              <w:rPr>
                <w:i/>
                <w:iCs/>
              </w:rPr>
            </w:pPr>
            <w:r w:rsidRPr="007D443A">
              <w:rPr>
                <w:i/>
                <w:iCs/>
              </w:rPr>
              <w:t>Focus of Boards has changed</w:t>
            </w:r>
            <w:r w:rsidR="00B70E4F">
              <w:rPr>
                <w:i/>
                <w:iCs/>
              </w:rPr>
              <w:t xml:space="preserve"> and they are now considered </w:t>
            </w:r>
            <w:r w:rsidRPr="007D443A">
              <w:rPr>
                <w:i/>
                <w:iCs/>
              </w:rPr>
              <w:t>community forums.</w:t>
            </w:r>
            <w:r w:rsidR="005953A9">
              <w:rPr>
                <w:i/>
                <w:iCs/>
              </w:rPr>
              <w:t xml:space="preserve"> </w:t>
            </w:r>
            <w:r w:rsidRPr="007D443A">
              <w:rPr>
                <w:i/>
                <w:iCs/>
              </w:rPr>
              <w:t>Therefore framework and objectives not requi</w:t>
            </w:r>
            <w:r>
              <w:rPr>
                <w:i/>
                <w:iCs/>
              </w:rPr>
              <w:t>r</w:t>
            </w:r>
            <w:r w:rsidRPr="007D443A">
              <w:rPr>
                <w:i/>
                <w:iCs/>
              </w:rPr>
              <w:t>ed.</w:t>
            </w:r>
          </w:p>
          <w:p w14:paraId="76F27997" w14:textId="73FC75F8" w:rsidR="00666356" w:rsidRPr="007D443A" w:rsidRDefault="00666356" w:rsidP="00BB187A">
            <w:pPr>
              <w:pStyle w:val="Tabletext"/>
              <w:framePr w:hSpace="0" w:wrap="auto" w:vAnchor="margin" w:hAnchor="text" w:yAlign="inline"/>
              <w:rPr>
                <w:i/>
                <w:iCs/>
              </w:rPr>
            </w:pPr>
            <w:r w:rsidRPr="007D443A">
              <w:rPr>
                <w:i/>
                <w:iCs/>
              </w:rPr>
              <w:t xml:space="preserve">PCC Chairs boards; </w:t>
            </w:r>
            <w:r>
              <w:rPr>
                <w:i/>
                <w:iCs/>
              </w:rPr>
              <w:t xml:space="preserve">there is a representative (a Superintendent) </w:t>
            </w:r>
            <w:r w:rsidRPr="007D443A">
              <w:rPr>
                <w:i/>
                <w:iCs/>
              </w:rPr>
              <w:t xml:space="preserve">from Kent Police- </w:t>
            </w:r>
            <w:r>
              <w:rPr>
                <w:i/>
                <w:iCs/>
              </w:rPr>
              <w:t xml:space="preserve">this </w:t>
            </w:r>
            <w:r w:rsidRPr="007D443A">
              <w:rPr>
                <w:i/>
                <w:iCs/>
              </w:rPr>
              <w:t xml:space="preserve">allows </w:t>
            </w:r>
            <w:r w:rsidR="00853977">
              <w:rPr>
                <w:i/>
                <w:iCs/>
              </w:rPr>
              <w:t xml:space="preserve">operational updates to be provided to attendees and for </w:t>
            </w:r>
            <w:r w:rsidRPr="007D443A">
              <w:rPr>
                <w:i/>
                <w:iCs/>
              </w:rPr>
              <w:t>key issues to be fed into the Force</w:t>
            </w:r>
            <w:r w:rsidR="00B345B6">
              <w:rPr>
                <w:i/>
                <w:iCs/>
              </w:rPr>
              <w:t>. Updates are fe</w:t>
            </w:r>
            <w:r w:rsidR="00130AFB">
              <w:rPr>
                <w:i/>
                <w:iCs/>
              </w:rPr>
              <w:t>d</w:t>
            </w:r>
            <w:r w:rsidR="00B345B6">
              <w:rPr>
                <w:i/>
                <w:iCs/>
              </w:rPr>
              <w:t xml:space="preserve"> into the KCJB and </w:t>
            </w:r>
            <w:r w:rsidRPr="007D443A">
              <w:rPr>
                <w:i/>
                <w:iCs/>
              </w:rPr>
              <w:t>P&amp;D Board</w:t>
            </w:r>
            <w:r w:rsidR="00130AFB">
              <w:rPr>
                <w:i/>
                <w:iCs/>
              </w:rPr>
              <w:t xml:space="preserve"> as and when appropriate.</w:t>
            </w:r>
          </w:p>
        </w:tc>
        <w:tc>
          <w:tcPr>
            <w:tcW w:w="2378" w:type="dxa"/>
            <w:vMerge/>
            <w:shd w:val="clear" w:color="auto" w:fill="FFF2CC" w:themeFill="accent4" w:themeFillTint="33"/>
          </w:tcPr>
          <w:p w14:paraId="4F2F88DF" w14:textId="77777777" w:rsidR="00666356" w:rsidRPr="007D443A" w:rsidRDefault="00666356" w:rsidP="00BB187A">
            <w:pPr>
              <w:pStyle w:val="Tabletext"/>
              <w:framePr w:hSpace="0" w:wrap="auto" w:vAnchor="margin" w:hAnchor="text" w:yAlign="inline"/>
            </w:pPr>
          </w:p>
        </w:tc>
      </w:tr>
      <w:tr w:rsidR="00666356" w14:paraId="79CA022C" w14:textId="77777777" w:rsidTr="00BB187A">
        <w:trPr>
          <w:cantSplit/>
          <w:trHeight w:val="219"/>
        </w:trPr>
        <w:tc>
          <w:tcPr>
            <w:tcW w:w="315" w:type="dxa"/>
            <w:shd w:val="clear" w:color="auto" w:fill="FFF2CC" w:themeFill="accent4" w:themeFillTint="33"/>
          </w:tcPr>
          <w:p w14:paraId="13C584C5" w14:textId="77777777" w:rsidR="00666356" w:rsidRDefault="00666356" w:rsidP="002F10F4">
            <w:pPr>
              <w:pStyle w:val="Tabletext"/>
              <w:framePr w:hSpace="0" w:wrap="auto" w:vAnchor="margin" w:hAnchor="text" w:yAlign="inline"/>
            </w:pPr>
          </w:p>
        </w:tc>
        <w:tc>
          <w:tcPr>
            <w:tcW w:w="2115" w:type="dxa"/>
            <w:shd w:val="clear" w:color="auto" w:fill="FFF2CC" w:themeFill="accent4" w:themeFillTint="33"/>
          </w:tcPr>
          <w:p w14:paraId="1B832840" w14:textId="77777777" w:rsidR="00666356" w:rsidRPr="007D443A" w:rsidRDefault="00666356" w:rsidP="002F10F4">
            <w:pPr>
              <w:pStyle w:val="Tabletext"/>
              <w:framePr w:hSpace="0" w:wrap="auto" w:vAnchor="margin" w:hAnchor="text" w:yAlign="inline"/>
            </w:pPr>
          </w:p>
        </w:tc>
        <w:tc>
          <w:tcPr>
            <w:tcW w:w="1665" w:type="dxa"/>
            <w:shd w:val="clear" w:color="auto" w:fill="FFF2CC" w:themeFill="accent4" w:themeFillTint="33"/>
          </w:tcPr>
          <w:p w14:paraId="11ABD8F3" w14:textId="2E501EAF" w:rsidR="00666356" w:rsidRPr="007D443A" w:rsidRDefault="00666356" w:rsidP="002F10F4">
            <w:pPr>
              <w:pStyle w:val="Tabletext"/>
              <w:framePr w:hSpace="0" w:wrap="auto" w:vAnchor="margin" w:hAnchor="text" w:yAlign="inline"/>
            </w:pPr>
            <w:r w:rsidRPr="007D443A">
              <w:t>Improvement of Annual Report in Commissioning</w:t>
            </w:r>
          </w:p>
        </w:tc>
        <w:tc>
          <w:tcPr>
            <w:tcW w:w="1524" w:type="dxa"/>
            <w:shd w:val="clear" w:color="auto" w:fill="FFF2CC" w:themeFill="accent4" w:themeFillTint="33"/>
          </w:tcPr>
          <w:p w14:paraId="08AE9083" w14:textId="52B5DAFE" w:rsidR="00666356" w:rsidRPr="007D443A" w:rsidRDefault="00666356" w:rsidP="002F10F4">
            <w:pPr>
              <w:pStyle w:val="Tabletext"/>
              <w:framePr w:hSpace="0" w:wrap="auto" w:vAnchor="margin" w:hAnchor="text" w:yAlign="inline"/>
            </w:pPr>
            <w:r w:rsidRPr="007D443A">
              <w:t>Head of Commissioning</w:t>
            </w:r>
          </w:p>
        </w:tc>
        <w:tc>
          <w:tcPr>
            <w:tcW w:w="6563" w:type="dxa"/>
            <w:shd w:val="clear" w:color="auto" w:fill="FFF2CC" w:themeFill="accent4" w:themeFillTint="33"/>
          </w:tcPr>
          <w:p w14:paraId="2BEAA7D7" w14:textId="259F1DB0" w:rsidR="00666356" w:rsidRPr="007D443A" w:rsidRDefault="00666356" w:rsidP="002F10F4">
            <w:pPr>
              <w:pStyle w:val="Tabletext"/>
              <w:framePr w:hSpace="0" w:wrap="auto" w:vAnchor="margin" w:hAnchor="text" w:yAlign="inline"/>
              <w:rPr>
                <w:i/>
                <w:iCs/>
              </w:rPr>
            </w:pPr>
            <w:r w:rsidRPr="007D443A">
              <w:t>The information on the OPCC website needs to be improved. The OPCC also wants to explore other approaches to raising awareness of services and their achievements.</w:t>
            </w:r>
          </w:p>
        </w:tc>
        <w:tc>
          <w:tcPr>
            <w:tcW w:w="2378" w:type="dxa"/>
            <w:vMerge w:val="restart"/>
            <w:shd w:val="clear" w:color="auto" w:fill="FFF2CC" w:themeFill="accent4" w:themeFillTint="33"/>
          </w:tcPr>
          <w:p w14:paraId="6435AA10" w14:textId="22CA3075" w:rsidR="00666356" w:rsidRPr="007D443A" w:rsidRDefault="00666356" w:rsidP="002F10F4">
            <w:pPr>
              <w:pStyle w:val="Tabletext"/>
              <w:framePr w:hSpace="0" w:wrap="auto" w:vAnchor="margin" w:hAnchor="text" w:yAlign="inline"/>
            </w:pPr>
            <w:r w:rsidRPr="007D443A">
              <w:t>MET</w:t>
            </w:r>
          </w:p>
        </w:tc>
      </w:tr>
      <w:tr w:rsidR="00666356" w14:paraId="1658D68D" w14:textId="77777777" w:rsidTr="00BB187A">
        <w:trPr>
          <w:cantSplit/>
          <w:trHeight w:val="219"/>
        </w:trPr>
        <w:tc>
          <w:tcPr>
            <w:tcW w:w="315" w:type="dxa"/>
            <w:shd w:val="clear" w:color="auto" w:fill="FFF2CC" w:themeFill="accent4" w:themeFillTint="33"/>
          </w:tcPr>
          <w:p w14:paraId="55C2546F" w14:textId="77777777" w:rsidR="00666356" w:rsidRDefault="00666356" w:rsidP="00BB187A">
            <w:pPr>
              <w:pStyle w:val="Tabletext"/>
              <w:framePr w:hSpace="0" w:wrap="auto" w:vAnchor="margin" w:hAnchor="text" w:yAlign="inline"/>
            </w:pPr>
          </w:p>
        </w:tc>
        <w:tc>
          <w:tcPr>
            <w:tcW w:w="2115" w:type="dxa"/>
            <w:shd w:val="clear" w:color="auto" w:fill="FFF2CC" w:themeFill="accent4" w:themeFillTint="33"/>
          </w:tcPr>
          <w:p w14:paraId="1B2E094F" w14:textId="77777777" w:rsidR="00666356" w:rsidRPr="007D443A" w:rsidRDefault="00666356" w:rsidP="00BB187A">
            <w:pPr>
              <w:pStyle w:val="Tabletext"/>
              <w:framePr w:hSpace="0" w:wrap="auto" w:vAnchor="margin" w:hAnchor="text" w:yAlign="inline"/>
            </w:pPr>
          </w:p>
        </w:tc>
        <w:tc>
          <w:tcPr>
            <w:tcW w:w="1665" w:type="dxa"/>
            <w:shd w:val="clear" w:color="auto" w:fill="FFF2CC" w:themeFill="accent4" w:themeFillTint="33"/>
          </w:tcPr>
          <w:p w14:paraId="5027CD27" w14:textId="77777777" w:rsidR="00666356" w:rsidRPr="007D443A" w:rsidRDefault="00666356" w:rsidP="00BB187A">
            <w:pPr>
              <w:pStyle w:val="Tabletext"/>
              <w:framePr w:hSpace="0" w:wrap="auto" w:vAnchor="margin" w:hAnchor="text" w:yAlign="inline"/>
            </w:pPr>
          </w:p>
        </w:tc>
        <w:tc>
          <w:tcPr>
            <w:tcW w:w="1524" w:type="dxa"/>
            <w:shd w:val="clear" w:color="auto" w:fill="FFF2CC" w:themeFill="accent4" w:themeFillTint="33"/>
          </w:tcPr>
          <w:p w14:paraId="21F62683" w14:textId="77777777" w:rsidR="00666356" w:rsidRPr="007D443A" w:rsidRDefault="00666356" w:rsidP="00BB187A">
            <w:pPr>
              <w:pStyle w:val="Tabletext"/>
              <w:framePr w:hSpace="0" w:wrap="auto" w:vAnchor="margin" w:hAnchor="text" w:yAlign="inline"/>
            </w:pPr>
          </w:p>
        </w:tc>
        <w:tc>
          <w:tcPr>
            <w:tcW w:w="6563" w:type="dxa"/>
            <w:shd w:val="clear" w:color="auto" w:fill="FFF2CC" w:themeFill="accent4" w:themeFillTint="33"/>
          </w:tcPr>
          <w:p w14:paraId="7B304528" w14:textId="5D65296D" w:rsidR="00666356" w:rsidRPr="007D443A" w:rsidRDefault="00666356" w:rsidP="00BB187A">
            <w:pPr>
              <w:pStyle w:val="Tabletext"/>
              <w:framePr w:hSpace="0" w:wrap="auto" w:vAnchor="margin" w:hAnchor="text" w:yAlign="inline"/>
              <w:rPr>
                <w:i/>
                <w:iCs/>
              </w:rPr>
            </w:pPr>
            <w:r w:rsidRPr="007D443A">
              <w:rPr>
                <w:i/>
                <w:iCs/>
              </w:rPr>
              <w:t>Report improved- showcase</w:t>
            </w:r>
            <w:r w:rsidR="00BD544E">
              <w:rPr>
                <w:i/>
                <w:iCs/>
              </w:rPr>
              <w:t>s</w:t>
            </w:r>
            <w:r w:rsidRPr="007D443A">
              <w:rPr>
                <w:i/>
                <w:iCs/>
              </w:rPr>
              <w:t xml:space="preserve"> impact and learning from PCC activities.</w:t>
            </w:r>
            <w:r w:rsidR="005953A9">
              <w:rPr>
                <w:i/>
                <w:iCs/>
              </w:rPr>
              <w:t xml:space="preserve"> </w:t>
            </w:r>
          </w:p>
        </w:tc>
        <w:tc>
          <w:tcPr>
            <w:tcW w:w="2378" w:type="dxa"/>
            <w:vMerge/>
            <w:shd w:val="clear" w:color="auto" w:fill="FFF2CC" w:themeFill="accent4" w:themeFillTint="33"/>
          </w:tcPr>
          <w:p w14:paraId="05D9FA02" w14:textId="77777777" w:rsidR="00666356" w:rsidRPr="007D443A" w:rsidRDefault="00666356" w:rsidP="00BB187A">
            <w:pPr>
              <w:pStyle w:val="Tabletext"/>
              <w:framePr w:hSpace="0" w:wrap="auto" w:vAnchor="margin" w:hAnchor="text" w:yAlign="inline"/>
            </w:pPr>
          </w:p>
        </w:tc>
      </w:tr>
    </w:tbl>
    <w:p w14:paraId="740217F1" w14:textId="77777777" w:rsidR="00BF6C77" w:rsidRDefault="00BF6C77" w:rsidP="006E2B88">
      <w:pPr>
        <w:sectPr w:rsidR="00BF6C77" w:rsidSect="000B208F">
          <w:headerReference w:type="default" r:id="rId19"/>
          <w:pgSz w:w="16838" w:h="11906" w:orient="landscape"/>
          <w:pgMar w:top="1814" w:right="1134" w:bottom="1440" w:left="1134" w:header="709" w:footer="471" w:gutter="0"/>
          <w:cols w:space="708"/>
          <w:docGrid w:linePitch="360"/>
        </w:sectPr>
      </w:pPr>
    </w:p>
    <w:tbl>
      <w:tblPr>
        <w:tblStyle w:val="TableGrid"/>
        <w:tblW w:w="14501" w:type="dxa"/>
        <w:tblLook w:val="04A0" w:firstRow="1" w:lastRow="0" w:firstColumn="1" w:lastColumn="0" w:noHBand="0" w:noVBand="1"/>
      </w:tblPr>
      <w:tblGrid>
        <w:gridCol w:w="315"/>
        <w:gridCol w:w="2783"/>
        <w:gridCol w:w="1911"/>
        <w:gridCol w:w="1669"/>
        <w:gridCol w:w="7823"/>
      </w:tblGrid>
      <w:tr w:rsidR="001972C0" w:rsidRPr="001972C0" w14:paraId="31CF013E" w14:textId="77777777" w:rsidTr="00985ED5">
        <w:trPr>
          <w:trHeight w:val="219"/>
        </w:trPr>
        <w:tc>
          <w:tcPr>
            <w:tcW w:w="315" w:type="dxa"/>
            <w:shd w:val="clear" w:color="auto" w:fill="002060"/>
          </w:tcPr>
          <w:p w14:paraId="4C5DCA17" w14:textId="77777777" w:rsidR="001972C0" w:rsidRPr="001972C0" w:rsidRDefault="001972C0" w:rsidP="001972C0"/>
        </w:tc>
        <w:tc>
          <w:tcPr>
            <w:tcW w:w="2783" w:type="dxa"/>
            <w:shd w:val="clear" w:color="auto" w:fill="0F405D"/>
          </w:tcPr>
          <w:p w14:paraId="451EB337" w14:textId="77777777" w:rsidR="001972C0" w:rsidRPr="001972C0" w:rsidRDefault="001972C0" w:rsidP="001972C0">
            <w:r w:rsidRPr="001972C0">
              <w:t>Core Principle</w:t>
            </w:r>
          </w:p>
        </w:tc>
        <w:tc>
          <w:tcPr>
            <w:tcW w:w="1911" w:type="dxa"/>
            <w:shd w:val="clear" w:color="auto" w:fill="0F405D"/>
          </w:tcPr>
          <w:p w14:paraId="45CE1D2C" w14:textId="77777777" w:rsidR="001972C0" w:rsidRPr="001972C0" w:rsidRDefault="001972C0" w:rsidP="001972C0">
            <w:r w:rsidRPr="001972C0">
              <w:t>Issue</w:t>
            </w:r>
          </w:p>
        </w:tc>
        <w:tc>
          <w:tcPr>
            <w:tcW w:w="1669" w:type="dxa"/>
            <w:shd w:val="clear" w:color="auto" w:fill="0F405D"/>
          </w:tcPr>
          <w:p w14:paraId="0F41F2CF" w14:textId="77777777" w:rsidR="001972C0" w:rsidRPr="001972C0" w:rsidRDefault="001972C0" w:rsidP="001972C0">
            <w:r w:rsidRPr="001972C0">
              <w:t>Owner</w:t>
            </w:r>
          </w:p>
        </w:tc>
        <w:tc>
          <w:tcPr>
            <w:tcW w:w="7823" w:type="dxa"/>
            <w:shd w:val="clear" w:color="auto" w:fill="0F405D"/>
          </w:tcPr>
          <w:p w14:paraId="700CB029" w14:textId="709170B8" w:rsidR="001972C0" w:rsidRPr="001972C0" w:rsidRDefault="001972C0" w:rsidP="001972C0">
            <w:r>
              <w:t xml:space="preserve"> </w:t>
            </w:r>
            <w:r w:rsidR="00D26355">
              <w:t>A</w:t>
            </w:r>
            <w:r w:rsidR="00860FAC">
              <w:t>ction plan</w:t>
            </w:r>
          </w:p>
        </w:tc>
      </w:tr>
      <w:tr w:rsidR="00C10296" w:rsidRPr="001972C0" w14:paraId="46872062" w14:textId="77777777" w:rsidTr="00985ED5">
        <w:trPr>
          <w:trHeight w:val="219"/>
        </w:trPr>
        <w:tc>
          <w:tcPr>
            <w:tcW w:w="315" w:type="dxa"/>
            <w:shd w:val="clear" w:color="auto" w:fill="FFF2CC" w:themeFill="accent4" w:themeFillTint="33"/>
          </w:tcPr>
          <w:p w14:paraId="6D6F742C" w14:textId="77777777" w:rsidR="00C10296" w:rsidRPr="001972C0" w:rsidRDefault="00C10296" w:rsidP="00C10296"/>
        </w:tc>
        <w:tc>
          <w:tcPr>
            <w:tcW w:w="2783" w:type="dxa"/>
            <w:shd w:val="clear" w:color="auto" w:fill="FFF2CC" w:themeFill="accent4" w:themeFillTint="33"/>
          </w:tcPr>
          <w:p w14:paraId="67C8B537" w14:textId="77777777" w:rsidR="00C10296" w:rsidRPr="001972C0" w:rsidRDefault="00C10296" w:rsidP="00C10296">
            <w:r w:rsidRPr="001972C0">
              <w:t>A: Behaving with integrity, demonstrating strong commitment to ethical values, and respecting the rule of law.</w:t>
            </w:r>
          </w:p>
        </w:tc>
        <w:tc>
          <w:tcPr>
            <w:tcW w:w="1911" w:type="dxa"/>
            <w:shd w:val="clear" w:color="auto" w:fill="FFF2CC" w:themeFill="accent4" w:themeFillTint="33"/>
          </w:tcPr>
          <w:p w14:paraId="19DCFB4A" w14:textId="3A315311" w:rsidR="00C10296" w:rsidRPr="001972C0" w:rsidRDefault="00C10296" w:rsidP="00C10296">
            <w:r>
              <w:t>KCJB Victim and Witness Sub-Group established</w:t>
            </w:r>
          </w:p>
        </w:tc>
        <w:tc>
          <w:tcPr>
            <w:tcW w:w="1669" w:type="dxa"/>
            <w:shd w:val="clear" w:color="auto" w:fill="FFF2CC" w:themeFill="accent4" w:themeFillTint="33"/>
          </w:tcPr>
          <w:p w14:paraId="4DA10678" w14:textId="047D55D6" w:rsidR="00C10296" w:rsidRPr="001972C0" w:rsidRDefault="00C10296" w:rsidP="00C10296"/>
        </w:tc>
        <w:tc>
          <w:tcPr>
            <w:tcW w:w="7823" w:type="dxa"/>
            <w:shd w:val="clear" w:color="auto" w:fill="FFF2CC" w:themeFill="accent4" w:themeFillTint="33"/>
          </w:tcPr>
          <w:p w14:paraId="3520CDE2" w14:textId="79FB8DD8" w:rsidR="00C10296" w:rsidRPr="001972C0" w:rsidRDefault="00B8012C" w:rsidP="00C10296">
            <w:r>
              <w:t>As a newly-developed sub-group, work will continue to develop both the work programme and the membership</w:t>
            </w:r>
          </w:p>
        </w:tc>
      </w:tr>
      <w:tr w:rsidR="001972C0" w:rsidRPr="001972C0" w14:paraId="2019482C" w14:textId="77777777" w:rsidTr="00985ED5">
        <w:trPr>
          <w:trHeight w:val="219"/>
        </w:trPr>
        <w:tc>
          <w:tcPr>
            <w:tcW w:w="315" w:type="dxa"/>
            <w:shd w:val="clear" w:color="auto" w:fill="FFF2CC" w:themeFill="accent4" w:themeFillTint="33"/>
          </w:tcPr>
          <w:p w14:paraId="48F21BCE" w14:textId="77777777" w:rsidR="001972C0" w:rsidRPr="001972C0" w:rsidRDefault="001972C0" w:rsidP="001972C0"/>
        </w:tc>
        <w:tc>
          <w:tcPr>
            <w:tcW w:w="2783" w:type="dxa"/>
            <w:shd w:val="clear" w:color="auto" w:fill="FFF2CC" w:themeFill="accent4" w:themeFillTint="33"/>
          </w:tcPr>
          <w:p w14:paraId="0B217D43" w14:textId="77777777" w:rsidR="001972C0" w:rsidRPr="001972C0" w:rsidRDefault="001972C0" w:rsidP="001972C0">
            <w:r w:rsidRPr="001972C0">
              <w:t>A: Behaving with integrity, demonstrating strong commitment to ethical values, and respecting the rule of law.</w:t>
            </w:r>
          </w:p>
        </w:tc>
        <w:tc>
          <w:tcPr>
            <w:tcW w:w="1911" w:type="dxa"/>
            <w:shd w:val="clear" w:color="auto" w:fill="FFF2CC" w:themeFill="accent4" w:themeFillTint="33"/>
          </w:tcPr>
          <w:p w14:paraId="1ECF3B80" w14:textId="144D5E83" w:rsidR="001972C0" w:rsidRPr="001972C0" w:rsidRDefault="00234CAC" w:rsidP="001972C0">
            <w:r>
              <w:t>Commissioning Management system</w:t>
            </w:r>
          </w:p>
        </w:tc>
        <w:tc>
          <w:tcPr>
            <w:tcW w:w="1669" w:type="dxa"/>
            <w:shd w:val="clear" w:color="auto" w:fill="FFF2CC" w:themeFill="accent4" w:themeFillTint="33"/>
          </w:tcPr>
          <w:p w14:paraId="0F2A4DE8" w14:textId="3B6E3ACC" w:rsidR="001972C0" w:rsidRPr="001972C0" w:rsidRDefault="001972C0" w:rsidP="001972C0"/>
        </w:tc>
        <w:tc>
          <w:tcPr>
            <w:tcW w:w="7823" w:type="dxa"/>
            <w:shd w:val="clear" w:color="auto" w:fill="FFF2CC" w:themeFill="accent4" w:themeFillTint="33"/>
          </w:tcPr>
          <w:p w14:paraId="1F15BDA6" w14:textId="1B5D6334" w:rsidR="001972C0" w:rsidRPr="001972C0" w:rsidRDefault="00234CAC" w:rsidP="001972C0">
            <w:r>
              <w:t>The Commissioning Team will continue to explore the capabilities of the new system to further improve efficiency.</w:t>
            </w:r>
          </w:p>
        </w:tc>
      </w:tr>
      <w:tr w:rsidR="001972C0" w:rsidRPr="001972C0" w14:paraId="57E68F41" w14:textId="77777777" w:rsidTr="00985ED5">
        <w:trPr>
          <w:trHeight w:val="219"/>
        </w:trPr>
        <w:tc>
          <w:tcPr>
            <w:tcW w:w="315" w:type="dxa"/>
            <w:shd w:val="clear" w:color="auto" w:fill="FFF2CC" w:themeFill="accent4" w:themeFillTint="33"/>
          </w:tcPr>
          <w:p w14:paraId="04F282AD" w14:textId="77777777" w:rsidR="001972C0" w:rsidRPr="001972C0" w:rsidRDefault="001972C0" w:rsidP="001972C0"/>
        </w:tc>
        <w:tc>
          <w:tcPr>
            <w:tcW w:w="2783" w:type="dxa"/>
            <w:shd w:val="clear" w:color="auto" w:fill="FFF2CC" w:themeFill="accent4" w:themeFillTint="33"/>
          </w:tcPr>
          <w:p w14:paraId="668BCD49" w14:textId="77777777" w:rsidR="001972C0" w:rsidRPr="001972C0" w:rsidRDefault="001972C0" w:rsidP="001972C0">
            <w:r w:rsidRPr="001972C0">
              <w:t>A: Behaving with integrity, demonstrating strong commitment to ethical values, and respecting the rule of law.</w:t>
            </w:r>
          </w:p>
        </w:tc>
        <w:tc>
          <w:tcPr>
            <w:tcW w:w="1911" w:type="dxa"/>
            <w:shd w:val="clear" w:color="auto" w:fill="FFF2CC" w:themeFill="accent4" w:themeFillTint="33"/>
          </w:tcPr>
          <w:p w14:paraId="1C4F4A54" w14:textId="50494184" w:rsidR="001972C0" w:rsidRPr="001972C0" w:rsidRDefault="001C009C" w:rsidP="001972C0">
            <w:r>
              <w:t>Award of Gold Standard for ICV Scheme</w:t>
            </w:r>
          </w:p>
        </w:tc>
        <w:tc>
          <w:tcPr>
            <w:tcW w:w="1669" w:type="dxa"/>
            <w:shd w:val="clear" w:color="auto" w:fill="FFF2CC" w:themeFill="accent4" w:themeFillTint="33"/>
          </w:tcPr>
          <w:p w14:paraId="28E34611" w14:textId="396B9440" w:rsidR="001972C0" w:rsidRPr="001972C0" w:rsidRDefault="001972C0" w:rsidP="001972C0"/>
        </w:tc>
        <w:tc>
          <w:tcPr>
            <w:tcW w:w="7823" w:type="dxa"/>
            <w:shd w:val="clear" w:color="auto" w:fill="FFF2CC" w:themeFill="accent4" w:themeFillTint="33"/>
          </w:tcPr>
          <w:p w14:paraId="3203D3F1" w14:textId="089FB497" w:rsidR="001972C0" w:rsidRPr="001972C0" w:rsidRDefault="008016C7" w:rsidP="001972C0">
            <w:r>
              <w:t>Aim to publicise achievement with Kent Police, and to highlight the work of the Scheme in Kent.</w:t>
            </w:r>
          </w:p>
        </w:tc>
      </w:tr>
      <w:tr w:rsidR="001972C0" w:rsidRPr="001972C0" w14:paraId="3E0973DA" w14:textId="77777777" w:rsidTr="00443F58">
        <w:trPr>
          <w:trHeight w:val="219"/>
        </w:trPr>
        <w:tc>
          <w:tcPr>
            <w:tcW w:w="315" w:type="dxa"/>
            <w:shd w:val="clear" w:color="auto" w:fill="FFE599" w:themeFill="accent4" w:themeFillTint="66"/>
          </w:tcPr>
          <w:p w14:paraId="3F2F6E4E" w14:textId="77777777" w:rsidR="001972C0" w:rsidRPr="001972C0" w:rsidRDefault="001972C0" w:rsidP="001972C0"/>
        </w:tc>
        <w:tc>
          <w:tcPr>
            <w:tcW w:w="2783" w:type="dxa"/>
            <w:shd w:val="clear" w:color="auto" w:fill="FFE599" w:themeFill="accent4" w:themeFillTint="66"/>
          </w:tcPr>
          <w:p w14:paraId="19A77337" w14:textId="77777777" w:rsidR="001972C0" w:rsidRPr="001972C0" w:rsidRDefault="001972C0" w:rsidP="001972C0">
            <w:r w:rsidRPr="001972C0">
              <w:t>B: Ensuring openness and comprehensive stakeholder engagement</w:t>
            </w:r>
          </w:p>
        </w:tc>
        <w:tc>
          <w:tcPr>
            <w:tcW w:w="1911" w:type="dxa"/>
            <w:shd w:val="clear" w:color="auto" w:fill="FFE599" w:themeFill="accent4" w:themeFillTint="66"/>
          </w:tcPr>
          <w:p w14:paraId="47FBC665" w14:textId="4AE03ED9" w:rsidR="001972C0" w:rsidRPr="001972C0" w:rsidRDefault="008016C7" w:rsidP="001972C0">
            <w:r>
              <w:t>New Communications Strategy</w:t>
            </w:r>
          </w:p>
        </w:tc>
        <w:tc>
          <w:tcPr>
            <w:tcW w:w="1669" w:type="dxa"/>
            <w:shd w:val="clear" w:color="auto" w:fill="FFE599" w:themeFill="accent4" w:themeFillTint="66"/>
          </w:tcPr>
          <w:p w14:paraId="20F6DA20" w14:textId="2278AD95" w:rsidR="001972C0" w:rsidRPr="001972C0" w:rsidRDefault="001972C0" w:rsidP="001972C0"/>
        </w:tc>
        <w:tc>
          <w:tcPr>
            <w:tcW w:w="7823" w:type="dxa"/>
            <w:shd w:val="clear" w:color="auto" w:fill="FFE599" w:themeFill="accent4" w:themeFillTint="66"/>
          </w:tcPr>
          <w:p w14:paraId="4E24ACC1" w14:textId="77777777" w:rsidR="000C2202" w:rsidRDefault="000C2202" w:rsidP="000C2202">
            <w:pPr>
              <w:pStyle w:val="Tabletext"/>
              <w:framePr w:hSpace="0" w:wrap="auto" w:vAnchor="margin" w:hAnchor="text" w:yAlign="inline"/>
            </w:pPr>
            <w:r>
              <w:t>Improve joint working with Force</w:t>
            </w:r>
          </w:p>
          <w:p w14:paraId="50148399" w14:textId="70044C4A" w:rsidR="001972C0" w:rsidRPr="001972C0" w:rsidRDefault="000C2202" w:rsidP="000C2202">
            <w:r>
              <w:t>Improve relationship with news outlets</w:t>
            </w:r>
          </w:p>
        </w:tc>
      </w:tr>
      <w:tr w:rsidR="001972C0" w:rsidRPr="001972C0" w14:paraId="20A1DA2A" w14:textId="77777777" w:rsidTr="00985ED5">
        <w:trPr>
          <w:trHeight w:val="219"/>
        </w:trPr>
        <w:tc>
          <w:tcPr>
            <w:tcW w:w="315" w:type="dxa"/>
            <w:shd w:val="clear" w:color="auto" w:fill="FFE599" w:themeFill="accent4" w:themeFillTint="66"/>
          </w:tcPr>
          <w:p w14:paraId="0BAE41EC" w14:textId="77777777" w:rsidR="001972C0" w:rsidRPr="001972C0" w:rsidRDefault="001972C0" w:rsidP="001972C0"/>
        </w:tc>
        <w:tc>
          <w:tcPr>
            <w:tcW w:w="2783" w:type="dxa"/>
            <w:shd w:val="clear" w:color="auto" w:fill="FFE599" w:themeFill="accent4" w:themeFillTint="66"/>
          </w:tcPr>
          <w:p w14:paraId="3723B867" w14:textId="77777777" w:rsidR="001972C0" w:rsidRPr="001972C0" w:rsidRDefault="001972C0" w:rsidP="001972C0">
            <w:r w:rsidRPr="001972C0">
              <w:t>B: Ensuring openness and comprehensive stakeholder engagement</w:t>
            </w:r>
          </w:p>
        </w:tc>
        <w:tc>
          <w:tcPr>
            <w:tcW w:w="1911" w:type="dxa"/>
            <w:shd w:val="clear" w:color="auto" w:fill="FFE599" w:themeFill="accent4" w:themeFillTint="66"/>
          </w:tcPr>
          <w:p w14:paraId="70660DB3" w14:textId="7C52CB0C" w:rsidR="001972C0" w:rsidRPr="001972C0" w:rsidRDefault="000C2202" w:rsidP="001972C0">
            <w:r>
              <w:t>IOPC Engagement events</w:t>
            </w:r>
          </w:p>
        </w:tc>
        <w:tc>
          <w:tcPr>
            <w:tcW w:w="1669" w:type="dxa"/>
            <w:shd w:val="clear" w:color="auto" w:fill="FFE599" w:themeFill="accent4" w:themeFillTint="66"/>
          </w:tcPr>
          <w:p w14:paraId="16287468" w14:textId="5C891C2B" w:rsidR="001972C0" w:rsidRPr="001972C0" w:rsidRDefault="001972C0" w:rsidP="001972C0"/>
        </w:tc>
        <w:tc>
          <w:tcPr>
            <w:tcW w:w="7823" w:type="dxa"/>
            <w:shd w:val="clear" w:color="auto" w:fill="FFE599" w:themeFill="accent4" w:themeFillTint="66"/>
          </w:tcPr>
          <w:p w14:paraId="76C28CD6" w14:textId="18965C80" w:rsidR="001972C0" w:rsidRPr="001972C0" w:rsidRDefault="00B44E03" w:rsidP="0019245E">
            <w:r>
              <w:t>Need to ensure that learning from the event is captured, and acted upon by the relevant stakeholders</w:t>
            </w:r>
          </w:p>
        </w:tc>
      </w:tr>
      <w:tr w:rsidR="001972C0" w:rsidRPr="001972C0" w14:paraId="45505F3B" w14:textId="77777777" w:rsidTr="00443F58">
        <w:trPr>
          <w:trHeight w:val="219"/>
        </w:trPr>
        <w:tc>
          <w:tcPr>
            <w:tcW w:w="315" w:type="dxa"/>
            <w:shd w:val="clear" w:color="auto" w:fill="FFE599" w:themeFill="accent4" w:themeFillTint="66"/>
          </w:tcPr>
          <w:p w14:paraId="7C3B50CD" w14:textId="77777777" w:rsidR="001972C0" w:rsidRPr="001972C0" w:rsidRDefault="001972C0" w:rsidP="001972C0"/>
        </w:tc>
        <w:tc>
          <w:tcPr>
            <w:tcW w:w="2783" w:type="dxa"/>
            <w:shd w:val="clear" w:color="auto" w:fill="FFE599" w:themeFill="accent4" w:themeFillTint="66"/>
          </w:tcPr>
          <w:p w14:paraId="0A97B69F" w14:textId="77777777" w:rsidR="001972C0" w:rsidRPr="001972C0" w:rsidRDefault="001972C0" w:rsidP="001972C0">
            <w:r w:rsidRPr="001972C0">
              <w:t>B: Ensuring openness and comprehensive stakeholder engagement</w:t>
            </w:r>
          </w:p>
        </w:tc>
        <w:tc>
          <w:tcPr>
            <w:tcW w:w="1911" w:type="dxa"/>
            <w:shd w:val="clear" w:color="auto" w:fill="FFE599" w:themeFill="accent4" w:themeFillTint="66"/>
          </w:tcPr>
          <w:p w14:paraId="7945A5D5" w14:textId="31A07C33" w:rsidR="001972C0" w:rsidRPr="001972C0" w:rsidRDefault="00B44E03" w:rsidP="001972C0">
            <w:r>
              <w:t>Revised engagement programme for Annual Survey</w:t>
            </w:r>
          </w:p>
        </w:tc>
        <w:tc>
          <w:tcPr>
            <w:tcW w:w="1669" w:type="dxa"/>
            <w:shd w:val="clear" w:color="auto" w:fill="FFE599" w:themeFill="accent4" w:themeFillTint="66"/>
          </w:tcPr>
          <w:p w14:paraId="7FF7E5CB" w14:textId="26BA8A36" w:rsidR="001972C0" w:rsidRPr="001972C0" w:rsidRDefault="001972C0" w:rsidP="001972C0"/>
        </w:tc>
        <w:tc>
          <w:tcPr>
            <w:tcW w:w="7823" w:type="dxa"/>
            <w:shd w:val="clear" w:color="auto" w:fill="FFE599" w:themeFill="accent4" w:themeFillTint="66"/>
          </w:tcPr>
          <w:p w14:paraId="2863E9EC" w14:textId="77777777" w:rsidR="00254C7D" w:rsidRDefault="00254C7D" w:rsidP="00254C7D">
            <w:pPr>
              <w:pStyle w:val="Tabletext"/>
              <w:framePr w:hSpace="0" w:wrap="auto" w:vAnchor="margin" w:hAnchor="text" w:yAlign="inline"/>
            </w:pPr>
            <w:r>
              <w:t>Lack of capacity within team reduced possibilities for innovation</w:t>
            </w:r>
          </w:p>
          <w:p w14:paraId="437F0B1C" w14:textId="77777777" w:rsidR="001972C0" w:rsidRDefault="00254C7D" w:rsidP="00254C7D">
            <w:r>
              <w:t>Loss of Open Day reduced number of responses to Annual Survey</w:t>
            </w:r>
          </w:p>
          <w:p w14:paraId="6437A20B" w14:textId="7BD9F820" w:rsidR="00681ECE" w:rsidRPr="001972C0" w:rsidRDefault="00681ECE" w:rsidP="00254C7D">
            <w:r>
              <w:t>The team will have to review how to effectively manage these risks, in line with the new Communications Strategy</w:t>
            </w:r>
          </w:p>
        </w:tc>
      </w:tr>
      <w:tr w:rsidR="00681ECE" w:rsidRPr="001972C0" w14:paraId="7ADB9360" w14:textId="77777777" w:rsidTr="00443F58">
        <w:trPr>
          <w:trHeight w:val="219"/>
        </w:trPr>
        <w:tc>
          <w:tcPr>
            <w:tcW w:w="315" w:type="dxa"/>
            <w:shd w:val="clear" w:color="auto" w:fill="FFE599" w:themeFill="accent4" w:themeFillTint="66"/>
          </w:tcPr>
          <w:p w14:paraId="71C063A1" w14:textId="77777777" w:rsidR="00681ECE" w:rsidRPr="001972C0" w:rsidRDefault="00681ECE" w:rsidP="001972C0"/>
        </w:tc>
        <w:tc>
          <w:tcPr>
            <w:tcW w:w="2783" w:type="dxa"/>
            <w:shd w:val="clear" w:color="auto" w:fill="FFE599" w:themeFill="accent4" w:themeFillTint="66"/>
          </w:tcPr>
          <w:p w14:paraId="7CBB0614" w14:textId="641B43E7" w:rsidR="00681ECE" w:rsidRPr="001972C0" w:rsidRDefault="00681ECE" w:rsidP="001972C0">
            <w:r w:rsidRPr="001972C0">
              <w:t>B: Ensuring openness and comprehensive stakeholder engagement</w:t>
            </w:r>
          </w:p>
        </w:tc>
        <w:tc>
          <w:tcPr>
            <w:tcW w:w="1911" w:type="dxa"/>
            <w:shd w:val="clear" w:color="auto" w:fill="FFE599" w:themeFill="accent4" w:themeFillTint="66"/>
          </w:tcPr>
          <w:p w14:paraId="2DE5315E" w14:textId="615F83D6" w:rsidR="00681ECE" w:rsidRDefault="00681ECE" w:rsidP="001972C0">
            <w:r>
              <w:t>Waste Crime Engagement</w:t>
            </w:r>
          </w:p>
        </w:tc>
        <w:tc>
          <w:tcPr>
            <w:tcW w:w="1669" w:type="dxa"/>
            <w:shd w:val="clear" w:color="auto" w:fill="FFE599" w:themeFill="accent4" w:themeFillTint="66"/>
          </w:tcPr>
          <w:p w14:paraId="4CA39F9D" w14:textId="77777777" w:rsidR="00681ECE" w:rsidRPr="001972C0" w:rsidRDefault="00681ECE" w:rsidP="001972C0"/>
        </w:tc>
        <w:tc>
          <w:tcPr>
            <w:tcW w:w="7823" w:type="dxa"/>
            <w:shd w:val="clear" w:color="auto" w:fill="FFE599" w:themeFill="accent4" w:themeFillTint="66"/>
          </w:tcPr>
          <w:p w14:paraId="3B5846A2" w14:textId="77777777" w:rsidR="00C23ED2" w:rsidRDefault="00C23ED2" w:rsidP="00C23ED2">
            <w:pPr>
              <w:pStyle w:val="Tabletext"/>
              <w:framePr w:hSpace="0" w:wrap="auto" w:vAnchor="margin" w:hAnchor="text" w:yAlign="inline"/>
            </w:pPr>
            <w:r>
              <w:t>Consideration needs to be given as to whether this will remain a priority for policing/PCC</w:t>
            </w:r>
          </w:p>
          <w:p w14:paraId="3C2F3A47" w14:textId="68EA4A3D" w:rsidR="00681ECE" w:rsidRDefault="00C23ED2" w:rsidP="00C23ED2">
            <w:pPr>
              <w:pStyle w:val="Tabletext"/>
              <w:framePr w:hSpace="0" w:wrap="auto" w:vAnchor="margin" w:hAnchor="text" w:yAlign="inline"/>
            </w:pPr>
            <w:r>
              <w:t>Lack of capacity within the Environment Agency, as the lead partner, to manage this.</w:t>
            </w:r>
            <w:r w:rsidR="005953A9">
              <w:t xml:space="preserve"> </w:t>
            </w:r>
          </w:p>
        </w:tc>
      </w:tr>
      <w:tr w:rsidR="001972C0" w:rsidRPr="001972C0" w14:paraId="10EFA251" w14:textId="77777777" w:rsidTr="00443F58">
        <w:trPr>
          <w:trHeight w:val="219"/>
        </w:trPr>
        <w:tc>
          <w:tcPr>
            <w:tcW w:w="315" w:type="dxa"/>
            <w:shd w:val="clear" w:color="auto" w:fill="FFF2CC" w:themeFill="accent4" w:themeFillTint="33"/>
          </w:tcPr>
          <w:p w14:paraId="37622F1A" w14:textId="77777777" w:rsidR="001972C0" w:rsidRPr="001972C0" w:rsidRDefault="001972C0" w:rsidP="001972C0"/>
        </w:tc>
        <w:tc>
          <w:tcPr>
            <w:tcW w:w="2783" w:type="dxa"/>
            <w:shd w:val="clear" w:color="auto" w:fill="FFF2CC" w:themeFill="accent4" w:themeFillTint="33"/>
          </w:tcPr>
          <w:p w14:paraId="4CB5DC06" w14:textId="77777777" w:rsidR="001972C0" w:rsidRPr="001972C0" w:rsidRDefault="001972C0" w:rsidP="001972C0">
            <w:r w:rsidRPr="001972C0">
              <w:t>C. Defining outcomes in terms of sustainable service and economic benefits</w:t>
            </w:r>
          </w:p>
        </w:tc>
        <w:tc>
          <w:tcPr>
            <w:tcW w:w="1911" w:type="dxa"/>
            <w:shd w:val="clear" w:color="auto" w:fill="FFF2CC" w:themeFill="accent4" w:themeFillTint="33"/>
          </w:tcPr>
          <w:p w14:paraId="77C6BB60" w14:textId="2EF5D46B" w:rsidR="001972C0" w:rsidRPr="001972C0" w:rsidRDefault="00DA6501" w:rsidP="001972C0">
            <w:r>
              <w:t>Preparatory work for sale of part of Sutton Road site</w:t>
            </w:r>
          </w:p>
        </w:tc>
        <w:tc>
          <w:tcPr>
            <w:tcW w:w="1669" w:type="dxa"/>
            <w:shd w:val="clear" w:color="auto" w:fill="FFF2CC" w:themeFill="accent4" w:themeFillTint="33"/>
          </w:tcPr>
          <w:p w14:paraId="1E0F52FB" w14:textId="3E5BCD54" w:rsidR="001972C0" w:rsidRPr="001972C0" w:rsidRDefault="001972C0" w:rsidP="001972C0"/>
        </w:tc>
        <w:tc>
          <w:tcPr>
            <w:tcW w:w="7823" w:type="dxa"/>
            <w:shd w:val="clear" w:color="auto" w:fill="FFF2CC" w:themeFill="accent4" w:themeFillTint="33"/>
          </w:tcPr>
          <w:p w14:paraId="0BB09924" w14:textId="46237421" w:rsidR="001972C0" w:rsidRPr="001972C0" w:rsidRDefault="007740B9" w:rsidP="007740B9">
            <w:r>
              <w:t>PCC will have responsibility to ensure Force get best use of remaining site.</w:t>
            </w:r>
          </w:p>
        </w:tc>
      </w:tr>
      <w:tr w:rsidR="001972C0" w:rsidRPr="001972C0" w14:paraId="44DBC3F2" w14:textId="77777777" w:rsidTr="00443F58">
        <w:trPr>
          <w:trHeight w:val="219"/>
        </w:trPr>
        <w:tc>
          <w:tcPr>
            <w:tcW w:w="315" w:type="dxa"/>
            <w:shd w:val="clear" w:color="auto" w:fill="FFF2CC" w:themeFill="accent4" w:themeFillTint="33"/>
          </w:tcPr>
          <w:p w14:paraId="5432C5A8" w14:textId="77777777" w:rsidR="001972C0" w:rsidRPr="001972C0" w:rsidRDefault="001972C0" w:rsidP="001972C0"/>
        </w:tc>
        <w:tc>
          <w:tcPr>
            <w:tcW w:w="2783" w:type="dxa"/>
            <w:shd w:val="clear" w:color="auto" w:fill="FFF2CC" w:themeFill="accent4" w:themeFillTint="33"/>
          </w:tcPr>
          <w:p w14:paraId="3AD59BC4" w14:textId="77777777" w:rsidR="001972C0" w:rsidRPr="001972C0" w:rsidRDefault="001972C0" w:rsidP="001972C0">
            <w:r w:rsidRPr="001972C0">
              <w:t>C. Defining outcomes in terms of sustainable service and economic benefits</w:t>
            </w:r>
          </w:p>
        </w:tc>
        <w:tc>
          <w:tcPr>
            <w:tcW w:w="1911" w:type="dxa"/>
            <w:shd w:val="clear" w:color="auto" w:fill="FFF2CC" w:themeFill="accent4" w:themeFillTint="33"/>
          </w:tcPr>
          <w:p w14:paraId="2FC590F6" w14:textId="1D0D55FF" w:rsidR="001972C0" w:rsidRPr="001972C0" w:rsidRDefault="007740B9" w:rsidP="001972C0">
            <w:r>
              <w:t>Property Fund</w:t>
            </w:r>
          </w:p>
        </w:tc>
        <w:tc>
          <w:tcPr>
            <w:tcW w:w="1669" w:type="dxa"/>
            <w:shd w:val="clear" w:color="auto" w:fill="FFF2CC" w:themeFill="accent4" w:themeFillTint="33"/>
          </w:tcPr>
          <w:p w14:paraId="4956F047" w14:textId="34E33D65" w:rsidR="001972C0" w:rsidRPr="001972C0" w:rsidRDefault="001972C0" w:rsidP="001972C0"/>
        </w:tc>
        <w:tc>
          <w:tcPr>
            <w:tcW w:w="7823" w:type="dxa"/>
            <w:shd w:val="clear" w:color="auto" w:fill="FFF2CC" w:themeFill="accent4" w:themeFillTint="33"/>
          </w:tcPr>
          <w:p w14:paraId="7970802C" w14:textId="77777777" w:rsidR="00AD7D59" w:rsidRDefault="00AD7D59" w:rsidP="00AD7D59">
            <w:pPr>
              <w:pStyle w:val="Tabletext"/>
              <w:framePr w:hSpace="0" w:wrap="auto" w:vAnchor="margin" w:hAnchor="text" w:yAlign="inline"/>
            </w:pPr>
            <w:r>
              <w:t>Managing expectations and demand of organisations bidding in to the Fund</w:t>
            </w:r>
          </w:p>
          <w:p w14:paraId="274CB580" w14:textId="6BF211F8" w:rsidR="001972C0" w:rsidRPr="001972C0" w:rsidRDefault="00AD7D59" w:rsidP="00AD7D59">
            <w:r>
              <w:t>Significant administrative burden on an already busy team.</w:t>
            </w:r>
          </w:p>
        </w:tc>
      </w:tr>
      <w:tr w:rsidR="00AD7D59" w:rsidRPr="001972C0" w14:paraId="0512E949" w14:textId="77777777" w:rsidTr="00443F58">
        <w:trPr>
          <w:trHeight w:val="219"/>
        </w:trPr>
        <w:tc>
          <w:tcPr>
            <w:tcW w:w="315" w:type="dxa"/>
            <w:shd w:val="clear" w:color="auto" w:fill="FFF2CC" w:themeFill="accent4" w:themeFillTint="33"/>
          </w:tcPr>
          <w:p w14:paraId="28C44D2F" w14:textId="77777777" w:rsidR="00AD7D59" w:rsidRPr="001972C0" w:rsidRDefault="00AD7D59" w:rsidP="001972C0"/>
        </w:tc>
        <w:tc>
          <w:tcPr>
            <w:tcW w:w="2783" w:type="dxa"/>
            <w:shd w:val="clear" w:color="auto" w:fill="FFF2CC" w:themeFill="accent4" w:themeFillTint="33"/>
          </w:tcPr>
          <w:p w14:paraId="0DD1D274" w14:textId="2ED11226" w:rsidR="00AD7D59" w:rsidRPr="001972C0" w:rsidRDefault="00AD7D59" w:rsidP="001972C0">
            <w:r w:rsidRPr="001972C0">
              <w:t>C. Defining outcomes in terms of sustainable service and economic benefits</w:t>
            </w:r>
          </w:p>
        </w:tc>
        <w:tc>
          <w:tcPr>
            <w:tcW w:w="1911" w:type="dxa"/>
            <w:shd w:val="clear" w:color="auto" w:fill="FFF2CC" w:themeFill="accent4" w:themeFillTint="33"/>
          </w:tcPr>
          <w:p w14:paraId="45835F77" w14:textId="2FC8810E" w:rsidR="00AD7D59" w:rsidRDefault="005033AB" w:rsidP="001972C0">
            <w:r>
              <w:t>Improving Kent CJS</w:t>
            </w:r>
          </w:p>
        </w:tc>
        <w:tc>
          <w:tcPr>
            <w:tcW w:w="1669" w:type="dxa"/>
            <w:shd w:val="clear" w:color="auto" w:fill="FFF2CC" w:themeFill="accent4" w:themeFillTint="33"/>
          </w:tcPr>
          <w:p w14:paraId="5BF24254" w14:textId="77777777" w:rsidR="00AD7D59" w:rsidRPr="001972C0" w:rsidRDefault="00AD7D59" w:rsidP="001972C0"/>
        </w:tc>
        <w:tc>
          <w:tcPr>
            <w:tcW w:w="7823" w:type="dxa"/>
            <w:shd w:val="clear" w:color="auto" w:fill="FFF2CC" w:themeFill="accent4" w:themeFillTint="33"/>
          </w:tcPr>
          <w:p w14:paraId="77E77225" w14:textId="6676535B" w:rsidR="00AD7D59" w:rsidRDefault="005033AB" w:rsidP="00AD7D59">
            <w:pPr>
              <w:pStyle w:val="Tabletext"/>
              <w:framePr w:hSpace="0" w:wrap="auto" w:vAnchor="margin" w:hAnchor="text" w:yAlign="inline"/>
            </w:pPr>
            <w:r>
              <w:t>Owing to demands at operational level across all services, challenging to progress issues.</w:t>
            </w:r>
          </w:p>
        </w:tc>
      </w:tr>
      <w:tr w:rsidR="001972C0" w:rsidRPr="001972C0" w14:paraId="4940367E" w14:textId="77777777" w:rsidTr="00985ED5">
        <w:trPr>
          <w:trHeight w:val="219"/>
        </w:trPr>
        <w:tc>
          <w:tcPr>
            <w:tcW w:w="315" w:type="dxa"/>
            <w:shd w:val="clear" w:color="auto" w:fill="FFE599" w:themeFill="accent4" w:themeFillTint="66"/>
          </w:tcPr>
          <w:p w14:paraId="3DF8E997" w14:textId="77777777" w:rsidR="001972C0" w:rsidRPr="001972C0" w:rsidRDefault="001972C0" w:rsidP="001972C0"/>
        </w:tc>
        <w:tc>
          <w:tcPr>
            <w:tcW w:w="2783" w:type="dxa"/>
            <w:shd w:val="clear" w:color="auto" w:fill="FFE599" w:themeFill="accent4" w:themeFillTint="66"/>
          </w:tcPr>
          <w:p w14:paraId="1126150F" w14:textId="77777777" w:rsidR="001972C0" w:rsidRPr="001972C0" w:rsidRDefault="001972C0" w:rsidP="001972C0">
            <w:r w:rsidRPr="001972C0">
              <w:t>D. Determining the actions necessary to achieve the intended outcomes</w:t>
            </w:r>
          </w:p>
        </w:tc>
        <w:tc>
          <w:tcPr>
            <w:tcW w:w="1911" w:type="dxa"/>
            <w:shd w:val="clear" w:color="auto" w:fill="FFE599" w:themeFill="accent4" w:themeFillTint="66"/>
          </w:tcPr>
          <w:p w14:paraId="7D0293B2" w14:textId="4AC245C6" w:rsidR="001972C0" w:rsidRPr="001972C0" w:rsidRDefault="005033AB" w:rsidP="001972C0">
            <w:r>
              <w:t>VRU</w:t>
            </w:r>
          </w:p>
        </w:tc>
        <w:tc>
          <w:tcPr>
            <w:tcW w:w="1669" w:type="dxa"/>
            <w:shd w:val="clear" w:color="auto" w:fill="FFE599" w:themeFill="accent4" w:themeFillTint="66"/>
          </w:tcPr>
          <w:p w14:paraId="66E91D28" w14:textId="2ADB8640" w:rsidR="001972C0" w:rsidRPr="001972C0" w:rsidRDefault="001972C0" w:rsidP="001972C0"/>
        </w:tc>
        <w:tc>
          <w:tcPr>
            <w:tcW w:w="7823" w:type="dxa"/>
            <w:shd w:val="clear" w:color="auto" w:fill="FFE599" w:themeFill="accent4" w:themeFillTint="66"/>
          </w:tcPr>
          <w:p w14:paraId="18106D5D" w14:textId="102C9B6E" w:rsidR="001972C0" w:rsidRPr="001972C0" w:rsidRDefault="00AE4ADF" w:rsidP="001972C0">
            <w:r>
              <w:t>New working relationship with the Force is strong but will continue to build and improve during the next financial year.</w:t>
            </w:r>
          </w:p>
        </w:tc>
      </w:tr>
      <w:tr w:rsidR="001972C0" w:rsidRPr="001972C0" w14:paraId="31A08EE6" w14:textId="77777777" w:rsidTr="00985ED5">
        <w:trPr>
          <w:trHeight w:val="219"/>
        </w:trPr>
        <w:tc>
          <w:tcPr>
            <w:tcW w:w="315" w:type="dxa"/>
            <w:shd w:val="clear" w:color="auto" w:fill="FFE599" w:themeFill="accent4" w:themeFillTint="66"/>
          </w:tcPr>
          <w:p w14:paraId="3F7751F8" w14:textId="77777777" w:rsidR="001972C0" w:rsidRPr="001972C0" w:rsidRDefault="001972C0" w:rsidP="001972C0"/>
        </w:tc>
        <w:tc>
          <w:tcPr>
            <w:tcW w:w="2783" w:type="dxa"/>
            <w:shd w:val="clear" w:color="auto" w:fill="FFE599" w:themeFill="accent4" w:themeFillTint="66"/>
          </w:tcPr>
          <w:p w14:paraId="5F907AE6" w14:textId="77777777" w:rsidR="001972C0" w:rsidRPr="001972C0" w:rsidRDefault="001972C0" w:rsidP="001972C0">
            <w:r w:rsidRPr="001972C0">
              <w:t>D. Determining the actions necessary to achieve the intended outcomes</w:t>
            </w:r>
          </w:p>
        </w:tc>
        <w:tc>
          <w:tcPr>
            <w:tcW w:w="1911" w:type="dxa"/>
            <w:shd w:val="clear" w:color="auto" w:fill="FFE599" w:themeFill="accent4" w:themeFillTint="66"/>
          </w:tcPr>
          <w:p w14:paraId="44C7A14C" w14:textId="75320C80" w:rsidR="001972C0" w:rsidRPr="001972C0" w:rsidRDefault="00AE4ADF" w:rsidP="001972C0">
            <w:r>
              <w:t>Government’s Police Performance Framework</w:t>
            </w:r>
          </w:p>
        </w:tc>
        <w:tc>
          <w:tcPr>
            <w:tcW w:w="1669" w:type="dxa"/>
            <w:shd w:val="clear" w:color="auto" w:fill="FFE599" w:themeFill="accent4" w:themeFillTint="66"/>
          </w:tcPr>
          <w:p w14:paraId="3983AEFC" w14:textId="65B353DA" w:rsidR="001972C0" w:rsidRPr="001972C0" w:rsidRDefault="001972C0" w:rsidP="001972C0"/>
        </w:tc>
        <w:tc>
          <w:tcPr>
            <w:tcW w:w="7823" w:type="dxa"/>
            <w:shd w:val="clear" w:color="auto" w:fill="FFE599" w:themeFill="accent4" w:themeFillTint="66"/>
          </w:tcPr>
          <w:p w14:paraId="0BDCD33D" w14:textId="12E3D2AD" w:rsidR="001972C0" w:rsidRPr="001972C0" w:rsidRDefault="00616621" w:rsidP="001972C0">
            <w:r w:rsidRPr="00616621">
              <w:t>Demand in terms of data collation and reporting could add additional pressure to OPCC going forward</w:t>
            </w:r>
          </w:p>
        </w:tc>
      </w:tr>
      <w:tr w:rsidR="001972C0" w:rsidRPr="001972C0" w14:paraId="78C06184" w14:textId="77777777" w:rsidTr="00985ED5">
        <w:trPr>
          <w:trHeight w:val="212"/>
        </w:trPr>
        <w:tc>
          <w:tcPr>
            <w:tcW w:w="315" w:type="dxa"/>
            <w:shd w:val="clear" w:color="auto" w:fill="FFF2CC" w:themeFill="accent4" w:themeFillTint="33"/>
          </w:tcPr>
          <w:p w14:paraId="7796C8D2" w14:textId="77777777" w:rsidR="001972C0" w:rsidRPr="001972C0" w:rsidRDefault="001972C0" w:rsidP="001972C0"/>
        </w:tc>
        <w:tc>
          <w:tcPr>
            <w:tcW w:w="2783" w:type="dxa"/>
            <w:shd w:val="clear" w:color="auto" w:fill="FFF2CC" w:themeFill="accent4" w:themeFillTint="33"/>
          </w:tcPr>
          <w:p w14:paraId="6EA31420" w14:textId="77777777" w:rsidR="001972C0" w:rsidRPr="001972C0" w:rsidRDefault="001972C0" w:rsidP="001972C0">
            <w:r w:rsidRPr="001972C0">
              <w:t>E. Developing the entity’s capacity, including the capability of its leadership and the individuals within it</w:t>
            </w:r>
          </w:p>
        </w:tc>
        <w:tc>
          <w:tcPr>
            <w:tcW w:w="1911" w:type="dxa"/>
            <w:shd w:val="clear" w:color="auto" w:fill="FFF2CC" w:themeFill="accent4" w:themeFillTint="33"/>
          </w:tcPr>
          <w:p w14:paraId="014808F0" w14:textId="0EEE4494" w:rsidR="001972C0" w:rsidRPr="001972C0" w:rsidRDefault="00D86A3E" w:rsidP="001972C0">
            <w:r>
              <w:t>Identification of resources to support OPCC training</w:t>
            </w:r>
          </w:p>
        </w:tc>
        <w:tc>
          <w:tcPr>
            <w:tcW w:w="1669" w:type="dxa"/>
            <w:shd w:val="clear" w:color="auto" w:fill="FFF2CC" w:themeFill="accent4" w:themeFillTint="33"/>
          </w:tcPr>
          <w:p w14:paraId="438B95A9" w14:textId="3E0F3983" w:rsidR="001972C0" w:rsidRPr="001972C0" w:rsidRDefault="001972C0" w:rsidP="001972C0"/>
        </w:tc>
        <w:tc>
          <w:tcPr>
            <w:tcW w:w="7823" w:type="dxa"/>
            <w:shd w:val="clear" w:color="auto" w:fill="FFF2CC" w:themeFill="accent4" w:themeFillTint="33"/>
          </w:tcPr>
          <w:p w14:paraId="123E3D3F" w14:textId="0F0D1B51" w:rsidR="001972C0" w:rsidRPr="001972C0" w:rsidRDefault="00A25565" w:rsidP="00A25565">
            <w:pPr>
              <w:tabs>
                <w:tab w:val="left" w:pos="1455"/>
              </w:tabs>
            </w:pPr>
            <w:r>
              <w:t>Will need to ensure that quality of training is appropriate, and meets needs of both individual staff and OPCC as a whole</w:t>
            </w:r>
          </w:p>
        </w:tc>
      </w:tr>
      <w:tr w:rsidR="001972C0" w:rsidRPr="001972C0" w14:paraId="5E35E73E" w14:textId="77777777" w:rsidTr="00985ED5">
        <w:trPr>
          <w:trHeight w:val="212"/>
        </w:trPr>
        <w:tc>
          <w:tcPr>
            <w:tcW w:w="315" w:type="dxa"/>
            <w:shd w:val="clear" w:color="auto" w:fill="FFF2CC" w:themeFill="accent4" w:themeFillTint="33"/>
          </w:tcPr>
          <w:p w14:paraId="0769F7AC" w14:textId="77777777" w:rsidR="001972C0" w:rsidRPr="001972C0" w:rsidRDefault="001972C0" w:rsidP="001972C0"/>
        </w:tc>
        <w:tc>
          <w:tcPr>
            <w:tcW w:w="2783" w:type="dxa"/>
            <w:shd w:val="clear" w:color="auto" w:fill="FFF2CC" w:themeFill="accent4" w:themeFillTint="33"/>
          </w:tcPr>
          <w:p w14:paraId="074F388F" w14:textId="77777777" w:rsidR="001972C0" w:rsidRPr="001972C0" w:rsidRDefault="001972C0" w:rsidP="001972C0">
            <w:r w:rsidRPr="001972C0">
              <w:t>E. Developing the entity’s capacity, including the capability of its leadership and the individuals within it</w:t>
            </w:r>
          </w:p>
        </w:tc>
        <w:tc>
          <w:tcPr>
            <w:tcW w:w="1911" w:type="dxa"/>
            <w:shd w:val="clear" w:color="auto" w:fill="FFF2CC" w:themeFill="accent4" w:themeFillTint="33"/>
          </w:tcPr>
          <w:p w14:paraId="05398CD6" w14:textId="2AAFA84D" w:rsidR="001972C0" w:rsidRPr="001972C0" w:rsidRDefault="00A25565" w:rsidP="001972C0">
            <w:r>
              <w:t>OPCC Staffing</w:t>
            </w:r>
          </w:p>
        </w:tc>
        <w:tc>
          <w:tcPr>
            <w:tcW w:w="1669" w:type="dxa"/>
            <w:shd w:val="clear" w:color="auto" w:fill="FFF2CC" w:themeFill="accent4" w:themeFillTint="33"/>
          </w:tcPr>
          <w:p w14:paraId="0BDC9AC7" w14:textId="2D241BD3" w:rsidR="001972C0" w:rsidRPr="001972C0" w:rsidRDefault="001972C0" w:rsidP="001972C0"/>
        </w:tc>
        <w:tc>
          <w:tcPr>
            <w:tcW w:w="7823" w:type="dxa"/>
            <w:shd w:val="clear" w:color="auto" w:fill="FFF2CC" w:themeFill="accent4" w:themeFillTint="33"/>
          </w:tcPr>
          <w:p w14:paraId="3E71F64C" w14:textId="48566381" w:rsidR="00F271DB" w:rsidRDefault="00F271DB" w:rsidP="00F271DB">
            <w:pPr>
              <w:pStyle w:val="Tabletext"/>
              <w:framePr w:hSpace="0" w:wrap="auto" w:vAnchor="margin" w:hAnchor="text" w:yAlign="inline"/>
            </w:pPr>
            <w:r>
              <w:t>There is a need to solidify the frequency and detail of communications from the SMT to staff; can be ad hoc.</w:t>
            </w:r>
            <w:r w:rsidR="005953A9">
              <w:t xml:space="preserve"> </w:t>
            </w:r>
          </w:p>
          <w:p w14:paraId="292A7E24" w14:textId="35029A67" w:rsidR="001972C0" w:rsidRPr="001972C0" w:rsidRDefault="00F271DB" w:rsidP="00F271DB">
            <w:pPr>
              <w:tabs>
                <w:tab w:val="left" w:pos="1830"/>
              </w:tabs>
            </w:pPr>
            <w:r>
              <w:t>There is limited access to data for the OPCC analyst.</w:t>
            </w:r>
          </w:p>
        </w:tc>
      </w:tr>
      <w:tr w:rsidR="001972C0" w:rsidRPr="001972C0" w14:paraId="31163608" w14:textId="77777777" w:rsidTr="00985ED5">
        <w:trPr>
          <w:trHeight w:val="212"/>
        </w:trPr>
        <w:tc>
          <w:tcPr>
            <w:tcW w:w="315" w:type="dxa"/>
            <w:shd w:val="clear" w:color="auto" w:fill="FFE599" w:themeFill="accent4" w:themeFillTint="66"/>
          </w:tcPr>
          <w:p w14:paraId="54F53041" w14:textId="77777777" w:rsidR="001972C0" w:rsidRPr="001972C0" w:rsidRDefault="001972C0" w:rsidP="001972C0"/>
        </w:tc>
        <w:tc>
          <w:tcPr>
            <w:tcW w:w="2783" w:type="dxa"/>
            <w:shd w:val="clear" w:color="auto" w:fill="FFE599" w:themeFill="accent4" w:themeFillTint="66"/>
          </w:tcPr>
          <w:p w14:paraId="5D491BAE" w14:textId="77777777" w:rsidR="001972C0" w:rsidRPr="001972C0" w:rsidRDefault="001972C0" w:rsidP="001972C0">
            <w:r w:rsidRPr="001972C0">
              <w:t>F. Managing risks and performance through robust internal control and strong public financial management</w:t>
            </w:r>
          </w:p>
        </w:tc>
        <w:tc>
          <w:tcPr>
            <w:tcW w:w="1911" w:type="dxa"/>
            <w:shd w:val="clear" w:color="auto" w:fill="FFE599" w:themeFill="accent4" w:themeFillTint="66"/>
          </w:tcPr>
          <w:p w14:paraId="58B7DBE5" w14:textId="74425241" w:rsidR="001972C0" w:rsidRPr="001972C0" w:rsidRDefault="00033536" w:rsidP="001972C0">
            <w:r>
              <w:t>Review of risk management for contracted services</w:t>
            </w:r>
          </w:p>
        </w:tc>
        <w:tc>
          <w:tcPr>
            <w:tcW w:w="1669" w:type="dxa"/>
            <w:shd w:val="clear" w:color="auto" w:fill="FFE599" w:themeFill="accent4" w:themeFillTint="66"/>
          </w:tcPr>
          <w:p w14:paraId="207BB96F" w14:textId="12F66CA7" w:rsidR="001972C0" w:rsidRPr="001972C0" w:rsidRDefault="001972C0" w:rsidP="001972C0"/>
        </w:tc>
        <w:tc>
          <w:tcPr>
            <w:tcW w:w="7823" w:type="dxa"/>
            <w:shd w:val="clear" w:color="auto" w:fill="FFE599" w:themeFill="accent4" w:themeFillTint="66"/>
          </w:tcPr>
          <w:p w14:paraId="4585979D" w14:textId="2A8653DC" w:rsidR="001972C0" w:rsidRPr="001972C0" w:rsidRDefault="00F8082B" w:rsidP="001972C0">
            <w:r>
              <w:t>Work to be done in 26-27, but this is dependent on the team’s capacity.</w:t>
            </w:r>
            <w:r w:rsidR="005953A9">
              <w:t xml:space="preserve"> </w:t>
            </w:r>
          </w:p>
        </w:tc>
      </w:tr>
      <w:tr w:rsidR="001972C0" w:rsidRPr="001972C0" w14:paraId="31E8A31A" w14:textId="77777777" w:rsidTr="00985ED5">
        <w:trPr>
          <w:trHeight w:val="212"/>
        </w:trPr>
        <w:tc>
          <w:tcPr>
            <w:tcW w:w="315" w:type="dxa"/>
            <w:shd w:val="clear" w:color="auto" w:fill="FFE599" w:themeFill="accent4" w:themeFillTint="66"/>
          </w:tcPr>
          <w:p w14:paraId="3C239C23" w14:textId="77777777" w:rsidR="001972C0" w:rsidRPr="001972C0" w:rsidRDefault="001972C0" w:rsidP="001972C0"/>
        </w:tc>
        <w:tc>
          <w:tcPr>
            <w:tcW w:w="2783" w:type="dxa"/>
            <w:shd w:val="clear" w:color="auto" w:fill="FFE599" w:themeFill="accent4" w:themeFillTint="66"/>
          </w:tcPr>
          <w:p w14:paraId="3D29AC47" w14:textId="77777777" w:rsidR="001972C0" w:rsidRPr="001972C0" w:rsidRDefault="001972C0" w:rsidP="001972C0">
            <w:r w:rsidRPr="001972C0">
              <w:t>F. Managing risks and performance through robust internal control and strong public financial management</w:t>
            </w:r>
          </w:p>
        </w:tc>
        <w:tc>
          <w:tcPr>
            <w:tcW w:w="1911" w:type="dxa"/>
            <w:shd w:val="clear" w:color="auto" w:fill="FFE599" w:themeFill="accent4" w:themeFillTint="66"/>
          </w:tcPr>
          <w:p w14:paraId="02C2F72A" w14:textId="3F07942E" w:rsidR="001972C0" w:rsidRPr="001972C0" w:rsidRDefault="00690628" w:rsidP="001972C0">
            <w:r>
              <w:t>New Chair and members for JAC</w:t>
            </w:r>
          </w:p>
        </w:tc>
        <w:tc>
          <w:tcPr>
            <w:tcW w:w="1669" w:type="dxa"/>
            <w:shd w:val="clear" w:color="auto" w:fill="FFE599" w:themeFill="accent4" w:themeFillTint="66"/>
          </w:tcPr>
          <w:p w14:paraId="0C90B1CB" w14:textId="1C9597D2" w:rsidR="001972C0" w:rsidRPr="001972C0" w:rsidRDefault="001972C0" w:rsidP="001972C0"/>
        </w:tc>
        <w:tc>
          <w:tcPr>
            <w:tcW w:w="7823" w:type="dxa"/>
            <w:shd w:val="clear" w:color="auto" w:fill="FFE599" w:themeFill="accent4" w:themeFillTint="66"/>
          </w:tcPr>
          <w:p w14:paraId="22B26C12" w14:textId="4228F2CF" w:rsidR="001972C0" w:rsidRPr="001972C0" w:rsidRDefault="002657BD" w:rsidP="001972C0">
            <w:r>
              <w:t>Continuing work to develop JAC self-assessment, and to identify any training or development needs.</w:t>
            </w:r>
            <w:r w:rsidR="005953A9">
              <w:t xml:space="preserve"> </w:t>
            </w:r>
          </w:p>
        </w:tc>
      </w:tr>
      <w:tr w:rsidR="001972C0" w:rsidRPr="001972C0" w14:paraId="5F1D5340" w14:textId="77777777" w:rsidTr="00985ED5">
        <w:trPr>
          <w:trHeight w:val="219"/>
        </w:trPr>
        <w:tc>
          <w:tcPr>
            <w:tcW w:w="315" w:type="dxa"/>
            <w:shd w:val="clear" w:color="auto" w:fill="FFF2CC" w:themeFill="accent4" w:themeFillTint="33"/>
          </w:tcPr>
          <w:p w14:paraId="44C5F340" w14:textId="77777777" w:rsidR="001972C0" w:rsidRPr="001972C0" w:rsidRDefault="001972C0" w:rsidP="001972C0"/>
        </w:tc>
        <w:tc>
          <w:tcPr>
            <w:tcW w:w="2783" w:type="dxa"/>
            <w:shd w:val="clear" w:color="auto" w:fill="FFF2CC" w:themeFill="accent4" w:themeFillTint="33"/>
          </w:tcPr>
          <w:p w14:paraId="7911B56D" w14:textId="77777777" w:rsidR="001972C0" w:rsidRPr="001972C0" w:rsidRDefault="001972C0" w:rsidP="001972C0">
            <w:r w:rsidRPr="001972C0">
              <w:t>G. Implementing good practices in transparency, reporting and audit to deliver effective accountability</w:t>
            </w:r>
          </w:p>
        </w:tc>
        <w:tc>
          <w:tcPr>
            <w:tcW w:w="1911" w:type="dxa"/>
            <w:shd w:val="clear" w:color="auto" w:fill="FFF2CC" w:themeFill="accent4" w:themeFillTint="33"/>
          </w:tcPr>
          <w:p w14:paraId="376A1095" w14:textId="0A77B9AB" w:rsidR="001972C0" w:rsidRPr="001972C0" w:rsidRDefault="00ED1836" w:rsidP="001972C0">
            <w:r>
              <w:t>Creation of Kent-specific police dog welfare inspection scheme</w:t>
            </w:r>
          </w:p>
        </w:tc>
        <w:tc>
          <w:tcPr>
            <w:tcW w:w="1669" w:type="dxa"/>
            <w:shd w:val="clear" w:color="auto" w:fill="FFF2CC" w:themeFill="accent4" w:themeFillTint="33"/>
          </w:tcPr>
          <w:p w14:paraId="7B0AF2E0" w14:textId="650A7161" w:rsidR="001972C0" w:rsidRPr="001972C0" w:rsidRDefault="001972C0" w:rsidP="001972C0"/>
        </w:tc>
        <w:tc>
          <w:tcPr>
            <w:tcW w:w="7823" w:type="dxa"/>
            <w:shd w:val="clear" w:color="auto" w:fill="FFF2CC" w:themeFill="accent4" w:themeFillTint="33"/>
          </w:tcPr>
          <w:p w14:paraId="2248D4ED" w14:textId="3342C888" w:rsidR="001972C0" w:rsidRPr="001972C0" w:rsidRDefault="00610ED5" w:rsidP="001972C0">
            <w:r>
              <w:t>Scheme to launch in Spring/Summer 2026; will require close monitoring in the first year of operation to ensure that the new process are fully embedded.</w:t>
            </w:r>
          </w:p>
        </w:tc>
      </w:tr>
      <w:tr w:rsidR="00D43F8E" w:rsidRPr="001972C0" w14:paraId="6BBA058D" w14:textId="77777777" w:rsidTr="00985ED5">
        <w:trPr>
          <w:trHeight w:val="219"/>
        </w:trPr>
        <w:tc>
          <w:tcPr>
            <w:tcW w:w="315" w:type="dxa"/>
            <w:shd w:val="clear" w:color="auto" w:fill="FFF2CC" w:themeFill="accent4" w:themeFillTint="33"/>
          </w:tcPr>
          <w:p w14:paraId="030F9F36" w14:textId="77777777" w:rsidR="00D43F8E" w:rsidRPr="001972C0" w:rsidRDefault="00D43F8E" w:rsidP="00D43F8E"/>
        </w:tc>
        <w:tc>
          <w:tcPr>
            <w:tcW w:w="2783" w:type="dxa"/>
            <w:shd w:val="clear" w:color="auto" w:fill="FFF2CC" w:themeFill="accent4" w:themeFillTint="33"/>
          </w:tcPr>
          <w:p w14:paraId="095B8FBF" w14:textId="77777777" w:rsidR="00D43F8E" w:rsidRPr="001972C0" w:rsidRDefault="00D43F8E" w:rsidP="00D43F8E">
            <w:r w:rsidRPr="001972C0">
              <w:t>G. Implementing good practices in transparency, reporting and audit to deliver effective accountability</w:t>
            </w:r>
          </w:p>
        </w:tc>
        <w:tc>
          <w:tcPr>
            <w:tcW w:w="1911" w:type="dxa"/>
            <w:shd w:val="clear" w:color="auto" w:fill="FFF2CC" w:themeFill="accent4" w:themeFillTint="33"/>
          </w:tcPr>
          <w:p w14:paraId="18A63D8D" w14:textId="373D5C1E" w:rsidR="00D43F8E" w:rsidRPr="001972C0" w:rsidRDefault="00D43F8E" w:rsidP="00D43F8E">
            <w:r>
              <w:t>Sums system reporting to support work of Commissioning Team</w:t>
            </w:r>
          </w:p>
        </w:tc>
        <w:tc>
          <w:tcPr>
            <w:tcW w:w="1669" w:type="dxa"/>
            <w:shd w:val="clear" w:color="auto" w:fill="FFF2CC" w:themeFill="accent4" w:themeFillTint="33"/>
          </w:tcPr>
          <w:p w14:paraId="3C94064E" w14:textId="40E1AC6B" w:rsidR="00D43F8E" w:rsidRPr="001972C0" w:rsidRDefault="00D43F8E" w:rsidP="00D43F8E"/>
        </w:tc>
        <w:tc>
          <w:tcPr>
            <w:tcW w:w="7823" w:type="dxa"/>
            <w:shd w:val="clear" w:color="auto" w:fill="FFF2CC" w:themeFill="accent4" w:themeFillTint="33"/>
          </w:tcPr>
          <w:p w14:paraId="1261ACF6" w14:textId="352AF5DC" w:rsidR="00D43F8E" w:rsidRDefault="00D43F8E" w:rsidP="00D43F8E">
            <w:pPr>
              <w:pStyle w:val="Tabletext"/>
              <w:framePr w:hSpace="0" w:wrap="auto" w:vAnchor="margin" w:hAnchor="text" w:yAlign="inline"/>
            </w:pPr>
            <w:r>
              <w:t>Using Sums for reporting is a work in progress; aim is to improve the tracking on the reports from service providers, so that the journey from contract, to mid year reporting, to end of year reporting can be seen holistically.</w:t>
            </w:r>
            <w:r w:rsidR="005953A9">
              <w:t xml:space="preserve"> </w:t>
            </w:r>
          </w:p>
          <w:p w14:paraId="4835128A" w14:textId="77777777" w:rsidR="00D43F8E" w:rsidRDefault="00D43F8E" w:rsidP="00D43F8E">
            <w:pPr>
              <w:pStyle w:val="Tabletext"/>
              <w:framePr w:hSpace="0" w:wrap="auto" w:vAnchor="margin" w:hAnchor="text" w:yAlign="inline"/>
            </w:pPr>
            <w:r>
              <w:t>Aim to use case studies to enhance the reporting to central government and more effectively demonstrate the impact of services.</w:t>
            </w:r>
          </w:p>
          <w:p w14:paraId="15C2C2DB" w14:textId="09958753" w:rsidR="00D43F8E" w:rsidRPr="001972C0" w:rsidRDefault="00D43F8E" w:rsidP="00D43F8E">
            <w:pPr>
              <w:pStyle w:val="Tabletext"/>
              <w:framePr w:hSpace="0" w:wrap="auto" w:vAnchor="margin" w:hAnchor="text" w:yAlign="inline"/>
            </w:pPr>
            <w:r>
              <w:t>Aim to use Sum to improve engagement.</w:t>
            </w:r>
            <w:r w:rsidR="005953A9">
              <w:t xml:space="preserve"> </w:t>
            </w:r>
            <w:r>
              <w:t xml:space="preserve"> </w:t>
            </w:r>
          </w:p>
        </w:tc>
      </w:tr>
      <w:tr w:rsidR="00D43F8E" w:rsidRPr="001972C0" w14:paraId="244DA999" w14:textId="77777777" w:rsidTr="00985ED5">
        <w:trPr>
          <w:trHeight w:val="219"/>
        </w:trPr>
        <w:tc>
          <w:tcPr>
            <w:tcW w:w="315" w:type="dxa"/>
            <w:shd w:val="clear" w:color="auto" w:fill="FFF2CC" w:themeFill="accent4" w:themeFillTint="33"/>
          </w:tcPr>
          <w:p w14:paraId="5A73E2B0" w14:textId="77777777" w:rsidR="00D43F8E" w:rsidRPr="001972C0" w:rsidRDefault="00D43F8E" w:rsidP="00D43F8E"/>
        </w:tc>
        <w:tc>
          <w:tcPr>
            <w:tcW w:w="2783" w:type="dxa"/>
            <w:shd w:val="clear" w:color="auto" w:fill="FFF2CC" w:themeFill="accent4" w:themeFillTint="33"/>
          </w:tcPr>
          <w:p w14:paraId="2ACC6C81" w14:textId="77777777" w:rsidR="00D43F8E" w:rsidRPr="001972C0" w:rsidRDefault="00D43F8E" w:rsidP="00D43F8E">
            <w:r w:rsidRPr="001972C0">
              <w:t>G. Implementing good practices in transparency, reporting and audit to deliver effective accountability</w:t>
            </w:r>
          </w:p>
        </w:tc>
        <w:tc>
          <w:tcPr>
            <w:tcW w:w="1911" w:type="dxa"/>
            <w:shd w:val="clear" w:color="auto" w:fill="FFF2CC" w:themeFill="accent4" w:themeFillTint="33"/>
          </w:tcPr>
          <w:p w14:paraId="7F6B6049" w14:textId="232526C1" w:rsidR="00D43F8E" w:rsidRPr="001972C0" w:rsidRDefault="00864EE0" w:rsidP="00D43F8E">
            <w:r>
              <w:t>Data retention and disposal process</w:t>
            </w:r>
          </w:p>
        </w:tc>
        <w:tc>
          <w:tcPr>
            <w:tcW w:w="1669" w:type="dxa"/>
            <w:shd w:val="clear" w:color="auto" w:fill="FFF2CC" w:themeFill="accent4" w:themeFillTint="33"/>
          </w:tcPr>
          <w:p w14:paraId="5559BF0A" w14:textId="075EB05D" w:rsidR="00D43F8E" w:rsidRPr="001972C0" w:rsidRDefault="00D43F8E" w:rsidP="00D43F8E"/>
        </w:tc>
        <w:tc>
          <w:tcPr>
            <w:tcW w:w="7823" w:type="dxa"/>
            <w:shd w:val="clear" w:color="auto" w:fill="FFF2CC" w:themeFill="accent4" w:themeFillTint="33"/>
          </w:tcPr>
          <w:p w14:paraId="44665167" w14:textId="757165C4" w:rsidR="00D43F8E" w:rsidRPr="001972C0" w:rsidRDefault="007219B9" w:rsidP="00D43F8E">
            <w:r>
              <w:t>There is still the need to carry out a final review of the small amount of material that is held in hard copy.</w:t>
            </w:r>
          </w:p>
        </w:tc>
      </w:tr>
    </w:tbl>
    <w:p w14:paraId="2DD6A42B" w14:textId="77777777" w:rsidR="001B04BD" w:rsidRDefault="001B04BD" w:rsidP="006E2B88"/>
    <w:p w14:paraId="4D1894CE" w14:textId="77777777" w:rsidR="001972C0" w:rsidRDefault="001972C0" w:rsidP="006E2B88"/>
    <w:p w14:paraId="6913F9C1" w14:textId="77777777" w:rsidR="00900AF1" w:rsidRDefault="00900AF1" w:rsidP="006E2B88">
      <w:pPr>
        <w:sectPr w:rsidR="00900AF1" w:rsidSect="000B208F">
          <w:headerReference w:type="default" r:id="rId20"/>
          <w:pgSz w:w="16838" w:h="11906" w:orient="landscape"/>
          <w:pgMar w:top="1814" w:right="1134" w:bottom="1440" w:left="1134" w:header="709" w:footer="471" w:gutter="0"/>
          <w:cols w:space="708"/>
          <w:docGrid w:linePitch="360"/>
        </w:sectPr>
      </w:pPr>
    </w:p>
    <w:p w14:paraId="711E5AED" w14:textId="7C5CEFFC" w:rsidR="00900AF1" w:rsidRDefault="00900AF1" w:rsidP="00900AF1">
      <w:r>
        <w:t>During 25</w:t>
      </w:r>
      <w:r w:rsidR="007219B9">
        <w:t>-26</w:t>
      </w:r>
      <w:r>
        <w:t xml:space="preserve">, there were </w:t>
      </w:r>
      <w:r w:rsidR="008C0026">
        <w:t>two</w:t>
      </w:r>
      <w:r>
        <w:t xml:space="preserve"> OPCC-specific audits</w:t>
      </w:r>
      <w:r w:rsidR="00D76E5C">
        <w:t>, and two joint follow ups.</w:t>
      </w:r>
      <w:r w:rsidR="005953A9">
        <w:t xml:space="preserve"> </w:t>
      </w:r>
      <w:r w:rsidR="0028134C">
        <w:t xml:space="preserve">The outcomes demonstrate a </w:t>
      </w:r>
      <w:r w:rsidR="00CD66C9">
        <w:t>high level of compliance</w:t>
      </w:r>
      <w:r w:rsidR="007B02F0">
        <w:t>, and a strong assurance framework</w:t>
      </w:r>
      <w:r w:rsidR="00CD66C9">
        <w:t>.</w:t>
      </w:r>
      <w:r w:rsidR="005953A9">
        <w:t xml:space="preserve"> </w:t>
      </w:r>
    </w:p>
    <w:p w14:paraId="3493334E" w14:textId="2DB1E846" w:rsidR="00900AF1" w:rsidRDefault="00CD66C9" w:rsidP="00900AF1">
      <w:r>
        <w:t>In addition, t</w:t>
      </w:r>
      <w:r w:rsidR="00900AF1">
        <w:t>he Kent Police audit outcomes enable the Police and Crime Commissioner to hold the Chief Constable to account.</w:t>
      </w:r>
      <w:r w:rsidR="005953A9">
        <w:t xml:space="preserve"> </w:t>
      </w:r>
      <w:r w:rsidR="00900AF1">
        <w:t>It also allows his Chief Finance Officer (as s.151 Officer) to effectively consider the level of controls in place within Kent Police, through both formal channels (such as the Joint Audit Committee) and through other meetings, boards and workstreams.</w:t>
      </w:r>
      <w:r w:rsidR="005953A9">
        <w:t xml:space="preserve"> </w:t>
      </w:r>
    </w:p>
    <w:p w14:paraId="69A74800" w14:textId="3F2D01C2" w:rsidR="00900AF1" w:rsidRDefault="00900AF1" w:rsidP="00900AF1"/>
    <w:tbl>
      <w:tblPr>
        <w:tblStyle w:val="TableGrid"/>
        <w:tblW w:w="9609" w:type="dxa"/>
        <w:tblLook w:val="04A0" w:firstRow="1" w:lastRow="0" w:firstColumn="1" w:lastColumn="0" w:noHBand="0" w:noVBand="1"/>
      </w:tblPr>
      <w:tblGrid>
        <w:gridCol w:w="3203"/>
        <w:gridCol w:w="3203"/>
        <w:gridCol w:w="3203"/>
      </w:tblGrid>
      <w:tr w:rsidR="00900AF1" w:rsidRPr="00900AF1" w14:paraId="7451830D" w14:textId="77777777" w:rsidTr="00900AF1">
        <w:trPr>
          <w:trHeight w:val="279"/>
        </w:trPr>
        <w:tc>
          <w:tcPr>
            <w:tcW w:w="3203" w:type="dxa"/>
            <w:shd w:val="clear" w:color="auto" w:fill="002060"/>
          </w:tcPr>
          <w:p w14:paraId="097B227F" w14:textId="77777777" w:rsidR="00900AF1" w:rsidRPr="00900AF1" w:rsidRDefault="00900AF1" w:rsidP="00900AF1">
            <w:pPr>
              <w:pStyle w:val="Tabletext"/>
              <w:framePr w:wrap="around"/>
              <w:rPr>
                <w:b/>
                <w:bCs/>
                <w:sz w:val="20"/>
                <w:szCs w:val="20"/>
              </w:rPr>
            </w:pPr>
            <w:r w:rsidRPr="00900AF1">
              <w:rPr>
                <w:b/>
                <w:bCs/>
                <w:sz w:val="20"/>
                <w:szCs w:val="20"/>
              </w:rPr>
              <w:t>Assignment</w:t>
            </w:r>
          </w:p>
        </w:tc>
        <w:tc>
          <w:tcPr>
            <w:tcW w:w="3203" w:type="dxa"/>
            <w:shd w:val="clear" w:color="auto" w:fill="002060"/>
          </w:tcPr>
          <w:p w14:paraId="53E71FF4" w14:textId="77777777" w:rsidR="00900AF1" w:rsidRPr="00900AF1" w:rsidRDefault="00900AF1" w:rsidP="00900AF1">
            <w:pPr>
              <w:pStyle w:val="Tabletext"/>
              <w:framePr w:wrap="around"/>
              <w:rPr>
                <w:b/>
                <w:bCs/>
                <w:sz w:val="20"/>
                <w:szCs w:val="20"/>
              </w:rPr>
            </w:pPr>
            <w:r w:rsidRPr="00900AF1">
              <w:rPr>
                <w:b/>
                <w:bCs/>
                <w:sz w:val="20"/>
                <w:szCs w:val="20"/>
              </w:rPr>
              <w:t>Organisations</w:t>
            </w:r>
          </w:p>
        </w:tc>
        <w:tc>
          <w:tcPr>
            <w:tcW w:w="3203" w:type="dxa"/>
            <w:shd w:val="clear" w:color="auto" w:fill="002060"/>
          </w:tcPr>
          <w:p w14:paraId="64C1A7DC" w14:textId="77777777" w:rsidR="00900AF1" w:rsidRPr="00900AF1" w:rsidRDefault="00900AF1" w:rsidP="00900AF1">
            <w:pPr>
              <w:pStyle w:val="Tabletext"/>
              <w:framePr w:wrap="around"/>
              <w:rPr>
                <w:b/>
                <w:bCs/>
                <w:sz w:val="20"/>
                <w:szCs w:val="20"/>
              </w:rPr>
            </w:pPr>
            <w:r w:rsidRPr="00900AF1">
              <w:rPr>
                <w:b/>
                <w:bCs/>
                <w:sz w:val="20"/>
                <w:szCs w:val="20"/>
              </w:rPr>
              <w:t>Opinion</w:t>
            </w:r>
          </w:p>
        </w:tc>
      </w:tr>
      <w:tr w:rsidR="00900AF1" w:rsidRPr="00900AF1" w14:paraId="2B43FD8C" w14:textId="77777777">
        <w:trPr>
          <w:trHeight w:val="573"/>
        </w:trPr>
        <w:tc>
          <w:tcPr>
            <w:tcW w:w="3203" w:type="dxa"/>
          </w:tcPr>
          <w:p w14:paraId="761D8BA5" w14:textId="70FEF7E5" w:rsidR="00900AF1" w:rsidRPr="00900AF1" w:rsidRDefault="00C04B92" w:rsidP="00900AF1">
            <w:pPr>
              <w:pStyle w:val="Tabletext"/>
              <w:framePr w:wrap="around"/>
              <w:rPr>
                <w:sz w:val="20"/>
                <w:szCs w:val="20"/>
              </w:rPr>
            </w:pPr>
            <w:r>
              <w:rPr>
                <w:sz w:val="20"/>
                <w:szCs w:val="20"/>
              </w:rPr>
              <w:t>Follow up</w:t>
            </w:r>
            <w:r w:rsidR="000C12C6">
              <w:rPr>
                <w:sz w:val="20"/>
                <w:szCs w:val="20"/>
              </w:rPr>
              <w:t xml:space="preserve"> part 1</w:t>
            </w:r>
          </w:p>
        </w:tc>
        <w:tc>
          <w:tcPr>
            <w:tcW w:w="3203" w:type="dxa"/>
          </w:tcPr>
          <w:p w14:paraId="668337F1" w14:textId="03B2B5E7" w:rsidR="00900AF1" w:rsidRPr="00900AF1" w:rsidRDefault="00C04B92" w:rsidP="00900AF1">
            <w:pPr>
              <w:pStyle w:val="Tabletext"/>
              <w:framePr w:wrap="around"/>
              <w:rPr>
                <w:sz w:val="20"/>
                <w:szCs w:val="20"/>
              </w:rPr>
            </w:pPr>
            <w:r>
              <w:rPr>
                <w:sz w:val="20"/>
                <w:szCs w:val="20"/>
              </w:rPr>
              <w:t>OPCC and Kent Police</w:t>
            </w:r>
          </w:p>
        </w:tc>
        <w:tc>
          <w:tcPr>
            <w:tcW w:w="3203" w:type="dxa"/>
          </w:tcPr>
          <w:p w14:paraId="53061442" w14:textId="5B18E707" w:rsidR="00900AF1" w:rsidRPr="00900AF1" w:rsidRDefault="00C04B92" w:rsidP="00900AF1">
            <w:pPr>
              <w:pStyle w:val="Tabletext"/>
              <w:framePr w:wrap="around"/>
              <w:rPr>
                <w:sz w:val="20"/>
                <w:szCs w:val="20"/>
              </w:rPr>
            </w:pPr>
            <w:r>
              <w:rPr>
                <w:sz w:val="20"/>
                <w:szCs w:val="20"/>
              </w:rPr>
              <w:t>Good progress</w:t>
            </w:r>
          </w:p>
        </w:tc>
      </w:tr>
      <w:tr w:rsidR="00900AF1" w:rsidRPr="00900AF1" w14:paraId="1064ED4C" w14:textId="77777777">
        <w:trPr>
          <w:trHeight w:val="294"/>
        </w:trPr>
        <w:tc>
          <w:tcPr>
            <w:tcW w:w="3203" w:type="dxa"/>
          </w:tcPr>
          <w:p w14:paraId="6A62A7F8" w14:textId="01ADF303" w:rsidR="00900AF1" w:rsidRPr="00900AF1" w:rsidRDefault="00EE1182" w:rsidP="00900AF1">
            <w:pPr>
              <w:pStyle w:val="Tabletext"/>
              <w:framePr w:wrap="around"/>
              <w:rPr>
                <w:sz w:val="20"/>
                <w:szCs w:val="20"/>
              </w:rPr>
            </w:pPr>
            <w:r>
              <w:rPr>
                <w:sz w:val="20"/>
                <w:szCs w:val="20"/>
              </w:rPr>
              <w:t>Medium Term Financial Plan</w:t>
            </w:r>
          </w:p>
        </w:tc>
        <w:tc>
          <w:tcPr>
            <w:tcW w:w="3203" w:type="dxa"/>
          </w:tcPr>
          <w:p w14:paraId="65D2B334" w14:textId="6AA783BC" w:rsidR="00900AF1" w:rsidRPr="00900AF1" w:rsidRDefault="00EE1182" w:rsidP="00900AF1">
            <w:pPr>
              <w:pStyle w:val="Tabletext"/>
              <w:framePr w:wrap="around"/>
              <w:rPr>
                <w:sz w:val="20"/>
                <w:szCs w:val="20"/>
              </w:rPr>
            </w:pPr>
            <w:r>
              <w:rPr>
                <w:sz w:val="20"/>
                <w:szCs w:val="20"/>
              </w:rPr>
              <w:t>OPCC</w:t>
            </w:r>
          </w:p>
        </w:tc>
        <w:tc>
          <w:tcPr>
            <w:tcW w:w="3203" w:type="dxa"/>
          </w:tcPr>
          <w:p w14:paraId="5F31B11F" w14:textId="3C8EAEF0" w:rsidR="00900AF1" w:rsidRPr="00900AF1" w:rsidRDefault="00EE1182" w:rsidP="00900AF1">
            <w:pPr>
              <w:pStyle w:val="Tabletext"/>
              <w:framePr w:wrap="around"/>
              <w:rPr>
                <w:sz w:val="20"/>
                <w:szCs w:val="20"/>
              </w:rPr>
            </w:pPr>
            <w:r>
              <w:rPr>
                <w:sz w:val="20"/>
                <w:szCs w:val="20"/>
              </w:rPr>
              <w:t xml:space="preserve">Substantial </w:t>
            </w:r>
            <w:r w:rsidR="006F6BD0">
              <w:rPr>
                <w:sz w:val="20"/>
                <w:szCs w:val="20"/>
              </w:rPr>
              <w:t>Assurance</w:t>
            </w:r>
          </w:p>
        </w:tc>
      </w:tr>
      <w:tr w:rsidR="00900AF1" w:rsidRPr="00900AF1" w14:paraId="09521665" w14:textId="77777777">
        <w:trPr>
          <w:trHeight w:val="558"/>
        </w:trPr>
        <w:tc>
          <w:tcPr>
            <w:tcW w:w="3203" w:type="dxa"/>
          </w:tcPr>
          <w:p w14:paraId="0AF039D4" w14:textId="5B6B1772" w:rsidR="00900AF1" w:rsidRPr="00900AF1" w:rsidRDefault="006F6BD0" w:rsidP="00900AF1">
            <w:pPr>
              <w:pStyle w:val="Tabletext"/>
              <w:framePr w:wrap="around"/>
              <w:rPr>
                <w:sz w:val="20"/>
                <w:szCs w:val="20"/>
              </w:rPr>
            </w:pPr>
            <w:r>
              <w:rPr>
                <w:sz w:val="20"/>
                <w:szCs w:val="20"/>
              </w:rPr>
              <w:t>Treasury Management</w:t>
            </w:r>
          </w:p>
        </w:tc>
        <w:tc>
          <w:tcPr>
            <w:tcW w:w="3203" w:type="dxa"/>
          </w:tcPr>
          <w:p w14:paraId="3CE73CDA" w14:textId="3A2B08B7" w:rsidR="00900AF1" w:rsidRPr="00900AF1" w:rsidRDefault="006F6BD0" w:rsidP="00900AF1">
            <w:pPr>
              <w:pStyle w:val="Tabletext"/>
              <w:framePr w:wrap="around"/>
              <w:rPr>
                <w:sz w:val="20"/>
                <w:szCs w:val="20"/>
              </w:rPr>
            </w:pPr>
            <w:r>
              <w:rPr>
                <w:sz w:val="20"/>
                <w:szCs w:val="20"/>
              </w:rPr>
              <w:t>OPCC</w:t>
            </w:r>
          </w:p>
        </w:tc>
        <w:tc>
          <w:tcPr>
            <w:tcW w:w="3203" w:type="dxa"/>
          </w:tcPr>
          <w:p w14:paraId="0E1651F0" w14:textId="6EEC7B73" w:rsidR="00900AF1" w:rsidRPr="00900AF1" w:rsidRDefault="006F6BD0" w:rsidP="00900AF1">
            <w:pPr>
              <w:pStyle w:val="Tabletext"/>
              <w:framePr w:wrap="around"/>
              <w:rPr>
                <w:sz w:val="20"/>
                <w:szCs w:val="20"/>
              </w:rPr>
            </w:pPr>
            <w:r>
              <w:rPr>
                <w:sz w:val="20"/>
                <w:szCs w:val="20"/>
              </w:rPr>
              <w:t>Reasonable assurance</w:t>
            </w:r>
          </w:p>
        </w:tc>
      </w:tr>
      <w:tr w:rsidR="00900AF1" w:rsidRPr="00900AF1" w14:paraId="0D70B938" w14:textId="77777777">
        <w:trPr>
          <w:trHeight w:val="573"/>
        </w:trPr>
        <w:tc>
          <w:tcPr>
            <w:tcW w:w="3203" w:type="dxa"/>
          </w:tcPr>
          <w:p w14:paraId="2D31C8A1" w14:textId="2C35559F" w:rsidR="00900AF1" w:rsidRPr="00900AF1" w:rsidRDefault="008C0026" w:rsidP="00900AF1">
            <w:pPr>
              <w:pStyle w:val="Tabletext"/>
              <w:framePr w:wrap="around"/>
              <w:rPr>
                <w:sz w:val="20"/>
                <w:szCs w:val="20"/>
              </w:rPr>
            </w:pPr>
            <w:r>
              <w:rPr>
                <w:sz w:val="20"/>
                <w:szCs w:val="20"/>
              </w:rPr>
              <w:t>Follow up part 2</w:t>
            </w:r>
          </w:p>
        </w:tc>
        <w:tc>
          <w:tcPr>
            <w:tcW w:w="3203" w:type="dxa"/>
          </w:tcPr>
          <w:p w14:paraId="69EA9B35" w14:textId="763978A4" w:rsidR="00900AF1" w:rsidRPr="00900AF1" w:rsidRDefault="008C0026" w:rsidP="00900AF1">
            <w:pPr>
              <w:pStyle w:val="Tabletext"/>
              <w:framePr w:wrap="around"/>
              <w:rPr>
                <w:sz w:val="20"/>
                <w:szCs w:val="20"/>
              </w:rPr>
            </w:pPr>
            <w:r>
              <w:rPr>
                <w:sz w:val="20"/>
                <w:szCs w:val="20"/>
              </w:rPr>
              <w:t>OPCC and Kent Police</w:t>
            </w:r>
          </w:p>
        </w:tc>
        <w:tc>
          <w:tcPr>
            <w:tcW w:w="3203" w:type="dxa"/>
          </w:tcPr>
          <w:p w14:paraId="68512E79" w14:textId="6AFF24A5" w:rsidR="00900AF1" w:rsidRPr="00900AF1" w:rsidRDefault="0097039E" w:rsidP="00900AF1">
            <w:pPr>
              <w:pStyle w:val="Tabletext"/>
              <w:framePr w:wrap="around"/>
              <w:rPr>
                <w:sz w:val="20"/>
                <w:szCs w:val="20"/>
              </w:rPr>
            </w:pPr>
            <w:r>
              <w:rPr>
                <w:sz w:val="20"/>
                <w:szCs w:val="20"/>
              </w:rPr>
              <w:t>Good progress</w:t>
            </w:r>
          </w:p>
        </w:tc>
      </w:tr>
    </w:tbl>
    <w:p w14:paraId="138C4C22" w14:textId="77777777" w:rsidR="001972C0" w:rsidRDefault="001972C0" w:rsidP="006E2B88"/>
    <w:p w14:paraId="64013AA8" w14:textId="77777777" w:rsidR="001972C0" w:rsidRDefault="001972C0" w:rsidP="006E2B88">
      <w:pPr>
        <w:sectPr w:rsidR="001972C0" w:rsidSect="000B208F">
          <w:headerReference w:type="default" r:id="rId21"/>
          <w:pgSz w:w="16838" w:h="11906" w:orient="landscape"/>
          <w:pgMar w:top="1814" w:right="1134" w:bottom="1440" w:left="1134" w:header="709" w:footer="471" w:gutter="0"/>
          <w:cols w:space="708"/>
          <w:docGrid w:linePitch="360"/>
        </w:sectPr>
      </w:pPr>
    </w:p>
    <w:p w14:paraId="058D1F84" w14:textId="11FECE51" w:rsidR="00834FE8" w:rsidRDefault="00080AEF" w:rsidP="00834FE8">
      <w:r w:rsidRPr="00834FE8">
        <w:t xml:space="preserve">This section covers </w:t>
      </w:r>
      <w:r w:rsidR="00B0237E" w:rsidRPr="00834FE8">
        <w:t xml:space="preserve">key issues </w:t>
      </w:r>
      <w:r w:rsidR="002F48CD" w:rsidRPr="00834FE8">
        <w:t>outside of day-to-day governance issues, many of which are at the national level.</w:t>
      </w:r>
    </w:p>
    <w:p w14:paraId="4CFA5C72" w14:textId="773DB836" w:rsidR="00834FE8" w:rsidRPr="00834FE8" w:rsidRDefault="00834FE8" w:rsidP="00834FE8">
      <w:pPr>
        <w:pStyle w:val="Heading2"/>
        <w:spacing w:before="120" w:after="60" w:line="240" w:lineRule="auto"/>
      </w:pPr>
      <w:r>
        <w:rPr>
          <w:rStyle w:val="Heading2Char"/>
        </w:rPr>
        <w:t>N</w:t>
      </w:r>
      <w:r w:rsidR="001B04BD" w:rsidRPr="00834FE8">
        <w:rPr>
          <w:rStyle w:val="Heading2Char"/>
        </w:rPr>
        <w:t>ational</w:t>
      </w:r>
      <w:r w:rsidR="00BD00E5" w:rsidRPr="00834FE8">
        <w:rPr>
          <w:rStyle w:val="Heading2Char"/>
        </w:rPr>
        <w:t xml:space="preserve"> i</w:t>
      </w:r>
      <w:r w:rsidR="001B04BD" w:rsidRPr="00834FE8">
        <w:t>ssues affecting external audit</w:t>
      </w:r>
    </w:p>
    <w:p w14:paraId="6E663344" w14:textId="2908ADA5" w:rsidR="009F5CAB" w:rsidRPr="009F52EB" w:rsidRDefault="009F5CAB" w:rsidP="00834FE8">
      <w:r w:rsidRPr="009F52EB">
        <w:t xml:space="preserve">Nationally, there have been ongoing issues concerning the timely completion of local audits. These national delays are due to a number of reasons but primarily a lack of resources within the external audit sector, changes in statutory regulations and for some organisations, but not Kent PCC or Police, the quality of the accounts themselves. Kent PCC and Police have always prepared the accounts in accordance with the statutory deadlines and had continually received an unqualified opinion on the quality of those accounts. In July 2023, the Government set out proposals to clear the backlog of audits. This three-stage approach required a Reset - clearing the backlog of historical audit opinions up to and including financial year 2022/23 by 13 December 2024; Recovery - after the Reset Measures that reduces the likelihood of the backlog re-emerging by using backstop dates to allow assurance to be rebuilt over one or more audit cycles; Reform - addressing systemic challenges in the local audit system and embedding timely financial reporting and audit. </w:t>
      </w:r>
    </w:p>
    <w:p w14:paraId="61C99DFA" w14:textId="43F0E150" w:rsidR="009F5CAB" w:rsidRPr="009F52EB" w:rsidRDefault="009F5CAB" w:rsidP="00834FE8">
      <w:r w:rsidRPr="009F52EB">
        <w:t xml:space="preserve">For Kent PCC and </w:t>
      </w:r>
      <w:r w:rsidR="00C77945">
        <w:t xml:space="preserve">the </w:t>
      </w:r>
      <w:r w:rsidRPr="009F52EB">
        <w:t>Police</w:t>
      </w:r>
      <w:r w:rsidR="00C77945">
        <w:t>,</w:t>
      </w:r>
      <w:r w:rsidRPr="009F52EB">
        <w:t xml:space="preserve"> the milestones in terms of the opinions that EY can issue on the statement of accounts is as follows; disclaimed; qualified; and finally unqualified. An unqualified opinion is ‘back to normal’ reporting requirements.</w:t>
      </w:r>
      <w:r w:rsidR="005953A9">
        <w:t xml:space="preserve"> </w:t>
      </w:r>
      <w:r w:rsidRPr="009F52EB">
        <w:t>EY completed their audit of the Kent PCC/ Group 2024/25 Accounts and were able to offer a ‘qualified’ opinion. This was as a consequence of EY not having the resources to review and audit the brought forward balances from 2022/23. This followed on from EY issuing a disclaimed opinion on the 2023/24 accounts Therefore the</w:t>
      </w:r>
      <w:r w:rsidR="005953A9">
        <w:t xml:space="preserve"> </w:t>
      </w:r>
      <w:r w:rsidRPr="009F52EB">
        <w:t>Kent PCC/ Group accounts are currently at the qualified opinion stage. EY have planned resources for the 2025/26 accounts process so it is hoped they will be able to offer an unqualified opinion on the 2025/26 statement of accounts. Kent PCC and Police will then be back where they were at the outset of this national issue.</w:t>
      </w:r>
    </w:p>
    <w:p w14:paraId="0EBE7DC7" w14:textId="77777777" w:rsidR="009F5CAB" w:rsidRPr="009F5CAB" w:rsidRDefault="009F5CAB" w:rsidP="00834FE8">
      <w:r w:rsidRPr="009F52EB">
        <w:t xml:space="preserve">As per previous years all the draft Accounts were published in accordance with the statutory timetable, and everything had been prepared in readiness for the audit. The fact that EY did not issue an “unmodified” opinion for the 2023/24 or 2024/25 Accounts opinion is not a reflection on either the quality of the work or the Accounts themselves. </w:t>
      </w:r>
    </w:p>
    <w:p w14:paraId="4C2E2C75" w14:textId="77777777" w:rsidR="00834FE8" w:rsidRPr="00834FE8" w:rsidRDefault="001B04BD" w:rsidP="00834FE8">
      <w:pPr>
        <w:pStyle w:val="Heading2"/>
      </w:pPr>
      <w:r w:rsidRPr="00834FE8">
        <w:t>North Kent PFI</w:t>
      </w:r>
    </w:p>
    <w:p w14:paraId="7A46C1A9" w14:textId="10D8EE29" w:rsidR="00F37F4A" w:rsidRPr="00F37F4A" w:rsidRDefault="00F37F4A" w:rsidP="00834FE8">
      <w:pPr>
        <w:rPr>
          <w:rFonts w:eastAsia="Aptos"/>
          <w14:ligatures w14:val="standardContextual"/>
        </w:rPr>
      </w:pPr>
      <w:r w:rsidRPr="00F37F4A">
        <w:rPr>
          <w:rFonts w:eastAsia="Aptos"/>
          <w14:ligatures w14:val="standardContextual"/>
        </w:rPr>
        <w:t>In August 2023, the Police and Crime Commissioner for Kent (the “PCC”) terminated the PFI contract with Justice Support Services (North Kent) Limited (in administration) (the “PFI Contractor”) on the grounds of contractor default.</w:t>
      </w:r>
      <w:r w:rsidR="005953A9">
        <w:rPr>
          <w:rFonts w:eastAsia="Aptos"/>
          <w14:ligatures w14:val="standardContextual"/>
        </w:rPr>
        <w:t xml:space="preserve"> </w:t>
      </w:r>
    </w:p>
    <w:p w14:paraId="6560EFD8" w14:textId="33C6E4C2" w:rsidR="00F37F4A" w:rsidRPr="00F37F4A" w:rsidRDefault="00F37F4A" w:rsidP="00834FE8">
      <w:pPr>
        <w:rPr>
          <w:rFonts w:eastAsia="Aptos"/>
          <w14:ligatures w14:val="standardContextual"/>
        </w:rPr>
      </w:pPr>
      <w:r w:rsidRPr="00F37F4A">
        <w:rPr>
          <w:rFonts w:eastAsia="Aptos"/>
          <w14:ligatures w14:val="standardContextual"/>
        </w:rPr>
        <w:t>The PFI contract contained a contractual provision that entitled the PFI Contractor to a compensation payment even if the PFI Contract terminated for contractor default.</w:t>
      </w:r>
      <w:r w:rsidR="005953A9">
        <w:rPr>
          <w:rFonts w:eastAsia="Aptos"/>
          <w14:ligatures w14:val="standardContextual"/>
        </w:rPr>
        <w:t xml:space="preserve"> </w:t>
      </w:r>
      <w:r w:rsidRPr="00F37F4A">
        <w:rPr>
          <w:rFonts w:eastAsia="Aptos"/>
          <w14:ligatures w14:val="standardContextual"/>
        </w:rPr>
        <w:t>This contractual provision is common to PFI contracts and is intended to ensure that the public sector pays a fair amount for buildings which are owned by the public sector but funded and constructed by the private sector.</w:t>
      </w:r>
    </w:p>
    <w:p w14:paraId="774AF570" w14:textId="77777777" w:rsidR="005953A9" w:rsidRDefault="00F37F4A" w:rsidP="00834FE8">
      <w:pPr>
        <w:rPr>
          <w:rFonts w:eastAsia="Aptos"/>
          <w14:ligatures w14:val="standardContextual"/>
        </w:rPr>
      </w:pPr>
      <w:r w:rsidRPr="00F37F4A">
        <w:rPr>
          <w:rFonts w:eastAsia="Aptos"/>
          <w14:ligatures w14:val="standardContextual"/>
        </w:rPr>
        <w:t>The PCC and the PFI Contractor were unable to agree the amount of the compensation payment due under the PFI contract within the timescales set out in the PFI Contract. In February 2024, the PFI Contractor issued a claim against the PCC.</w:t>
      </w:r>
    </w:p>
    <w:p w14:paraId="286F8F6A" w14:textId="77777777" w:rsidR="005953A9" w:rsidRDefault="005953A9">
      <w:pPr>
        <w:snapToGrid/>
        <w:spacing w:before="0" w:after="160" w:line="259" w:lineRule="auto"/>
        <w:rPr>
          <w:rFonts w:eastAsia="Aptos"/>
          <w14:ligatures w14:val="standardContextual"/>
        </w:rPr>
      </w:pPr>
      <w:r>
        <w:rPr>
          <w:rFonts w:eastAsia="Aptos"/>
          <w14:ligatures w14:val="standardContextual"/>
        </w:rPr>
        <w:br w:type="page"/>
      </w:r>
    </w:p>
    <w:p w14:paraId="67FA5A64" w14:textId="11B6AF4B" w:rsidR="00F37F4A" w:rsidRPr="00F37F4A" w:rsidRDefault="00F37F4A" w:rsidP="00834FE8">
      <w:pPr>
        <w:rPr>
          <w:rFonts w:eastAsia="Aptos"/>
          <w14:ligatures w14:val="standardContextual"/>
        </w:rPr>
      </w:pPr>
      <w:r w:rsidRPr="00F37F4A">
        <w:rPr>
          <w:rFonts w:eastAsia="Aptos"/>
          <w14:ligatures w14:val="standardContextual"/>
        </w:rPr>
        <w:t>In December 2025, the PCC, with the support of his legal team (including a leading King’s Counsel) and the Home Office, agreed an out-of-court settlement with the PFI Contractor which is documented in a confidential settlement agreement. Under the terms of the confidential settlement agreement, the PCC paid a total of £29 million (including all compensation, interest and costs) to the PFI Contractor in January 2026 and each of the PCC and the PFI Contractor released the other from all other claims and liabilities relating to the PFI contract.</w:t>
      </w:r>
    </w:p>
    <w:p w14:paraId="368EAD6B" w14:textId="77777777" w:rsidR="00F37F4A" w:rsidRPr="00F37F4A" w:rsidRDefault="00F37F4A" w:rsidP="00834FE8">
      <w:pPr>
        <w:rPr>
          <w:rFonts w:eastAsia="Aptos"/>
          <w14:ligatures w14:val="standardContextual"/>
        </w:rPr>
      </w:pPr>
      <w:r w:rsidRPr="00F37F4A">
        <w:rPr>
          <w:rFonts w:eastAsia="Aptos"/>
          <w14:ligatures w14:val="standardContextual"/>
        </w:rPr>
        <w:t>This compensation payment reflects the amount which the PCC, acting on the advice of his advisers including accountants, lawyers and surveyors, considered that he was contractually obliged to pay under the compensation on termination provisions set out in the PFI Contract.</w:t>
      </w:r>
    </w:p>
    <w:p w14:paraId="0B2866E7" w14:textId="1EFF7742" w:rsidR="000B109D" w:rsidRPr="00834FE8" w:rsidRDefault="00512E76" w:rsidP="00834FE8">
      <w:pPr>
        <w:pStyle w:val="Heading2"/>
        <w:rPr>
          <w:rStyle w:val="Heading2Char"/>
        </w:rPr>
      </w:pPr>
      <w:r w:rsidRPr="00834FE8">
        <w:rPr>
          <w:rStyle w:val="Heading2Char"/>
        </w:rPr>
        <w:t xml:space="preserve">Policing </w:t>
      </w:r>
      <w:r w:rsidR="00311C44" w:rsidRPr="00834FE8">
        <w:rPr>
          <w:rStyle w:val="Heading2Char"/>
        </w:rPr>
        <w:t xml:space="preserve">Governance and </w:t>
      </w:r>
      <w:r w:rsidRPr="00834FE8">
        <w:rPr>
          <w:rStyle w:val="Heading2Char"/>
        </w:rPr>
        <w:t xml:space="preserve">Landscape Reform, Devolution, and </w:t>
      </w:r>
      <w:r w:rsidR="00850892" w:rsidRPr="00834FE8">
        <w:rPr>
          <w:rStyle w:val="Heading2Char"/>
        </w:rPr>
        <w:t>Local Government Re</w:t>
      </w:r>
      <w:r w:rsidRPr="00834FE8">
        <w:rPr>
          <w:rStyle w:val="Heading2Char"/>
        </w:rPr>
        <w:t xml:space="preserve">organisation </w:t>
      </w:r>
    </w:p>
    <w:p w14:paraId="7CA49E07" w14:textId="2AD1A70C" w:rsidR="00D9685B" w:rsidRPr="00D9685B" w:rsidRDefault="00D9685B" w:rsidP="00834FE8">
      <w:r w:rsidRPr="00D9685B">
        <w:t xml:space="preserve">The UK government’s police landscape reform </w:t>
      </w:r>
      <w:r w:rsidR="00D83F01">
        <w:t xml:space="preserve">white paper </w:t>
      </w:r>
      <w:r w:rsidR="00395AD3">
        <w:t xml:space="preserve">(From Local to National) </w:t>
      </w:r>
      <w:r w:rsidRPr="00D9685B">
        <w:t xml:space="preserve">represents </w:t>
      </w:r>
      <w:r w:rsidR="00395AD3">
        <w:t>a</w:t>
      </w:r>
      <w:r w:rsidRPr="00D9685B">
        <w:t xml:space="preserve"> significant overhaul of policing in England and Wales. It transitions the service from a 43-force model into a system that </w:t>
      </w:r>
      <w:r w:rsidR="00F03630">
        <w:t>prioritises</w:t>
      </w:r>
      <w:r w:rsidRPr="00D9685B">
        <w:t xml:space="preserve"> local visible policing while centrali</w:t>
      </w:r>
      <w:r w:rsidR="00F03630">
        <w:t>s</w:t>
      </w:r>
      <w:r w:rsidRPr="00D9685B">
        <w:t xml:space="preserve">ing specialist, counter-terror, and operational capabilities into a new National Police Service. </w:t>
      </w:r>
    </w:p>
    <w:p w14:paraId="524F72BF" w14:textId="7A4D0741" w:rsidR="00D9685B" w:rsidRPr="00D9685B" w:rsidRDefault="00D9685B" w:rsidP="00834FE8">
      <w:pPr>
        <w:spacing w:before="0" w:after="60"/>
        <w:rPr>
          <w:spacing w:val="-2"/>
        </w:rPr>
      </w:pPr>
      <w:r w:rsidRPr="00D9685B">
        <w:rPr>
          <w:spacing w:val="-2"/>
        </w:rPr>
        <w:t xml:space="preserve">The </w:t>
      </w:r>
      <w:r w:rsidR="00F03630">
        <w:rPr>
          <w:spacing w:val="-2"/>
        </w:rPr>
        <w:t>White Paper</w:t>
      </w:r>
      <w:r w:rsidRPr="00D9685B">
        <w:rPr>
          <w:spacing w:val="-2"/>
        </w:rPr>
        <w:t xml:space="preserve"> is structured around several </w:t>
      </w:r>
      <w:r w:rsidR="00032F47">
        <w:rPr>
          <w:spacing w:val="-2"/>
        </w:rPr>
        <w:t>themes:</w:t>
      </w:r>
    </w:p>
    <w:p w14:paraId="4CF1DB22" w14:textId="78D4E460" w:rsidR="00D9685B" w:rsidRPr="00D9685B" w:rsidRDefault="00D9685B" w:rsidP="00834FE8">
      <w:pPr>
        <w:numPr>
          <w:ilvl w:val="0"/>
          <w:numId w:val="30"/>
        </w:numPr>
        <w:tabs>
          <w:tab w:val="clear" w:pos="720"/>
          <w:tab w:val="num" w:pos="284"/>
        </w:tabs>
        <w:spacing w:before="0" w:after="60"/>
        <w:ind w:left="284" w:hanging="284"/>
        <w:rPr>
          <w:spacing w:val="-2"/>
        </w:rPr>
      </w:pPr>
      <w:r w:rsidRPr="00D9685B">
        <w:rPr>
          <w:b/>
          <w:bCs/>
          <w:spacing w:val="-2"/>
        </w:rPr>
        <w:t>National Police Service (NPS):</w:t>
      </w:r>
      <w:r w:rsidRPr="00D9685B">
        <w:rPr>
          <w:spacing w:val="-2"/>
        </w:rPr>
        <w:t xml:space="preserve"> Merging the National Crime Agency (NCA), the College of Policing, and the National Police Chiefs' Council (NPCC) to handle counter-terrorism and serious organized crime. </w:t>
      </w:r>
    </w:p>
    <w:p w14:paraId="757087B5" w14:textId="4B31FC99" w:rsidR="00D9685B" w:rsidRPr="00D9685B" w:rsidRDefault="00D9685B" w:rsidP="00834FE8">
      <w:pPr>
        <w:numPr>
          <w:ilvl w:val="0"/>
          <w:numId w:val="30"/>
        </w:numPr>
        <w:tabs>
          <w:tab w:val="clear" w:pos="720"/>
          <w:tab w:val="num" w:pos="284"/>
        </w:tabs>
        <w:spacing w:before="0" w:after="60"/>
        <w:ind w:left="284" w:hanging="284"/>
        <w:rPr>
          <w:spacing w:val="-2"/>
        </w:rPr>
      </w:pPr>
      <w:r w:rsidRPr="00D9685B">
        <w:rPr>
          <w:b/>
          <w:bCs/>
          <w:spacing w:val="-2"/>
        </w:rPr>
        <w:t>Police Force Mergers:</w:t>
      </w:r>
      <w:r w:rsidRPr="00D9685B">
        <w:rPr>
          <w:spacing w:val="-2"/>
        </w:rPr>
        <w:t xml:space="preserve"> </w:t>
      </w:r>
      <w:r w:rsidR="005A59E1">
        <w:rPr>
          <w:spacing w:val="-2"/>
        </w:rPr>
        <w:t>Setting up an Independent Commission, chaired by Lord Hogan-Howe, to c</w:t>
      </w:r>
      <w:r w:rsidRPr="00D9685B">
        <w:rPr>
          <w:spacing w:val="-2"/>
        </w:rPr>
        <w:t>reat</w:t>
      </w:r>
      <w:r w:rsidR="005A59E1">
        <w:rPr>
          <w:spacing w:val="-2"/>
        </w:rPr>
        <w:t>e</w:t>
      </w:r>
      <w:r w:rsidRPr="00D9685B">
        <w:rPr>
          <w:spacing w:val="-2"/>
        </w:rPr>
        <w:t xml:space="preserve"> fewer, larger police forces to replace the current 43-force structure, allowing for faster deployment of technology and standardized responses. </w:t>
      </w:r>
      <w:r w:rsidR="005A59E1">
        <w:rPr>
          <w:spacing w:val="-2"/>
        </w:rPr>
        <w:t xml:space="preserve">A number of </w:t>
      </w:r>
      <w:r w:rsidR="00402265">
        <w:rPr>
          <w:spacing w:val="-2"/>
        </w:rPr>
        <w:t>‘Pathfinder’ mergers are foreseen, and the Commission is due to report in July 2026.</w:t>
      </w:r>
      <w:r w:rsidR="005953A9">
        <w:rPr>
          <w:spacing w:val="-2"/>
        </w:rPr>
        <w:t xml:space="preserve"> </w:t>
      </w:r>
      <w:r w:rsidR="003A0159">
        <w:rPr>
          <w:spacing w:val="-2"/>
        </w:rPr>
        <w:t xml:space="preserve">It is not anticipated that there would be significant progress </w:t>
      </w:r>
      <w:r w:rsidR="00301F0B">
        <w:rPr>
          <w:spacing w:val="-2"/>
        </w:rPr>
        <w:t>towards mergers until 2034.</w:t>
      </w:r>
    </w:p>
    <w:p w14:paraId="79131B38" w14:textId="3146536C" w:rsidR="00D9685B" w:rsidRPr="00D9685B" w:rsidRDefault="002E4B7B" w:rsidP="00834FE8">
      <w:pPr>
        <w:numPr>
          <w:ilvl w:val="0"/>
          <w:numId w:val="30"/>
        </w:numPr>
        <w:tabs>
          <w:tab w:val="clear" w:pos="720"/>
          <w:tab w:val="num" w:pos="284"/>
        </w:tabs>
        <w:spacing w:before="0" w:after="60"/>
        <w:ind w:left="284" w:hanging="284"/>
        <w:rPr>
          <w:spacing w:val="-2"/>
        </w:rPr>
      </w:pPr>
      <w:r>
        <w:rPr>
          <w:b/>
          <w:bCs/>
          <w:spacing w:val="-2"/>
        </w:rPr>
        <w:t>Police Governance</w:t>
      </w:r>
      <w:r w:rsidR="00D9685B" w:rsidRPr="00D9685B">
        <w:rPr>
          <w:b/>
          <w:bCs/>
          <w:spacing w:val="-2"/>
        </w:rPr>
        <w:t>:</w:t>
      </w:r>
      <w:r w:rsidR="00D9685B" w:rsidRPr="00D9685B">
        <w:rPr>
          <w:spacing w:val="-2"/>
        </w:rPr>
        <w:t xml:space="preserve"> Police and Crime Commissioners (PCCs) will be </w:t>
      </w:r>
      <w:r>
        <w:rPr>
          <w:spacing w:val="-2"/>
        </w:rPr>
        <w:t>abolished</w:t>
      </w:r>
      <w:r w:rsidR="00D9685B" w:rsidRPr="00D9685B">
        <w:rPr>
          <w:spacing w:val="-2"/>
        </w:rPr>
        <w:t xml:space="preserve"> at the end of their current terms in 2028</w:t>
      </w:r>
      <w:r w:rsidR="00430F2B">
        <w:rPr>
          <w:spacing w:val="-2"/>
        </w:rPr>
        <w:t>.</w:t>
      </w:r>
      <w:r w:rsidR="005953A9">
        <w:rPr>
          <w:spacing w:val="-2"/>
        </w:rPr>
        <w:t xml:space="preserve"> </w:t>
      </w:r>
      <w:r w:rsidR="008A6DF9">
        <w:rPr>
          <w:spacing w:val="-2"/>
        </w:rPr>
        <w:t>Local p</w:t>
      </w:r>
      <w:r w:rsidR="0086731C">
        <w:rPr>
          <w:spacing w:val="-2"/>
        </w:rPr>
        <w:t xml:space="preserve">olicing </w:t>
      </w:r>
      <w:r w:rsidR="001E4642">
        <w:rPr>
          <w:spacing w:val="-2"/>
        </w:rPr>
        <w:t xml:space="preserve">governance will, for </w:t>
      </w:r>
      <w:r w:rsidR="0010687E">
        <w:rPr>
          <w:spacing w:val="-2"/>
        </w:rPr>
        <w:t>non-mayoral</w:t>
      </w:r>
      <w:r w:rsidR="001E4642">
        <w:rPr>
          <w:spacing w:val="-2"/>
        </w:rPr>
        <w:t xml:space="preserve"> authorities</w:t>
      </w:r>
      <w:r w:rsidR="007B0651">
        <w:rPr>
          <w:spacing w:val="-2"/>
        </w:rPr>
        <w:t>, be through a Local Policing Board</w:t>
      </w:r>
      <w:r w:rsidR="00D93C9A">
        <w:rPr>
          <w:spacing w:val="-2"/>
        </w:rPr>
        <w:t xml:space="preserve">, made up of elected </w:t>
      </w:r>
      <w:r w:rsidR="00430F2B">
        <w:rPr>
          <w:spacing w:val="-2"/>
        </w:rPr>
        <w:t>members from Unitary authorities</w:t>
      </w:r>
      <w:r w:rsidR="00430F2B" w:rsidRPr="00430F2B">
        <w:rPr>
          <w:spacing w:val="-2"/>
        </w:rPr>
        <w:t xml:space="preserve"> </w:t>
      </w:r>
      <w:r w:rsidR="00F761E3">
        <w:rPr>
          <w:spacing w:val="-2"/>
        </w:rPr>
        <w:t xml:space="preserve">and led by an </w:t>
      </w:r>
      <w:r w:rsidR="00430F2B" w:rsidRPr="00D9685B">
        <w:rPr>
          <w:spacing w:val="-2"/>
        </w:rPr>
        <w:t>appointed full-time Policing and Crime Lead.</w:t>
      </w:r>
      <w:r w:rsidR="005953A9">
        <w:rPr>
          <w:spacing w:val="-2"/>
        </w:rPr>
        <w:t xml:space="preserve"> </w:t>
      </w:r>
      <w:r w:rsidR="00A54D7C">
        <w:rPr>
          <w:spacing w:val="-2"/>
        </w:rPr>
        <w:t>There will be national arrangements to hold the NPS to account</w:t>
      </w:r>
      <w:r w:rsidR="003528E6">
        <w:rPr>
          <w:spacing w:val="-2"/>
        </w:rPr>
        <w:t xml:space="preserve"> and assist Local Policing Boards in their work.</w:t>
      </w:r>
    </w:p>
    <w:p w14:paraId="6D0825E8" w14:textId="2FCEAFB2" w:rsidR="00D9685B" w:rsidRPr="00D9685B" w:rsidRDefault="00D9685B" w:rsidP="00834FE8">
      <w:pPr>
        <w:numPr>
          <w:ilvl w:val="0"/>
          <w:numId w:val="30"/>
        </w:numPr>
        <w:tabs>
          <w:tab w:val="clear" w:pos="720"/>
          <w:tab w:val="num" w:pos="284"/>
        </w:tabs>
        <w:spacing w:before="0" w:after="60"/>
        <w:ind w:left="284" w:hanging="284"/>
        <w:rPr>
          <w:spacing w:val="-2"/>
        </w:rPr>
      </w:pPr>
      <w:r w:rsidRPr="00D9685B">
        <w:rPr>
          <w:b/>
          <w:bCs/>
          <w:spacing w:val="-2"/>
        </w:rPr>
        <w:t>Neighbourhood Policing Guarantee:</w:t>
      </w:r>
      <w:r w:rsidRPr="00D9685B">
        <w:rPr>
          <w:spacing w:val="-2"/>
        </w:rPr>
        <w:t xml:space="preserve"> A requirement that every council ward will have dedicated, named, and contactable officers to restore visible community patrols and prevent local crime.</w:t>
      </w:r>
    </w:p>
    <w:p w14:paraId="6CA32B24" w14:textId="5D896F3C" w:rsidR="00D9685B" w:rsidRPr="00D9685B" w:rsidRDefault="00D9685B" w:rsidP="00834FE8">
      <w:pPr>
        <w:numPr>
          <w:ilvl w:val="0"/>
          <w:numId w:val="30"/>
        </w:numPr>
        <w:tabs>
          <w:tab w:val="clear" w:pos="720"/>
          <w:tab w:val="num" w:pos="284"/>
        </w:tabs>
        <w:spacing w:before="0" w:after="60"/>
        <w:ind w:left="284" w:hanging="284"/>
        <w:rPr>
          <w:spacing w:val="-2"/>
        </w:rPr>
      </w:pPr>
      <w:r w:rsidRPr="00D9685B">
        <w:rPr>
          <w:b/>
          <w:bCs/>
          <w:spacing w:val="-2"/>
        </w:rPr>
        <w:t>Centrali</w:t>
      </w:r>
      <w:r w:rsidR="008F46EF">
        <w:rPr>
          <w:b/>
          <w:bCs/>
          <w:spacing w:val="-2"/>
        </w:rPr>
        <w:t>s</w:t>
      </w:r>
      <w:r w:rsidRPr="00D9685B">
        <w:rPr>
          <w:b/>
          <w:bCs/>
          <w:spacing w:val="-2"/>
        </w:rPr>
        <w:t>ed Technology &amp; Procurement:</w:t>
      </w:r>
      <w:r w:rsidRPr="00D9685B">
        <w:rPr>
          <w:spacing w:val="-2"/>
        </w:rPr>
        <w:t xml:space="preserve"> Establishing unified forensics and IT procurement to tackle digital backlogs and save an estimated £350 million to reinvest in frontline resources. </w:t>
      </w:r>
    </w:p>
    <w:p w14:paraId="4ABAF9A4" w14:textId="0C044498" w:rsidR="00D9685B" w:rsidRPr="00D9685B" w:rsidRDefault="00D9685B" w:rsidP="00834FE8">
      <w:pPr>
        <w:numPr>
          <w:ilvl w:val="0"/>
          <w:numId w:val="30"/>
        </w:numPr>
        <w:tabs>
          <w:tab w:val="clear" w:pos="720"/>
          <w:tab w:val="num" w:pos="284"/>
        </w:tabs>
        <w:spacing w:before="0"/>
        <w:ind w:left="284" w:hanging="284"/>
        <w:rPr>
          <w:spacing w:val="-2"/>
        </w:rPr>
      </w:pPr>
      <w:r w:rsidRPr="00D9685B">
        <w:rPr>
          <w:b/>
          <w:bCs/>
          <w:spacing w:val="-2"/>
        </w:rPr>
        <w:t>Police Performance Framework:</w:t>
      </w:r>
      <w:r w:rsidRPr="00D9685B">
        <w:rPr>
          <w:spacing w:val="-2"/>
        </w:rPr>
        <w:t xml:space="preserve"> The introduction of </w:t>
      </w:r>
      <w:r w:rsidR="009273B6">
        <w:rPr>
          <w:spacing w:val="-2"/>
        </w:rPr>
        <w:t xml:space="preserve">a new </w:t>
      </w:r>
      <w:r w:rsidR="00A43EF7">
        <w:rPr>
          <w:spacing w:val="-2"/>
        </w:rPr>
        <w:t xml:space="preserve">iterative </w:t>
      </w:r>
      <w:r w:rsidR="009273B6">
        <w:rPr>
          <w:spacing w:val="-2"/>
        </w:rPr>
        <w:t xml:space="preserve">police performance framework </w:t>
      </w:r>
      <w:r w:rsidR="00181610">
        <w:rPr>
          <w:spacing w:val="-2"/>
        </w:rPr>
        <w:t xml:space="preserve">and national standards </w:t>
      </w:r>
    </w:p>
    <w:p w14:paraId="715934A6" w14:textId="48B5C583" w:rsidR="001C1C93" w:rsidRDefault="001C1C93" w:rsidP="00BD00E5">
      <w:pPr>
        <w:spacing w:before="0"/>
        <w:rPr>
          <w:spacing w:val="-2"/>
        </w:rPr>
      </w:pPr>
      <w:r>
        <w:rPr>
          <w:spacing w:val="-2"/>
        </w:rPr>
        <w:t xml:space="preserve">The legislation to support this programme is due to be tabled in </w:t>
      </w:r>
      <w:r w:rsidR="006B38F3">
        <w:rPr>
          <w:spacing w:val="-2"/>
        </w:rPr>
        <w:t>September 2026.</w:t>
      </w:r>
      <w:r w:rsidR="005953A9">
        <w:rPr>
          <w:spacing w:val="-2"/>
        </w:rPr>
        <w:t xml:space="preserve"> </w:t>
      </w:r>
      <w:r w:rsidR="006B38F3">
        <w:rPr>
          <w:spacing w:val="-2"/>
        </w:rPr>
        <w:t>It is likely to be a large and not uncontroversial bill</w:t>
      </w:r>
      <w:r w:rsidR="00BD65B7">
        <w:rPr>
          <w:spacing w:val="-2"/>
        </w:rPr>
        <w:t>.</w:t>
      </w:r>
    </w:p>
    <w:p w14:paraId="2AE85713" w14:textId="0A5AC066" w:rsidR="005953A9" w:rsidRDefault="00A43EF7" w:rsidP="00834FE8">
      <w:pPr>
        <w:spacing w:before="0"/>
        <w:rPr>
          <w:spacing w:val="-2"/>
        </w:rPr>
        <w:sectPr w:rsidR="005953A9" w:rsidSect="000B208F">
          <w:headerReference w:type="default" r:id="rId22"/>
          <w:pgSz w:w="16838" w:h="11906" w:orient="landscape"/>
          <w:pgMar w:top="1814" w:right="1134" w:bottom="1440" w:left="1134" w:header="709" w:footer="471" w:gutter="0"/>
          <w:cols w:space="708"/>
          <w:docGrid w:linePitch="360"/>
        </w:sectPr>
      </w:pPr>
      <w:r>
        <w:rPr>
          <w:spacing w:val="-2"/>
        </w:rPr>
        <w:t xml:space="preserve">A decision </w:t>
      </w:r>
      <w:r w:rsidR="00522CFD">
        <w:rPr>
          <w:spacing w:val="-2"/>
        </w:rPr>
        <w:t>about</w:t>
      </w:r>
      <w:r>
        <w:rPr>
          <w:spacing w:val="-2"/>
        </w:rPr>
        <w:t xml:space="preserve"> the number of unitary authorities for Kent</w:t>
      </w:r>
      <w:r w:rsidR="004F5E72">
        <w:rPr>
          <w:spacing w:val="-2"/>
        </w:rPr>
        <w:t xml:space="preserve"> will be made clear in mid-July.</w:t>
      </w:r>
      <w:r w:rsidR="005953A9">
        <w:rPr>
          <w:spacing w:val="-2"/>
        </w:rPr>
        <w:t xml:space="preserve"> </w:t>
      </w:r>
      <w:r w:rsidR="004F5E72">
        <w:rPr>
          <w:spacing w:val="-2"/>
        </w:rPr>
        <w:t xml:space="preserve">Each unitary authority is likely to be </w:t>
      </w:r>
      <w:r w:rsidR="002D3438">
        <w:rPr>
          <w:spacing w:val="-2"/>
        </w:rPr>
        <w:t xml:space="preserve">a Local Policing Area and, depending on the number chosen, </w:t>
      </w:r>
      <w:r w:rsidR="004F5E72">
        <w:rPr>
          <w:spacing w:val="-2"/>
        </w:rPr>
        <w:t xml:space="preserve">may </w:t>
      </w:r>
      <w:r w:rsidR="003528E6">
        <w:rPr>
          <w:spacing w:val="-2"/>
        </w:rPr>
        <w:t xml:space="preserve">therefore </w:t>
      </w:r>
      <w:r w:rsidR="004F5E72">
        <w:rPr>
          <w:spacing w:val="-2"/>
        </w:rPr>
        <w:t>result in organisational changes for Kent</w:t>
      </w:r>
      <w:r w:rsidR="002D3438">
        <w:rPr>
          <w:spacing w:val="-2"/>
        </w:rPr>
        <w:t>.</w:t>
      </w:r>
    </w:p>
    <w:p w14:paraId="0B61FF83" w14:textId="14DE301C" w:rsidR="00834FE8" w:rsidRDefault="00834FE8" w:rsidP="00834FE8">
      <w:pPr>
        <w:spacing w:before="0"/>
      </w:pPr>
    </w:p>
    <w:p w14:paraId="319311DD" w14:textId="1E7BB881" w:rsidR="001B04BD" w:rsidRPr="001B04BD" w:rsidRDefault="001B04BD" w:rsidP="006E2B88">
      <w:pPr>
        <w:pStyle w:val="Heading2"/>
      </w:pPr>
      <w:r w:rsidRPr="001B04BD">
        <w:t>The internal auditors’ vie</w:t>
      </w:r>
      <w:r w:rsidR="002915FE">
        <w:t>w</w:t>
      </w:r>
      <w:r w:rsidRPr="001B04BD">
        <w:t xml:space="preserve"> is that: </w:t>
      </w:r>
    </w:p>
    <w:p w14:paraId="55473ADB" w14:textId="2B7C58FA" w:rsidR="00DF7A0A" w:rsidRDefault="00522CFD" w:rsidP="006E2B88">
      <w:r>
        <w:t>To be included when complete</w:t>
      </w:r>
    </w:p>
    <w:p w14:paraId="7355AC20" w14:textId="77777777" w:rsidR="00DF7A0A" w:rsidRDefault="00DF7A0A" w:rsidP="006E2B88"/>
    <w:p w14:paraId="3602AD67" w14:textId="77777777" w:rsidR="00DF7A0A" w:rsidRDefault="00DF7A0A" w:rsidP="006E2B88"/>
    <w:p w14:paraId="5794E679" w14:textId="58AE07EB" w:rsidR="002915FE" w:rsidRDefault="002915FE" w:rsidP="006E2B88"/>
    <w:p w14:paraId="5C311416" w14:textId="5558A2B0" w:rsidR="002915FE" w:rsidRPr="002915FE" w:rsidRDefault="002915FE" w:rsidP="006E2B88">
      <w:r>
        <w:t>Matthew Scott</w:t>
      </w:r>
      <w:r>
        <w:br/>
        <w:t>PCC for Kent</w:t>
      </w:r>
    </w:p>
    <w:sectPr w:rsidR="002915FE" w:rsidRPr="002915FE" w:rsidSect="000B208F">
      <w:headerReference w:type="default" r:id="rId23"/>
      <w:pgSz w:w="16838" w:h="11906" w:orient="landscape"/>
      <w:pgMar w:top="1814" w:right="1134" w:bottom="1440" w:left="1134" w:header="709"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a Steward 46058010" w:date="2026-05-01T15:20:00Z" w:initials="LS">
    <w:p w14:paraId="62403291" w14:textId="18B36348" w:rsidR="00E41FAF" w:rsidRDefault="00E41FAF" w:rsidP="00E41FAF">
      <w:pPr>
        <w:pStyle w:val="CommentText"/>
      </w:pPr>
      <w:r>
        <w:rPr>
          <w:rStyle w:val="CommentReference"/>
        </w:rPr>
        <w:annotationRef/>
      </w:r>
      <w:r>
        <w:fldChar w:fldCharType="begin"/>
      </w:r>
      <w:r>
        <w:instrText>HYPERLINK "mailto:neil.wickens@kent.police.uk"</w:instrText>
      </w:r>
      <w:bookmarkStart w:id="2" w:name="_@_726A3EF79682462F9AEBAF367CC0D4C5Z"/>
      <w:r>
        <w:fldChar w:fldCharType="separate"/>
      </w:r>
      <w:bookmarkEnd w:id="2"/>
      <w:r w:rsidRPr="00E41FAF">
        <w:rPr>
          <w:rStyle w:val="Mention"/>
          <w:noProof/>
        </w:rPr>
        <w:t>@Neil Wickens 46052972</w:t>
      </w:r>
      <w:r>
        <w:fldChar w:fldCharType="end"/>
      </w:r>
      <w:r>
        <w:t xml:space="preserve"> to update</w:t>
      </w:r>
    </w:p>
  </w:comment>
  <w:comment w:id="1" w:author="Neil Wickens 46052972" w:date="2026-05-06T15:17:00Z" w:initials="NW">
    <w:p w14:paraId="32A254EB" w14:textId="156898C0" w:rsidR="00B64406" w:rsidRDefault="00B64406" w:rsidP="00B64406">
      <w:pPr>
        <w:pStyle w:val="CommentText"/>
      </w:pPr>
      <w:r>
        <w:rPr>
          <w:rStyle w:val="CommentReference"/>
        </w:rPr>
        <w:annotationRef/>
      </w:r>
      <w:r>
        <w:fldChar w:fldCharType="begin"/>
      </w:r>
      <w:r>
        <w:instrText>HYPERLINK "mailto:laura.steward@kent.police.uk"</w:instrText>
      </w:r>
      <w:bookmarkStart w:id="3" w:name="_@_15122CF59EE04DD7AA850DDB65DE7759Z"/>
      <w:r>
        <w:fldChar w:fldCharType="separate"/>
      </w:r>
      <w:bookmarkEnd w:id="3"/>
      <w:r w:rsidRPr="00B64406">
        <w:rPr>
          <w:rStyle w:val="Mention"/>
          <w:noProof/>
        </w:rPr>
        <w:t>@Laura Steward 46058010</w:t>
      </w:r>
      <w:r>
        <w:fldChar w:fldCharType="end"/>
      </w:r>
      <w:r>
        <w:t xml:space="preserve"> I have completed the assigned task relating to aims of KCJB Victim &amp; Witness subgroup. Thanks.</w:t>
      </w:r>
    </w:p>
  </w:comment>
  <w:comment w:id="4" w:author="Laura Steward 46058010" w:date="2026-05-01T15:20:00Z" w:initials="LS">
    <w:p w14:paraId="56099B96" w14:textId="77777777" w:rsidR="00F17498" w:rsidRDefault="00F17498" w:rsidP="00E41FAF">
      <w:pPr>
        <w:pStyle w:val="CommentText"/>
      </w:pPr>
      <w:r>
        <w:rPr>
          <w:rStyle w:val="CommentReference"/>
        </w:rPr>
        <w:annotationRef/>
      </w:r>
      <w:r>
        <w:fldChar w:fldCharType="begin"/>
      </w:r>
      <w:r>
        <w:instrText>HYPERLINK "mailto:neil.wickens@kent.police.uk"</w:instrText>
      </w:r>
      <w:bookmarkStart w:id="5" w:name="_@_C834F1BAD9534867A3CE0A289299C2C1Z"/>
      <w:r>
        <w:fldChar w:fldCharType="separate"/>
      </w:r>
      <w:bookmarkEnd w:id="5"/>
      <w:r w:rsidRPr="00E41FAF">
        <w:rPr>
          <w:rStyle w:val="Mention"/>
          <w:noProof/>
        </w:rPr>
        <w:t>@Neil Wickens 46052972</w:t>
      </w:r>
      <w:r>
        <w:fldChar w:fldCharType="end"/>
      </w:r>
      <w:r>
        <w:t xml:space="preserve"> to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403291" w15:done="1"/>
  <w15:commentEx w15:paraId="32A254EB" w15:paraIdParent="62403291" w15:done="1"/>
  <w15:commentEx w15:paraId="56099B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BD8D62" w16cex:dateUtc="2026-05-01T14:20:00Z"/>
  <w16cex:commentExtensible w16cex:durableId="324381B6" w16cex:dateUtc="2026-05-06T14:17:00Z"/>
  <w16cex:commentExtensible w16cex:durableId="1E16AAAA" w16cex:dateUtc="2026-05-01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403291" w16cid:durableId="1CBD8D62"/>
  <w16cid:commentId w16cid:paraId="32A254EB" w16cid:durableId="324381B6"/>
  <w16cid:commentId w16cid:paraId="56099B96" w16cid:durableId="1E16A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5654" w14:textId="77777777" w:rsidR="00E31F7C" w:rsidRDefault="00E31F7C" w:rsidP="006E2B88">
      <w:r>
        <w:separator/>
      </w:r>
    </w:p>
  </w:endnote>
  <w:endnote w:type="continuationSeparator" w:id="0">
    <w:p w14:paraId="7B3F74C2" w14:textId="77777777" w:rsidR="00E31F7C" w:rsidRDefault="00E31F7C" w:rsidP="006E2B88">
      <w:r>
        <w:continuationSeparator/>
      </w:r>
    </w:p>
  </w:endnote>
  <w:endnote w:type="continuationNotice" w:id="1">
    <w:p w14:paraId="60FEE97A" w14:textId="77777777" w:rsidR="00E31F7C" w:rsidRDefault="00E31F7C" w:rsidP="006E2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67408"/>
      <w:docPartObj>
        <w:docPartGallery w:val="Page Numbers (Bottom of Page)"/>
        <w:docPartUnique/>
      </w:docPartObj>
    </w:sdtPr>
    <w:sdtContent>
      <w:p w14:paraId="7F937280" w14:textId="18F08A2B" w:rsidR="0052530A" w:rsidRPr="001354C8" w:rsidRDefault="00C076A0" w:rsidP="006E2B88">
        <w:pPr>
          <w:pStyle w:val="Footer"/>
        </w:pPr>
        <w:r w:rsidRPr="00501A89">
          <w:drawing>
            <wp:anchor distT="0" distB="0" distL="114300" distR="114300" simplePos="0" relativeHeight="251658242" behindDoc="1" locked="0" layoutInCell="1" allowOverlap="1" wp14:anchorId="257D3D6E" wp14:editId="67612B9E">
              <wp:simplePos x="0" y="0"/>
              <wp:positionH relativeFrom="page">
                <wp:posOffset>12700</wp:posOffset>
              </wp:positionH>
              <wp:positionV relativeFrom="page">
                <wp:posOffset>6757670</wp:posOffset>
              </wp:positionV>
              <wp:extent cx="10830534" cy="798446"/>
              <wp:effectExtent l="0" t="0" r="3175" b="1905"/>
              <wp:wrapNone/>
              <wp:docPr id="1852132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3200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830534" cy="798446"/>
                      </a:xfrm>
                      <a:prstGeom prst="rect">
                        <a:avLst/>
                      </a:prstGeom>
                    </pic:spPr>
                  </pic:pic>
                </a:graphicData>
              </a:graphic>
              <wp14:sizeRelH relativeFrom="margin">
                <wp14:pctWidth>0</wp14:pctWidth>
              </wp14:sizeRelH>
              <wp14:sizeRelV relativeFrom="margin">
                <wp14:pctHeight>0</wp14:pctHeight>
              </wp14:sizeRelV>
            </wp:anchor>
          </w:drawing>
        </w:r>
        <w:r w:rsidR="004F0619" w:rsidRPr="00501A89">
          <w:drawing>
            <wp:anchor distT="0" distB="0" distL="114300" distR="114300" simplePos="0" relativeHeight="251658240" behindDoc="1" locked="0" layoutInCell="1" allowOverlap="1" wp14:anchorId="20886E0F" wp14:editId="2FA2EFBF">
              <wp:simplePos x="0" y="0"/>
              <wp:positionH relativeFrom="page">
                <wp:posOffset>8467</wp:posOffset>
              </wp:positionH>
              <wp:positionV relativeFrom="page">
                <wp:posOffset>9804400</wp:posOffset>
              </wp:positionV>
              <wp:extent cx="7558200" cy="889200"/>
              <wp:effectExtent l="0" t="0" r="0" b="0"/>
              <wp:wrapNone/>
              <wp:docPr id="1696804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73682"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7558200" cy="889200"/>
                      </a:xfrm>
                      <a:prstGeom prst="rect">
                        <a:avLst/>
                      </a:prstGeom>
                    </pic:spPr>
                  </pic:pic>
                </a:graphicData>
              </a:graphic>
              <wp14:sizeRelH relativeFrom="margin">
                <wp14:pctWidth>0</wp14:pctWidth>
              </wp14:sizeRelH>
              <wp14:sizeRelV relativeFrom="margin">
                <wp14:pctHeight>0</wp14:pctHeight>
              </wp14:sizeRelV>
            </wp:anchor>
          </w:drawing>
        </w:r>
        <w:r w:rsidR="00577C9B" w:rsidRPr="00501A89">
          <w:t>Annual Governance Statement</w:t>
        </w:r>
        <w:r w:rsidR="0052530A" w:rsidRPr="00501A89">
          <w:t xml:space="preserve"> for Kent Police and Kent Police </w:t>
        </w:r>
        <w:r w:rsidR="0052530A" w:rsidRPr="001354C8">
          <w:t>and Crime Commissioner</w:t>
        </w:r>
        <w:r w:rsidR="0052530A" w:rsidRPr="001354C8">
          <w:tab/>
        </w:r>
        <w:r w:rsidR="0052530A" w:rsidRPr="001354C8">
          <w:fldChar w:fldCharType="begin"/>
        </w:r>
        <w:r w:rsidR="0052530A" w:rsidRPr="001354C8">
          <w:instrText xml:space="preserve"> PAGE   \* MERGEFORMAT </w:instrText>
        </w:r>
        <w:r w:rsidR="0052530A" w:rsidRPr="001354C8">
          <w:fldChar w:fldCharType="separate"/>
        </w:r>
        <w:r w:rsidR="0052530A" w:rsidRPr="001354C8">
          <w:t>1</w:t>
        </w:r>
        <w:r w:rsidR="0052530A" w:rsidRPr="001354C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F155" w14:textId="77777777" w:rsidR="00E31F7C" w:rsidRDefault="00E31F7C" w:rsidP="006E2B88">
      <w:r>
        <w:separator/>
      </w:r>
    </w:p>
  </w:footnote>
  <w:footnote w:type="continuationSeparator" w:id="0">
    <w:p w14:paraId="4C115DBB" w14:textId="77777777" w:rsidR="00E31F7C" w:rsidRDefault="00E31F7C" w:rsidP="006E2B88">
      <w:r>
        <w:continuationSeparator/>
      </w:r>
    </w:p>
  </w:footnote>
  <w:footnote w:type="continuationNotice" w:id="1">
    <w:p w14:paraId="78574660" w14:textId="77777777" w:rsidR="00E31F7C" w:rsidRDefault="00E31F7C" w:rsidP="006E2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1B0D" w14:textId="5F1C06A9" w:rsidR="00C43171" w:rsidRPr="00EA62D8" w:rsidRDefault="00C076A0" w:rsidP="006E2B88">
    <w:pPr>
      <w:pStyle w:val="Heading1"/>
    </w:pPr>
    <w:r w:rsidRPr="00EA62D8">
      <mc:AlternateContent>
        <mc:Choice Requires="wps">
          <w:drawing>
            <wp:anchor distT="0" distB="0" distL="114300" distR="114300" simplePos="0" relativeHeight="251658241" behindDoc="1" locked="0" layoutInCell="1" allowOverlap="1" wp14:anchorId="2C557F8F" wp14:editId="08369BAE">
              <wp:simplePos x="0" y="0"/>
              <wp:positionH relativeFrom="page">
                <wp:posOffset>12700</wp:posOffset>
              </wp:positionH>
              <wp:positionV relativeFrom="page">
                <wp:posOffset>-355600</wp:posOffset>
              </wp:positionV>
              <wp:extent cx="10680538" cy="1306195"/>
              <wp:effectExtent l="0" t="0" r="635" b="1905"/>
              <wp:wrapNone/>
              <wp:docPr id="1683494357" name="Rectangle 6"/>
              <wp:cNvGraphicFramePr/>
              <a:graphic xmlns:a="http://schemas.openxmlformats.org/drawingml/2006/main">
                <a:graphicData uri="http://schemas.microsoft.com/office/word/2010/wordprocessingShape">
                  <wps:wsp>
                    <wps:cNvSpPr/>
                    <wps:spPr>
                      <a:xfrm>
                        <a:off x="0" y="0"/>
                        <a:ext cx="10680538" cy="1306195"/>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4A81116">
            <v:rect id="Rectangle 6" style="position:absolute;margin-left:1pt;margin-top:-28pt;width:841pt;height:102.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405a" stroked="f" strokeweight="1pt" w14:anchorId="0493A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3hfwIAAGEFAAAOAAAAZHJzL2Uyb0RvYy54bWysVMFu2zAMvQ/YPwi6r7bTpGu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">
              <w10:wrap anchorx="page" anchory="page"/>
            </v:rect>
          </w:pict>
        </mc:Fallback>
      </mc:AlternateContent>
    </w:r>
    <w:r w:rsidR="0049483F" w:rsidRPr="00EA62D8">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E010" w14:textId="405D3304" w:rsidR="007A0BD7" w:rsidRPr="007A0BD7" w:rsidRDefault="007A0BD7" w:rsidP="006E2B88">
    <w:pPr>
      <w:pStyle w:val="Heading1"/>
    </w:pPr>
    <w:r w:rsidRPr="007A0BD7">
      <mc:AlternateContent>
        <mc:Choice Requires="wps">
          <w:drawing>
            <wp:anchor distT="0" distB="0" distL="114300" distR="114300" simplePos="0" relativeHeight="251658243" behindDoc="1" locked="0" layoutInCell="1" allowOverlap="1" wp14:anchorId="111E837B" wp14:editId="22763824">
              <wp:simplePos x="0" y="0"/>
              <wp:positionH relativeFrom="page">
                <wp:posOffset>0</wp:posOffset>
              </wp:positionH>
              <wp:positionV relativeFrom="page">
                <wp:posOffset>-338667</wp:posOffset>
              </wp:positionV>
              <wp:extent cx="10680538" cy="1306195"/>
              <wp:effectExtent l="0" t="0" r="635" b="1905"/>
              <wp:wrapNone/>
              <wp:docPr id="29209754" name="Rectangle 6"/>
              <wp:cNvGraphicFramePr/>
              <a:graphic xmlns:a="http://schemas.openxmlformats.org/drawingml/2006/main">
                <a:graphicData uri="http://schemas.microsoft.com/office/word/2010/wordprocessingShape">
                  <wps:wsp>
                    <wps:cNvSpPr/>
                    <wps:spPr>
                      <a:xfrm>
                        <a:off x="0" y="0"/>
                        <a:ext cx="10680538" cy="1306195"/>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F53B313">
            <v:rect id="Rectangle 6" style="position:absolute;margin-left:0;margin-top:-26.65pt;width:841pt;height:102.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405a" stroked="f" strokeweight="1pt" w14:anchorId="0A286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3hfwIAAGEFAAAOAAAAZHJzL2Uyb0RvYy54bWysVMFu2zAMvQ/YPwi6r7bTpGu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">
              <w10:wrap anchorx="page" anchory="page"/>
            </v:rect>
          </w:pict>
        </mc:Fallback>
      </mc:AlternateContent>
    </w:r>
    <w:r w:rsidRPr="007A0BD7">
      <w:t>Assessment of OPCC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509A" w14:textId="2ED10F54" w:rsidR="00BB187A" w:rsidRPr="007A0BD7" w:rsidRDefault="00BB187A" w:rsidP="006E2B88">
    <w:pPr>
      <w:pStyle w:val="Heading1"/>
    </w:pPr>
    <w:r w:rsidRPr="007A0BD7">
      <mc:AlternateContent>
        <mc:Choice Requires="wps">
          <w:drawing>
            <wp:anchor distT="0" distB="0" distL="114300" distR="114300" simplePos="0" relativeHeight="251658245" behindDoc="1" locked="0" layoutInCell="1" allowOverlap="1" wp14:anchorId="2B26C60A" wp14:editId="098839EA">
              <wp:simplePos x="0" y="0"/>
              <wp:positionH relativeFrom="page">
                <wp:posOffset>0</wp:posOffset>
              </wp:positionH>
              <wp:positionV relativeFrom="page">
                <wp:posOffset>-338667</wp:posOffset>
              </wp:positionV>
              <wp:extent cx="10680538" cy="1306195"/>
              <wp:effectExtent l="0" t="0" r="635" b="1905"/>
              <wp:wrapNone/>
              <wp:docPr id="1563848145" name="Rectangle 6"/>
              <wp:cNvGraphicFramePr/>
              <a:graphic xmlns:a="http://schemas.openxmlformats.org/drawingml/2006/main">
                <a:graphicData uri="http://schemas.microsoft.com/office/word/2010/wordprocessingShape">
                  <wps:wsp>
                    <wps:cNvSpPr/>
                    <wps:spPr>
                      <a:xfrm>
                        <a:off x="0" y="0"/>
                        <a:ext cx="10680538" cy="1306195"/>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C438668">
            <v:rect id="Rectangle 6" style="position:absolute;margin-left:0;margin-top:-26.65pt;width:841pt;height:102.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405a" stroked="f" strokeweight="1pt" w14:anchorId="3424F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3hfwIAAGEFAAAOAAAAZHJzL2Uyb0RvYy54bWysVMFu2zAMvQ/YPwi6r7bTpGu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">
              <w10:wrap anchorx="page" anchory="page"/>
            </v:rect>
          </w:pict>
        </mc:Fallback>
      </mc:AlternateContent>
    </w:r>
    <w:r>
      <w:t>Update on last year’s action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B3E8" w14:textId="746B0BAC" w:rsidR="00BF6C77" w:rsidRPr="00BF6C77" w:rsidRDefault="00BF6C77" w:rsidP="00985ED5">
    <w:pPr>
      <w:pStyle w:val="Heading1-White"/>
    </w:pPr>
    <w:r w:rsidRPr="00BF6C77">
      <mc:AlternateContent>
        <mc:Choice Requires="wps">
          <w:drawing>
            <wp:anchor distT="0" distB="0" distL="114300" distR="114300" simplePos="0" relativeHeight="251658244" behindDoc="1" locked="0" layoutInCell="1" allowOverlap="1" wp14:anchorId="36819F80" wp14:editId="25D0D1A3">
              <wp:simplePos x="0" y="0"/>
              <wp:positionH relativeFrom="page">
                <wp:posOffset>0</wp:posOffset>
              </wp:positionH>
              <wp:positionV relativeFrom="page">
                <wp:posOffset>-338667</wp:posOffset>
              </wp:positionV>
              <wp:extent cx="10680538" cy="1306195"/>
              <wp:effectExtent l="0" t="0" r="635" b="1905"/>
              <wp:wrapNone/>
              <wp:docPr id="1861226832" name="Rectangle 6"/>
              <wp:cNvGraphicFramePr/>
              <a:graphic xmlns:a="http://schemas.openxmlformats.org/drawingml/2006/main">
                <a:graphicData uri="http://schemas.microsoft.com/office/word/2010/wordprocessingShape">
                  <wps:wsp>
                    <wps:cNvSpPr/>
                    <wps:spPr>
                      <a:xfrm>
                        <a:off x="0" y="0"/>
                        <a:ext cx="10680538" cy="1306195"/>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CC71CDB">
            <v:rect id="Rectangle 6" style="position:absolute;margin-left:0;margin-top:-26.65pt;width:841pt;height:102.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405a" stroked="f" strokeweight="1pt" w14:anchorId="65E84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3hfwIAAGEFAAAOAAAAZHJzL2Uyb0RvYy54bWysVMFu2zAMvQ/YPwi6r7bTpGu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">
              <w10:wrap anchorx="page" anchory="page"/>
            </v:rect>
          </w:pict>
        </mc:Fallback>
      </mc:AlternateContent>
    </w:r>
    <w:r w:rsidR="00BB187A">
      <w:t>A</w:t>
    </w:r>
    <w:r w:rsidR="00A40DF9">
      <w:t>ction plan</w:t>
    </w:r>
    <w:r w:rsidR="00BB187A">
      <w:t xml:space="preserve"> for issues identified </w:t>
    </w:r>
    <w:r w:rsidR="00BD00E5">
      <w:t>in 202</w:t>
    </w:r>
    <w:r w:rsidR="002F10F4">
      <w:t>5</w:t>
    </w:r>
    <w:r w:rsidR="00BD00E5">
      <w:t>/2</w:t>
    </w:r>
    <w:r w:rsidR="002F10F4">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3D21" w14:textId="1086720B" w:rsidR="00900AF1" w:rsidRPr="00BF6C77" w:rsidRDefault="00900AF1" w:rsidP="00985ED5">
    <w:pPr>
      <w:pStyle w:val="Heading1-White"/>
    </w:pPr>
    <w:r w:rsidRPr="00BF6C77">
      <mc:AlternateContent>
        <mc:Choice Requires="wps">
          <w:drawing>
            <wp:anchor distT="0" distB="0" distL="114300" distR="114300" simplePos="0" relativeHeight="251658246" behindDoc="1" locked="0" layoutInCell="1" allowOverlap="1" wp14:anchorId="4FE910B3" wp14:editId="3B328A94">
              <wp:simplePos x="0" y="0"/>
              <wp:positionH relativeFrom="page">
                <wp:posOffset>0</wp:posOffset>
              </wp:positionH>
              <wp:positionV relativeFrom="page">
                <wp:posOffset>-338667</wp:posOffset>
              </wp:positionV>
              <wp:extent cx="10680538" cy="1306195"/>
              <wp:effectExtent l="0" t="0" r="635" b="1905"/>
              <wp:wrapNone/>
              <wp:docPr id="1550849934" name="Rectangle 6"/>
              <wp:cNvGraphicFramePr/>
              <a:graphic xmlns:a="http://schemas.openxmlformats.org/drawingml/2006/main">
                <a:graphicData uri="http://schemas.microsoft.com/office/word/2010/wordprocessingShape">
                  <wps:wsp>
                    <wps:cNvSpPr/>
                    <wps:spPr>
                      <a:xfrm>
                        <a:off x="0" y="0"/>
                        <a:ext cx="10680538" cy="1306195"/>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C13B981">
            <v:rect id="Rectangle 6" style="position:absolute;margin-left:0;margin-top:-26.65pt;width:841pt;height:102.8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405a" stroked="f" strokeweight="1pt" w14:anchorId="5C43B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3hfwIAAGEFAAAOAAAAZHJzL2Uyb0RvYy54bWysVMFu2zAMvQ/YPwi6r7bTpGu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">
              <w10:wrap anchorx="page" anchory="page"/>
            </v:rect>
          </w:pict>
        </mc:Fallback>
      </mc:AlternateContent>
    </w:r>
    <w:r>
      <w:t>Internal Audit Update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1B31" w14:textId="19613296" w:rsidR="00834FE8" w:rsidRPr="005953A9" w:rsidRDefault="005953A9" w:rsidP="005953A9">
    <w:pPr>
      <w:pStyle w:val="Heading1-White"/>
    </w:pPr>
    <w:r w:rsidRPr="005953A9">
      <w:t>Other significant governance</w:t>
    </w:r>
    <w:r w:rsidRPr="005953A9">
      <w:rPr>
        <w:rStyle w:val="Heading2Char"/>
        <w:rFonts w:ascii="Tahoma" w:eastAsiaTheme="minorHAnsi" w:hAnsi="Tahoma" w:cs="Tahoma"/>
        <w:color w:val="FFFFFF" w:themeColor="background1"/>
        <w:sz w:val="40"/>
        <w:szCs w:val="40"/>
      </w:rPr>
      <w:t xml:space="preserve"> issues</w:t>
    </w:r>
    <w:r w:rsidR="00834FE8" w:rsidRPr="005953A9">
      <mc:AlternateContent>
        <mc:Choice Requires="wps">
          <w:drawing>
            <wp:anchor distT="0" distB="0" distL="114300" distR="114300" simplePos="0" relativeHeight="251658247" behindDoc="1" locked="0" layoutInCell="1" allowOverlap="1" wp14:anchorId="29C3103A" wp14:editId="3B524A5A">
              <wp:simplePos x="0" y="0"/>
              <wp:positionH relativeFrom="page">
                <wp:posOffset>8890</wp:posOffset>
              </wp:positionH>
              <wp:positionV relativeFrom="page">
                <wp:posOffset>-342900</wp:posOffset>
              </wp:positionV>
              <wp:extent cx="10680538" cy="1306195"/>
              <wp:effectExtent l="0" t="0" r="635" b="1905"/>
              <wp:wrapNone/>
              <wp:docPr id="1665628740" name="Rectangle 6"/>
              <wp:cNvGraphicFramePr/>
              <a:graphic xmlns:a="http://schemas.openxmlformats.org/drawingml/2006/main">
                <a:graphicData uri="http://schemas.microsoft.com/office/word/2010/wordprocessingShape">
                  <wps:wsp>
                    <wps:cNvSpPr/>
                    <wps:spPr>
                      <a:xfrm>
                        <a:off x="0" y="0"/>
                        <a:ext cx="10680538" cy="1306195"/>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3CBC2D8">
            <v:rect id="Rectangle 6" style="position:absolute;margin-left:.7pt;margin-top:-27pt;width:841pt;height:102.85pt;z-index:-251656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405a" stroked="f" strokeweight="1pt" w14:anchorId="5AF81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3hfwIAAGEFAAAOAAAAZHJzL2Uyb0RvYy54bWysVMFu2zAMvQ/YPwi6r7bTpGu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">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C230" w14:textId="4EAC93F3" w:rsidR="005953A9" w:rsidRPr="005953A9" w:rsidRDefault="005953A9" w:rsidP="005953A9">
    <w:pPr>
      <w:pStyle w:val="Heading1-White"/>
    </w:pPr>
    <w:r>
      <w:t>Conclusion</w:t>
    </w:r>
    <w:r w:rsidRPr="005953A9">
      <mc:AlternateContent>
        <mc:Choice Requires="wps">
          <w:drawing>
            <wp:anchor distT="0" distB="0" distL="114300" distR="114300" simplePos="0" relativeHeight="251658248" behindDoc="1" locked="0" layoutInCell="1" allowOverlap="1" wp14:anchorId="5FF0A844" wp14:editId="2E742A39">
              <wp:simplePos x="0" y="0"/>
              <wp:positionH relativeFrom="page">
                <wp:posOffset>8890</wp:posOffset>
              </wp:positionH>
              <wp:positionV relativeFrom="page">
                <wp:posOffset>-342900</wp:posOffset>
              </wp:positionV>
              <wp:extent cx="10680538" cy="1306195"/>
              <wp:effectExtent l="0" t="0" r="635" b="1905"/>
              <wp:wrapNone/>
              <wp:docPr id="5008454" name="Rectangle 6"/>
              <wp:cNvGraphicFramePr/>
              <a:graphic xmlns:a="http://schemas.openxmlformats.org/drawingml/2006/main">
                <a:graphicData uri="http://schemas.microsoft.com/office/word/2010/wordprocessingShape">
                  <wps:wsp>
                    <wps:cNvSpPr/>
                    <wps:spPr>
                      <a:xfrm>
                        <a:off x="0" y="0"/>
                        <a:ext cx="10680538" cy="1306195"/>
                      </a:xfrm>
                      <a:prstGeom prst="rect">
                        <a:avLst/>
                      </a:prstGeom>
                      <a:solidFill>
                        <a:srgbClr val="0040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1C090BD">
            <v:rect id="Rectangle 6" style="position:absolute;margin-left:.7pt;margin-top:-27pt;width:841pt;height:102.85pt;z-index:-2516541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405a" stroked="f" strokeweight="1pt" w14:anchorId="6EEA8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5A22"/>
    <w:multiLevelType w:val="hybridMultilevel"/>
    <w:tmpl w:val="387A222C"/>
    <w:lvl w:ilvl="0" w:tplc="7884C078">
      <w:start w:val="1"/>
      <w:numFmt w:val="upperLetter"/>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F30AF"/>
    <w:multiLevelType w:val="hybridMultilevel"/>
    <w:tmpl w:val="D5F0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661A8"/>
    <w:multiLevelType w:val="hybridMultilevel"/>
    <w:tmpl w:val="5884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26609"/>
    <w:multiLevelType w:val="hybridMultilevel"/>
    <w:tmpl w:val="5A12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F2353"/>
    <w:multiLevelType w:val="hybridMultilevel"/>
    <w:tmpl w:val="E4AC3A90"/>
    <w:lvl w:ilvl="0" w:tplc="35345DF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21B0A"/>
    <w:multiLevelType w:val="hybridMultilevel"/>
    <w:tmpl w:val="C8B2ED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FF5441"/>
    <w:multiLevelType w:val="hybridMultilevel"/>
    <w:tmpl w:val="171A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5EC2"/>
    <w:multiLevelType w:val="hybridMultilevel"/>
    <w:tmpl w:val="186A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E04FD"/>
    <w:multiLevelType w:val="hybridMultilevel"/>
    <w:tmpl w:val="3B34B470"/>
    <w:lvl w:ilvl="0" w:tplc="7B5E3D84">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353E6"/>
    <w:multiLevelType w:val="multilevel"/>
    <w:tmpl w:val="B82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C78C9"/>
    <w:multiLevelType w:val="hybridMultilevel"/>
    <w:tmpl w:val="AE16FDFE"/>
    <w:lvl w:ilvl="0" w:tplc="FFFFFFFF">
      <w:start w:val="1"/>
      <w:numFmt w:val="bullet"/>
      <w:lvlText w:val=""/>
      <w:lvlJc w:val="left"/>
      <w:pPr>
        <w:ind w:left="720" w:hanging="360"/>
      </w:pPr>
      <w:rPr>
        <w:rFonts w:ascii="Symbol" w:hAnsi="Symbol" w:hint="default"/>
      </w:rPr>
    </w:lvl>
    <w:lvl w:ilvl="1" w:tplc="85965D24">
      <w:start w:val="1"/>
      <w:numFmt w:val="bullet"/>
      <w:pStyle w:val="Tablebulletindent"/>
      <w:lvlText w:val="-"/>
      <w:lvlJc w:val="left"/>
      <w:pPr>
        <w:ind w:left="1440" w:hanging="360"/>
      </w:pPr>
      <w:rPr>
        <w:rFonts w:ascii="Tahoma" w:hAnsi="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C338F3"/>
    <w:multiLevelType w:val="hybridMultilevel"/>
    <w:tmpl w:val="705AAF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2445EF"/>
    <w:multiLevelType w:val="hybridMultilevel"/>
    <w:tmpl w:val="AAB6A730"/>
    <w:lvl w:ilvl="0" w:tplc="35345DF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E66F2"/>
    <w:multiLevelType w:val="hybridMultilevel"/>
    <w:tmpl w:val="C386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7350D"/>
    <w:multiLevelType w:val="hybridMultilevel"/>
    <w:tmpl w:val="00E0C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E44684"/>
    <w:multiLevelType w:val="hybridMultilevel"/>
    <w:tmpl w:val="CBFC1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B4E41"/>
    <w:multiLevelType w:val="hybridMultilevel"/>
    <w:tmpl w:val="56B0F0C6"/>
    <w:lvl w:ilvl="0" w:tplc="F8C41B9A">
      <w:start w:val="2025"/>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F07F4"/>
    <w:multiLevelType w:val="hybridMultilevel"/>
    <w:tmpl w:val="B6569FC6"/>
    <w:lvl w:ilvl="0" w:tplc="35345DF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528C7"/>
    <w:multiLevelType w:val="hybridMultilevel"/>
    <w:tmpl w:val="1586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E68E6"/>
    <w:multiLevelType w:val="hybridMultilevel"/>
    <w:tmpl w:val="1AE6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5067C0"/>
    <w:multiLevelType w:val="hybridMultilevel"/>
    <w:tmpl w:val="F3BC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527846"/>
    <w:multiLevelType w:val="multilevel"/>
    <w:tmpl w:val="A3F80B04"/>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4D4774"/>
    <w:multiLevelType w:val="hybridMultilevel"/>
    <w:tmpl w:val="DF62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96FFF"/>
    <w:multiLevelType w:val="hybridMultilevel"/>
    <w:tmpl w:val="A39E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83915"/>
    <w:multiLevelType w:val="multilevel"/>
    <w:tmpl w:val="A3F80B0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56644A"/>
    <w:multiLevelType w:val="hybridMultilevel"/>
    <w:tmpl w:val="8A66F85E"/>
    <w:lvl w:ilvl="0" w:tplc="35345DF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955B33"/>
    <w:multiLevelType w:val="hybridMultilevel"/>
    <w:tmpl w:val="0A28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23D0E"/>
    <w:multiLevelType w:val="hybridMultilevel"/>
    <w:tmpl w:val="6E10D960"/>
    <w:lvl w:ilvl="0" w:tplc="FFFFFFFF">
      <w:start w:val="1"/>
      <w:numFmt w:val="bullet"/>
      <w:lvlText w:val=""/>
      <w:lvlJc w:val="left"/>
      <w:pPr>
        <w:ind w:left="720" w:hanging="360"/>
      </w:pPr>
      <w:rPr>
        <w:rFonts w:ascii="Symbol" w:hAnsi="Symbol" w:hint="default"/>
      </w:rPr>
    </w:lvl>
    <w:lvl w:ilvl="1" w:tplc="608C3086">
      <w:start w:val="1"/>
      <w:numFmt w:val="bullet"/>
      <w:lvlText w:val="-"/>
      <w:lvlJc w:val="left"/>
      <w:pPr>
        <w:ind w:left="1440" w:hanging="360"/>
      </w:pPr>
      <w:rPr>
        <w:rFonts w:ascii="Tahoma" w:hAnsi="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AE0069"/>
    <w:multiLevelType w:val="hybridMultilevel"/>
    <w:tmpl w:val="B45E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904DB"/>
    <w:multiLevelType w:val="hybridMultilevel"/>
    <w:tmpl w:val="69E8710E"/>
    <w:lvl w:ilvl="0" w:tplc="BA5ABCD0">
      <w:start w:val="1"/>
      <w:numFmt w:val="bullet"/>
      <w:pStyle w:val="Table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831636">
    <w:abstractNumId w:val="29"/>
  </w:num>
  <w:num w:numId="2" w16cid:durableId="699822965">
    <w:abstractNumId w:val="24"/>
  </w:num>
  <w:num w:numId="3" w16cid:durableId="434911950">
    <w:abstractNumId w:val="10"/>
  </w:num>
  <w:num w:numId="4" w16cid:durableId="1804078453">
    <w:abstractNumId w:val="21"/>
  </w:num>
  <w:num w:numId="5" w16cid:durableId="328872740">
    <w:abstractNumId w:val="27"/>
  </w:num>
  <w:num w:numId="6" w16cid:durableId="860976247">
    <w:abstractNumId w:val="11"/>
  </w:num>
  <w:num w:numId="7" w16cid:durableId="380787035">
    <w:abstractNumId w:val="15"/>
  </w:num>
  <w:num w:numId="8" w16cid:durableId="299657828">
    <w:abstractNumId w:val="13"/>
  </w:num>
  <w:num w:numId="9" w16cid:durableId="1054083457">
    <w:abstractNumId w:val="8"/>
  </w:num>
  <w:num w:numId="10" w16cid:durableId="1400445985">
    <w:abstractNumId w:val="5"/>
  </w:num>
  <w:num w:numId="11" w16cid:durableId="1809350260">
    <w:abstractNumId w:val="22"/>
  </w:num>
  <w:num w:numId="12" w16cid:durableId="590939253">
    <w:abstractNumId w:val="6"/>
  </w:num>
  <w:num w:numId="13" w16cid:durableId="450320972">
    <w:abstractNumId w:val="23"/>
  </w:num>
  <w:num w:numId="14" w16cid:durableId="621304676">
    <w:abstractNumId w:val="18"/>
  </w:num>
  <w:num w:numId="15" w16cid:durableId="1538354700">
    <w:abstractNumId w:val="25"/>
  </w:num>
  <w:num w:numId="16" w16cid:durableId="1858884428">
    <w:abstractNumId w:val="17"/>
  </w:num>
  <w:num w:numId="17" w16cid:durableId="1387922198">
    <w:abstractNumId w:val="4"/>
  </w:num>
  <w:num w:numId="18" w16cid:durableId="945389094">
    <w:abstractNumId w:val="12"/>
  </w:num>
  <w:num w:numId="19" w16cid:durableId="292250731">
    <w:abstractNumId w:val="7"/>
  </w:num>
  <w:num w:numId="20" w16cid:durableId="1208226312">
    <w:abstractNumId w:val="19"/>
  </w:num>
  <w:num w:numId="21" w16cid:durableId="877279542">
    <w:abstractNumId w:val="28"/>
  </w:num>
  <w:num w:numId="22" w16cid:durableId="1845434964">
    <w:abstractNumId w:val="0"/>
  </w:num>
  <w:num w:numId="23" w16cid:durableId="371729756">
    <w:abstractNumId w:val="26"/>
  </w:num>
  <w:num w:numId="24" w16cid:durableId="1764380536">
    <w:abstractNumId w:val="16"/>
  </w:num>
  <w:num w:numId="25" w16cid:durableId="590352617">
    <w:abstractNumId w:val="14"/>
  </w:num>
  <w:num w:numId="26" w16cid:durableId="180901600">
    <w:abstractNumId w:val="2"/>
  </w:num>
  <w:num w:numId="27" w16cid:durableId="1149979882">
    <w:abstractNumId w:val="20"/>
  </w:num>
  <w:num w:numId="28" w16cid:durableId="841164896">
    <w:abstractNumId w:val="3"/>
  </w:num>
  <w:num w:numId="29" w16cid:durableId="2005624054">
    <w:abstractNumId w:val="1"/>
  </w:num>
  <w:num w:numId="30" w16cid:durableId="1970358784">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Steward 46058010">
    <w15:presenceInfo w15:providerId="AD" w15:userId="S::laura.steward@kent.police.uk::cf3f7634-9ea8-42a1-bcaf-ab56de1d3216"/>
  </w15:person>
  <w15:person w15:author="Neil Wickens 46052972">
    <w15:presenceInfo w15:providerId="AD" w15:userId="S::neil.wickens@kent.police.uk::03a474b0-d07b-4a46-aed6-54c4a548a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E0"/>
    <w:rsid w:val="00000361"/>
    <w:rsid w:val="00000B2D"/>
    <w:rsid w:val="00001C81"/>
    <w:rsid w:val="0000231F"/>
    <w:rsid w:val="00002D92"/>
    <w:rsid w:val="00003B67"/>
    <w:rsid w:val="0000406A"/>
    <w:rsid w:val="00005C68"/>
    <w:rsid w:val="00006F47"/>
    <w:rsid w:val="000076D4"/>
    <w:rsid w:val="00007776"/>
    <w:rsid w:val="00007988"/>
    <w:rsid w:val="0001061D"/>
    <w:rsid w:val="00012875"/>
    <w:rsid w:val="00012BC9"/>
    <w:rsid w:val="00014497"/>
    <w:rsid w:val="00014612"/>
    <w:rsid w:val="000207F2"/>
    <w:rsid w:val="00020B85"/>
    <w:rsid w:val="00021F79"/>
    <w:rsid w:val="00021F83"/>
    <w:rsid w:val="00022117"/>
    <w:rsid w:val="00023D0B"/>
    <w:rsid w:val="00024CF7"/>
    <w:rsid w:val="00024EAF"/>
    <w:rsid w:val="00032384"/>
    <w:rsid w:val="000325BF"/>
    <w:rsid w:val="00032A52"/>
    <w:rsid w:val="00032F47"/>
    <w:rsid w:val="00033336"/>
    <w:rsid w:val="00033536"/>
    <w:rsid w:val="00033726"/>
    <w:rsid w:val="00034C2B"/>
    <w:rsid w:val="00035250"/>
    <w:rsid w:val="00035B94"/>
    <w:rsid w:val="00036363"/>
    <w:rsid w:val="00037171"/>
    <w:rsid w:val="0004329D"/>
    <w:rsid w:val="000458F6"/>
    <w:rsid w:val="00045FFC"/>
    <w:rsid w:val="0004722A"/>
    <w:rsid w:val="0005059C"/>
    <w:rsid w:val="00050A00"/>
    <w:rsid w:val="00050ECE"/>
    <w:rsid w:val="0005170E"/>
    <w:rsid w:val="00052E38"/>
    <w:rsid w:val="00052F8C"/>
    <w:rsid w:val="000537DF"/>
    <w:rsid w:val="0005393F"/>
    <w:rsid w:val="000559E8"/>
    <w:rsid w:val="00055BF0"/>
    <w:rsid w:val="00057ED0"/>
    <w:rsid w:val="00060629"/>
    <w:rsid w:val="00060902"/>
    <w:rsid w:val="00061789"/>
    <w:rsid w:val="00061C0A"/>
    <w:rsid w:val="000627B0"/>
    <w:rsid w:val="00062928"/>
    <w:rsid w:val="00062A8A"/>
    <w:rsid w:val="00062F38"/>
    <w:rsid w:val="00065B96"/>
    <w:rsid w:val="00066AB8"/>
    <w:rsid w:val="0006721F"/>
    <w:rsid w:val="00067E9B"/>
    <w:rsid w:val="000712EE"/>
    <w:rsid w:val="00073915"/>
    <w:rsid w:val="000741F1"/>
    <w:rsid w:val="000747F7"/>
    <w:rsid w:val="000767E2"/>
    <w:rsid w:val="00076A97"/>
    <w:rsid w:val="000770BD"/>
    <w:rsid w:val="0008025E"/>
    <w:rsid w:val="000805BF"/>
    <w:rsid w:val="00080AEF"/>
    <w:rsid w:val="00080B96"/>
    <w:rsid w:val="00082DFD"/>
    <w:rsid w:val="0008345B"/>
    <w:rsid w:val="0008430D"/>
    <w:rsid w:val="000846EE"/>
    <w:rsid w:val="000848CC"/>
    <w:rsid w:val="00090D9B"/>
    <w:rsid w:val="0009119B"/>
    <w:rsid w:val="000920E8"/>
    <w:rsid w:val="000921F1"/>
    <w:rsid w:val="000936CB"/>
    <w:rsid w:val="00093C5D"/>
    <w:rsid w:val="00093CC6"/>
    <w:rsid w:val="0009488B"/>
    <w:rsid w:val="000953FB"/>
    <w:rsid w:val="0009549F"/>
    <w:rsid w:val="0009592E"/>
    <w:rsid w:val="00097656"/>
    <w:rsid w:val="000A0C2A"/>
    <w:rsid w:val="000A2924"/>
    <w:rsid w:val="000A2DD0"/>
    <w:rsid w:val="000A3098"/>
    <w:rsid w:val="000A4453"/>
    <w:rsid w:val="000A4807"/>
    <w:rsid w:val="000A5310"/>
    <w:rsid w:val="000A54D8"/>
    <w:rsid w:val="000A55A3"/>
    <w:rsid w:val="000A6FE3"/>
    <w:rsid w:val="000A7686"/>
    <w:rsid w:val="000A7819"/>
    <w:rsid w:val="000A7C80"/>
    <w:rsid w:val="000B0DE4"/>
    <w:rsid w:val="000B109D"/>
    <w:rsid w:val="000B208F"/>
    <w:rsid w:val="000B2178"/>
    <w:rsid w:val="000B28F7"/>
    <w:rsid w:val="000B394D"/>
    <w:rsid w:val="000B3B0F"/>
    <w:rsid w:val="000B3BBC"/>
    <w:rsid w:val="000B4BB4"/>
    <w:rsid w:val="000B5D64"/>
    <w:rsid w:val="000B5F08"/>
    <w:rsid w:val="000B6DBD"/>
    <w:rsid w:val="000C04BB"/>
    <w:rsid w:val="000C0896"/>
    <w:rsid w:val="000C12C6"/>
    <w:rsid w:val="000C1A8B"/>
    <w:rsid w:val="000C2202"/>
    <w:rsid w:val="000C27DF"/>
    <w:rsid w:val="000C3A40"/>
    <w:rsid w:val="000C3F4D"/>
    <w:rsid w:val="000C41E0"/>
    <w:rsid w:val="000C44AC"/>
    <w:rsid w:val="000C57B3"/>
    <w:rsid w:val="000C5F08"/>
    <w:rsid w:val="000C6408"/>
    <w:rsid w:val="000C6DD3"/>
    <w:rsid w:val="000C76C5"/>
    <w:rsid w:val="000C7EBD"/>
    <w:rsid w:val="000D0F83"/>
    <w:rsid w:val="000D136B"/>
    <w:rsid w:val="000D1A1A"/>
    <w:rsid w:val="000D4718"/>
    <w:rsid w:val="000D4D76"/>
    <w:rsid w:val="000D60DF"/>
    <w:rsid w:val="000D6A28"/>
    <w:rsid w:val="000E08E3"/>
    <w:rsid w:val="000E125C"/>
    <w:rsid w:val="000E274A"/>
    <w:rsid w:val="000E381D"/>
    <w:rsid w:val="000E3BF0"/>
    <w:rsid w:val="000E3DE1"/>
    <w:rsid w:val="000E41AF"/>
    <w:rsid w:val="000E50C2"/>
    <w:rsid w:val="000E52C0"/>
    <w:rsid w:val="000E5397"/>
    <w:rsid w:val="000E64DF"/>
    <w:rsid w:val="000E7830"/>
    <w:rsid w:val="000E7F56"/>
    <w:rsid w:val="000F02D1"/>
    <w:rsid w:val="000F09C8"/>
    <w:rsid w:val="000F0DBE"/>
    <w:rsid w:val="000F16E2"/>
    <w:rsid w:val="000F2100"/>
    <w:rsid w:val="000F2F94"/>
    <w:rsid w:val="000F4C05"/>
    <w:rsid w:val="000F4E46"/>
    <w:rsid w:val="000F6755"/>
    <w:rsid w:val="000F736D"/>
    <w:rsid w:val="00101928"/>
    <w:rsid w:val="00101C2A"/>
    <w:rsid w:val="00103362"/>
    <w:rsid w:val="001034D5"/>
    <w:rsid w:val="00103820"/>
    <w:rsid w:val="00103A25"/>
    <w:rsid w:val="0010687E"/>
    <w:rsid w:val="00106F0B"/>
    <w:rsid w:val="00107398"/>
    <w:rsid w:val="0011002C"/>
    <w:rsid w:val="00110710"/>
    <w:rsid w:val="00110846"/>
    <w:rsid w:val="00110ED6"/>
    <w:rsid w:val="001112A4"/>
    <w:rsid w:val="001123FE"/>
    <w:rsid w:val="00117BDD"/>
    <w:rsid w:val="00120E8B"/>
    <w:rsid w:val="001215FB"/>
    <w:rsid w:val="0012399B"/>
    <w:rsid w:val="00125B3E"/>
    <w:rsid w:val="00126796"/>
    <w:rsid w:val="001271A2"/>
    <w:rsid w:val="00127EFC"/>
    <w:rsid w:val="00130AFB"/>
    <w:rsid w:val="00130CF4"/>
    <w:rsid w:val="00131D44"/>
    <w:rsid w:val="00132EE6"/>
    <w:rsid w:val="00133DE7"/>
    <w:rsid w:val="001354C8"/>
    <w:rsid w:val="00135D03"/>
    <w:rsid w:val="001367D6"/>
    <w:rsid w:val="00141BEA"/>
    <w:rsid w:val="00143104"/>
    <w:rsid w:val="001436A4"/>
    <w:rsid w:val="0014459C"/>
    <w:rsid w:val="00145758"/>
    <w:rsid w:val="00146B1A"/>
    <w:rsid w:val="001519FE"/>
    <w:rsid w:val="00151BFE"/>
    <w:rsid w:val="00151EF9"/>
    <w:rsid w:val="00152EDE"/>
    <w:rsid w:val="001536FC"/>
    <w:rsid w:val="00153858"/>
    <w:rsid w:val="0015441E"/>
    <w:rsid w:val="001547DB"/>
    <w:rsid w:val="0015532B"/>
    <w:rsid w:val="00157C5C"/>
    <w:rsid w:val="00157F99"/>
    <w:rsid w:val="0016058B"/>
    <w:rsid w:val="00160D51"/>
    <w:rsid w:val="0016163C"/>
    <w:rsid w:val="00161E98"/>
    <w:rsid w:val="00162F40"/>
    <w:rsid w:val="00163751"/>
    <w:rsid w:val="00163DCB"/>
    <w:rsid w:val="001640CF"/>
    <w:rsid w:val="001648D4"/>
    <w:rsid w:val="001652F3"/>
    <w:rsid w:val="00166944"/>
    <w:rsid w:val="0016786A"/>
    <w:rsid w:val="00171441"/>
    <w:rsid w:val="00171530"/>
    <w:rsid w:val="001737C2"/>
    <w:rsid w:val="001738D8"/>
    <w:rsid w:val="00174616"/>
    <w:rsid w:val="00177296"/>
    <w:rsid w:val="0018048A"/>
    <w:rsid w:val="00180808"/>
    <w:rsid w:val="00181610"/>
    <w:rsid w:val="00181AB8"/>
    <w:rsid w:val="00183D3A"/>
    <w:rsid w:val="00183FC6"/>
    <w:rsid w:val="00185764"/>
    <w:rsid w:val="00185BB9"/>
    <w:rsid w:val="0018623E"/>
    <w:rsid w:val="00186B11"/>
    <w:rsid w:val="00190FD7"/>
    <w:rsid w:val="0019245E"/>
    <w:rsid w:val="00192AE0"/>
    <w:rsid w:val="00192F78"/>
    <w:rsid w:val="00194574"/>
    <w:rsid w:val="00194BD6"/>
    <w:rsid w:val="00194E80"/>
    <w:rsid w:val="00195ABC"/>
    <w:rsid w:val="00196E0D"/>
    <w:rsid w:val="00197125"/>
    <w:rsid w:val="001972C0"/>
    <w:rsid w:val="001A0FFF"/>
    <w:rsid w:val="001A1FEB"/>
    <w:rsid w:val="001A25EE"/>
    <w:rsid w:val="001A3AC4"/>
    <w:rsid w:val="001A4EAD"/>
    <w:rsid w:val="001A5F53"/>
    <w:rsid w:val="001A6759"/>
    <w:rsid w:val="001A72EC"/>
    <w:rsid w:val="001B04BD"/>
    <w:rsid w:val="001B0A79"/>
    <w:rsid w:val="001B236D"/>
    <w:rsid w:val="001B3A43"/>
    <w:rsid w:val="001B46F9"/>
    <w:rsid w:val="001B4D71"/>
    <w:rsid w:val="001B61DC"/>
    <w:rsid w:val="001B66EA"/>
    <w:rsid w:val="001C009C"/>
    <w:rsid w:val="001C0643"/>
    <w:rsid w:val="001C1C93"/>
    <w:rsid w:val="001C3514"/>
    <w:rsid w:val="001C3AB9"/>
    <w:rsid w:val="001C5A36"/>
    <w:rsid w:val="001C5BC1"/>
    <w:rsid w:val="001C728F"/>
    <w:rsid w:val="001C7546"/>
    <w:rsid w:val="001D04D8"/>
    <w:rsid w:val="001D0A22"/>
    <w:rsid w:val="001D1551"/>
    <w:rsid w:val="001D1FAA"/>
    <w:rsid w:val="001D2F86"/>
    <w:rsid w:val="001D303F"/>
    <w:rsid w:val="001D3380"/>
    <w:rsid w:val="001D3CD6"/>
    <w:rsid w:val="001D5215"/>
    <w:rsid w:val="001D64AE"/>
    <w:rsid w:val="001D7215"/>
    <w:rsid w:val="001D7A5E"/>
    <w:rsid w:val="001E0770"/>
    <w:rsid w:val="001E161F"/>
    <w:rsid w:val="001E252F"/>
    <w:rsid w:val="001E4642"/>
    <w:rsid w:val="001E49DE"/>
    <w:rsid w:val="001E510B"/>
    <w:rsid w:val="001E7B26"/>
    <w:rsid w:val="001E7CBF"/>
    <w:rsid w:val="001E7D24"/>
    <w:rsid w:val="001F005F"/>
    <w:rsid w:val="001F0608"/>
    <w:rsid w:val="001F1152"/>
    <w:rsid w:val="001F11AE"/>
    <w:rsid w:val="001F1620"/>
    <w:rsid w:val="001F16E5"/>
    <w:rsid w:val="001F3C70"/>
    <w:rsid w:val="001F4BFD"/>
    <w:rsid w:val="001F4FE1"/>
    <w:rsid w:val="001F5CED"/>
    <w:rsid w:val="001F618C"/>
    <w:rsid w:val="001F64E7"/>
    <w:rsid w:val="001F6BF0"/>
    <w:rsid w:val="001F7B4B"/>
    <w:rsid w:val="002003C3"/>
    <w:rsid w:val="00200F12"/>
    <w:rsid w:val="002011C8"/>
    <w:rsid w:val="00202CAF"/>
    <w:rsid w:val="00203083"/>
    <w:rsid w:val="00203BF6"/>
    <w:rsid w:val="002043CF"/>
    <w:rsid w:val="0020475F"/>
    <w:rsid w:val="00210D76"/>
    <w:rsid w:val="00211D2E"/>
    <w:rsid w:val="002146F6"/>
    <w:rsid w:val="002158C1"/>
    <w:rsid w:val="00216717"/>
    <w:rsid w:val="0021682D"/>
    <w:rsid w:val="002173CD"/>
    <w:rsid w:val="00220C61"/>
    <w:rsid w:val="00221C76"/>
    <w:rsid w:val="002222EB"/>
    <w:rsid w:val="00222A27"/>
    <w:rsid w:val="00222CED"/>
    <w:rsid w:val="0022374F"/>
    <w:rsid w:val="0022444D"/>
    <w:rsid w:val="0022471B"/>
    <w:rsid w:val="0022561D"/>
    <w:rsid w:val="00225B94"/>
    <w:rsid w:val="00227A8F"/>
    <w:rsid w:val="00227B42"/>
    <w:rsid w:val="00227E7C"/>
    <w:rsid w:val="00230935"/>
    <w:rsid w:val="00231E02"/>
    <w:rsid w:val="002331D8"/>
    <w:rsid w:val="00233AE1"/>
    <w:rsid w:val="002342E7"/>
    <w:rsid w:val="0023430A"/>
    <w:rsid w:val="002344A0"/>
    <w:rsid w:val="00234CAC"/>
    <w:rsid w:val="00236D32"/>
    <w:rsid w:val="00240CE3"/>
    <w:rsid w:val="00240D8B"/>
    <w:rsid w:val="00240D9B"/>
    <w:rsid w:val="00242542"/>
    <w:rsid w:val="00242991"/>
    <w:rsid w:val="00242C39"/>
    <w:rsid w:val="00243090"/>
    <w:rsid w:val="00243611"/>
    <w:rsid w:val="002436E7"/>
    <w:rsid w:val="00243886"/>
    <w:rsid w:val="002462B4"/>
    <w:rsid w:val="00247058"/>
    <w:rsid w:val="00247FDB"/>
    <w:rsid w:val="00251404"/>
    <w:rsid w:val="00251BBE"/>
    <w:rsid w:val="00252509"/>
    <w:rsid w:val="00252AFA"/>
    <w:rsid w:val="00253286"/>
    <w:rsid w:val="00254C7D"/>
    <w:rsid w:val="00254F7E"/>
    <w:rsid w:val="00256E64"/>
    <w:rsid w:val="002600B3"/>
    <w:rsid w:val="00260F2C"/>
    <w:rsid w:val="00261923"/>
    <w:rsid w:val="00261EF1"/>
    <w:rsid w:val="002635D4"/>
    <w:rsid w:val="002641C2"/>
    <w:rsid w:val="002657BD"/>
    <w:rsid w:val="0026652A"/>
    <w:rsid w:val="0027108C"/>
    <w:rsid w:val="002715FC"/>
    <w:rsid w:val="00271A2D"/>
    <w:rsid w:val="00272E5A"/>
    <w:rsid w:val="00273F6E"/>
    <w:rsid w:val="002764E6"/>
    <w:rsid w:val="00277035"/>
    <w:rsid w:val="0028003C"/>
    <w:rsid w:val="00280820"/>
    <w:rsid w:val="00280B93"/>
    <w:rsid w:val="0028134C"/>
    <w:rsid w:val="002818DC"/>
    <w:rsid w:val="002850F4"/>
    <w:rsid w:val="0028524D"/>
    <w:rsid w:val="00285A39"/>
    <w:rsid w:val="00285BD7"/>
    <w:rsid w:val="00286FBE"/>
    <w:rsid w:val="00291054"/>
    <w:rsid w:val="002915FE"/>
    <w:rsid w:val="0029166F"/>
    <w:rsid w:val="002924EC"/>
    <w:rsid w:val="002935C2"/>
    <w:rsid w:val="00294391"/>
    <w:rsid w:val="00294954"/>
    <w:rsid w:val="002950E0"/>
    <w:rsid w:val="002959B4"/>
    <w:rsid w:val="00295C33"/>
    <w:rsid w:val="00295D56"/>
    <w:rsid w:val="00296BD5"/>
    <w:rsid w:val="00296BF6"/>
    <w:rsid w:val="00297BC9"/>
    <w:rsid w:val="00297F9F"/>
    <w:rsid w:val="002A4327"/>
    <w:rsid w:val="002A6849"/>
    <w:rsid w:val="002B0694"/>
    <w:rsid w:val="002B0F5F"/>
    <w:rsid w:val="002B18C1"/>
    <w:rsid w:val="002B358A"/>
    <w:rsid w:val="002B4CE5"/>
    <w:rsid w:val="002B6C98"/>
    <w:rsid w:val="002B6DB5"/>
    <w:rsid w:val="002C04D2"/>
    <w:rsid w:val="002C224F"/>
    <w:rsid w:val="002C30D6"/>
    <w:rsid w:val="002C58AF"/>
    <w:rsid w:val="002C7C99"/>
    <w:rsid w:val="002D05FA"/>
    <w:rsid w:val="002D15B7"/>
    <w:rsid w:val="002D3438"/>
    <w:rsid w:val="002D6301"/>
    <w:rsid w:val="002D6FF1"/>
    <w:rsid w:val="002E4137"/>
    <w:rsid w:val="002E4793"/>
    <w:rsid w:val="002E4B7B"/>
    <w:rsid w:val="002E4E4D"/>
    <w:rsid w:val="002E5D9B"/>
    <w:rsid w:val="002E690D"/>
    <w:rsid w:val="002E7192"/>
    <w:rsid w:val="002F07B9"/>
    <w:rsid w:val="002F0B78"/>
    <w:rsid w:val="002F10F4"/>
    <w:rsid w:val="002F1829"/>
    <w:rsid w:val="002F2495"/>
    <w:rsid w:val="002F3D20"/>
    <w:rsid w:val="002F48CD"/>
    <w:rsid w:val="002F4DAC"/>
    <w:rsid w:val="002F6014"/>
    <w:rsid w:val="002F659F"/>
    <w:rsid w:val="002F7CD3"/>
    <w:rsid w:val="00301F0B"/>
    <w:rsid w:val="00304591"/>
    <w:rsid w:val="00304E46"/>
    <w:rsid w:val="003051D9"/>
    <w:rsid w:val="00305573"/>
    <w:rsid w:val="003057F0"/>
    <w:rsid w:val="0030691F"/>
    <w:rsid w:val="00306A0E"/>
    <w:rsid w:val="00306EB8"/>
    <w:rsid w:val="003078BB"/>
    <w:rsid w:val="0031011F"/>
    <w:rsid w:val="00310519"/>
    <w:rsid w:val="003109A5"/>
    <w:rsid w:val="00311C44"/>
    <w:rsid w:val="003130CF"/>
    <w:rsid w:val="00314767"/>
    <w:rsid w:val="00314E7B"/>
    <w:rsid w:val="00315A04"/>
    <w:rsid w:val="00315A6E"/>
    <w:rsid w:val="00315EDC"/>
    <w:rsid w:val="0031607E"/>
    <w:rsid w:val="00316A94"/>
    <w:rsid w:val="00317518"/>
    <w:rsid w:val="00320719"/>
    <w:rsid w:val="00320F37"/>
    <w:rsid w:val="0032166A"/>
    <w:rsid w:val="003222AF"/>
    <w:rsid w:val="00322B0B"/>
    <w:rsid w:val="003258A1"/>
    <w:rsid w:val="0032744A"/>
    <w:rsid w:val="00327BD6"/>
    <w:rsid w:val="00330315"/>
    <w:rsid w:val="0033131F"/>
    <w:rsid w:val="00331E6D"/>
    <w:rsid w:val="003320B9"/>
    <w:rsid w:val="00332470"/>
    <w:rsid w:val="00332962"/>
    <w:rsid w:val="00332CAA"/>
    <w:rsid w:val="00334409"/>
    <w:rsid w:val="00334956"/>
    <w:rsid w:val="00334AF6"/>
    <w:rsid w:val="00335105"/>
    <w:rsid w:val="003359B9"/>
    <w:rsid w:val="00335E34"/>
    <w:rsid w:val="00337EFA"/>
    <w:rsid w:val="00341190"/>
    <w:rsid w:val="0034162A"/>
    <w:rsid w:val="0034174D"/>
    <w:rsid w:val="00341982"/>
    <w:rsid w:val="00342F14"/>
    <w:rsid w:val="0034328B"/>
    <w:rsid w:val="00344905"/>
    <w:rsid w:val="00346F91"/>
    <w:rsid w:val="00347D32"/>
    <w:rsid w:val="0035046C"/>
    <w:rsid w:val="00350C16"/>
    <w:rsid w:val="00351A27"/>
    <w:rsid w:val="0035266C"/>
    <w:rsid w:val="00352895"/>
    <w:rsid w:val="003528E6"/>
    <w:rsid w:val="00352B61"/>
    <w:rsid w:val="0035397C"/>
    <w:rsid w:val="00353BE5"/>
    <w:rsid w:val="00356021"/>
    <w:rsid w:val="0035684F"/>
    <w:rsid w:val="003608A0"/>
    <w:rsid w:val="00360A8E"/>
    <w:rsid w:val="0036100B"/>
    <w:rsid w:val="00364098"/>
    <w:rsid w:val="00364E3D"/>
    <w:rsid w:val="00364EBD"/>
    <w:rsid w:val="003650FD"/>
    <w:rsid w:val="0036676C"/>
    <w:rsid w:val="00367EC8"/>
    <w:rsid w:val="00367FAD"/>
    <w:rsid w:val="003700EE"/>
    <w:rsid w:val="00370A79"/>
    <w:rsid w:val="00371397"/>
    <w:rsid w:val="00372218"/>
    <w:rsid w:val="003742CB"/>
    <w:rsid w:val="0037435D"/>
    <w:rsid w:val="00376E1D"/>
    <w:rsid w:val="0037706A"/>
    <w:rsid w:val="00377B15"/>
    <w:rsid w:val="00377E16"/>
    <w:rsid w:val="003802EF"/>
    <w:rsid w:val="003826F0"/>
    <w:rsid w:val="003829C8"/>
    <w:rsid w:val="00382D63"/>
    <w:rsid w:val="00383223"/>
    <w:rsid w:val="00383A5D"/>
    <w:rsid w:val="00383EEB"/>
    <w:rsid w:val="003855F2"/>
    <w:rsid w:val="00391A60"/>
    <w:rsid w:val="00392086"/>
    <w:rsid w:val="00394929"/>
    <w:rsid w:val="00394A33"/>
    <w:rsid w:val="00395A4F"/>
    <w:rsid w:val="00395AD3"/>
    <w:rsid w:val="00395B1D"/>
    <w:rsid w:val="00395FF9"/>
    <w:rsid w:val="003967EE"/>
    <w:rsid w:val="00396AD3"/>
    <w:rsid w:val="003973ED"/>
    <w:rsid w:val="0039791A"/>
    <w:rsid w:val="003A0159"/>
    <w:rsid w:val="003A1FAB"/>
    <w:rsid w:val="003A33F9"/>
    <w:rsid w:val="003A439F"/>
    <w:rsid w:val="003A533C"/>
    <w:rsid w:val="003A5BB8"/>
    <w:rsid w:val="003A6C1F"/>
    <w:rsid w:val="003A6FE8"/>
    <w:rsid w:val="003B04B2"/>
    <w:rsid w:val="003B0A30"/>
    <w:rsid w:val="003B1BC6"/>
    <w:rsid w:val="003B1D84"/>
    <w:rsid w:val="003B54DF"/>
    <w:rsid w:val="003B74B0"/>
    <w:rsid w:val="003C304A"/>
    <w:rsid w:val="003C3D2F"/>
    <w:rsid w:val="003C5CBF"/>
    <w:rsid w:val="003C6074"/>
    <w:rsid w:val="003C6663"/>
    <w:rsid w:val="003C6F6D"/>
    <w:rsid w:val="003D1D41"/>
    <w:rsid w:val="003D210A"/>
    <w:rsid w:val="003D25D7"/>
    <w:rsid w:val="003D26DE"/>
    <w:rsid w:val="003D2F66"/>
    <w:rsid w:val="003D34C7"/>
    <w:rsid w:val="003D3956"/>
    <w:rsid w:val="003D3A5F"/>
    <w:rsid w:val="003D45EE"/>
    <w:rsid w:val="003D48F4"/>
    <w:rsid w:val="003D4F4C"/>
    <w:rsid w:val="003D5945"/>
    <w:rsid w:val="003D75A2"/>
    <w:rsid w:val="003E0881"/>
    <w:rsid w:val="003E0E1A"/>
    <w:rsid w:val="003E14D0"/>
    <w:rsid w:val="003E17E7"/>
    <w:rsid w:val="003E3948"/>
    <w:rsid w:val="003E4CFB"/>
    <w:rsid w:val="003E5616"/>
    <w:rsid w:val="003E57F1"/>
    <w:rsid w:val="003F2729"/>
    <w:rsid w:val="003F448D"/>
    <w:rsid w:val="003F47EF"/>
    <w:rsid w:val="003F4995"/>
    <w:rsid w:val="003F55CE"/>
    <w:rsid w:val="003F5F12"/>
    <w:rsid w:val="003F66D2"/>
    <w:rsid w:val="003F6D66"/>
    <w:rsid w:val="003F7EEC"/>
    <w:rsid w:val="004016F6"/>
    <w:rsid w:val="004020A2"/>
    <w:rsid w:val="00402265"/>
    <w:rsid w:val="00402F47"/>
    <w:rsid w:val="0040386F"/>
    <w:rsid w:val="00404909"/>
    <w:rsid w:val="0040593F"/>
    <w:rsid w:val="004064B7"/>
    <w:rsid w:val="00410238"/>
    <w:rsid w:val="00410418"/>
    <w:rsid w:val="00410508"/>
    <w:rsid w:val="00410B02"/>
    <w:rsid w:val="00411E51"/>
    <w:rsid w:val="00413064"/>
    <w:rsid w:val="00413B37"/>
    <w:rsid w:val="004159D4"/>
    <w:rsid w:val="00416388"/>
    <w:rsid w:val="0041712A"/>
    <w:rsid w:val="00421487"/>
    <w:rsid w:val="00421E76"/>
    <w:rsid w:val="00422215"/>
    <w:rsid w:val="00422B74"/>
    <w:rsid w:val="004235D1"/>
    <w:rsid w:val="00423617"/>
    <w:rsid w:val="00423ED9"/>
    <w:rsid w:val="00426DA0"/>
    <w:rsid w:val="00430F2B"/>
    <w:rsid w:val="00431886"/>
    <w:rsid w:val="00432821"/>
    <w:rsid w:val="004333CD"/>
    <w:rsid w:val="00435477"/>
    <w:rsid w:val="004377FA"/>
    <w:rsid w:val="00440A33"/>
    <w:rsid w:val="004434F7"/>
    <w:rsid w:val="00443AA8"/>
    <w:rsid w:val="00443F58"/>
    <w:rsid w:val="00446766"/>
    <w:rsid w:val="00446802"/>
    <w:rsid w:val="00447AF8"/>
    <w:rsid w:val="00447F12"/>
    <w:rsid w:val="004506EA"/>
    <w:rsid w:val="004514E0"/>
    <w:rsid w:val="00451D91"/>
    <w:rsid w:val="00451FA6"/>
    <w:rsid w:val="00453073"/>
    <w:rsid w:val="00453442"/>
    <w:rsid w:val="00453E70"/>
    <w:rsid w:val="00454078"/>
    <w:rsid w:val="00454B2F"/>
    <w:rsid w:val="004551A1"/>
    <w:rsid w:val="004562E1"/>
    <w:rsid w:val="00456ACD"/>
    <w:rsid w:val="00456EA8"/>
    <w:rsid w:val="0045780F"/>
    <w:rsid w:val="0046058D"/>
    <w:rsid w:val="00460D07"/>
    <w:rsid w:val="0046190B"/>
    <w:rsid w:val="00462016"/>
    <w:rsid w:val="00462786"/>
    <w:rsid w:val="00463E2E"/>
    <w:rsid w:val="00465269"/>
    <w:rsid w:val="0046688F"/>
    <w:rsid w:val="004669A9"/>
    <w:rsid w:val="004674FD"/>
    <w:rsid w:val="004677F5"/>
    <w:rsid w:val="00470356"/>
    <w:rsid w:val="00471013"/>
    <w:rsid w:val="004740DB"/>
    <w:rsid w:val="00474DF4"/>
    <w:rsid w:val="0047525D"/>
    <w:rsid w:val="004753E4"/>
    <w:rsid w:val="00475606"/>
    <w:rsid w:val="00475B5B"/>
    <w:rsid w:val="00475C7B"/>
    <w:rsid w:val="00476673"/>
    <w:rsid w:val="00476E7D"/>
    <w:rsid w:val="00480123"/>
    <w:rsid w:val="00480932"/>
    <w:rsid w:val="0048220A"/>
    <w:rsid w:val="00482658"/>
    <w:rsid w:val="00484A6D"/>
    <w:rsid w:val="00486834"/>
    <w:rsid w:val="00487018"/>
    <w:rsid w:val="00487966"/>
    <w:rsid w:val="00487D40"/>
    <w:rsid w:val="00490945"/>
    <w:rsid w:val="004923E7"/>
    <w:rsid w:val="0049363D"/>
    <w:rsid w:val="0049483F"/>
    <w:rsid w:val="00495DFF"/>
    <w:rsid w:val="004960FC"/>
    <w:rsid w:val="00496DDF"/>
    <w:rsid w:val="004A0C03"/>
    <w:rsid w:val="004A0C36"/>
    <w:rsid w:val="004A1144"/>
    <w:rsid w:val="004A3245"/>
    <w:rsid w:val="004A4328"/>
    <w:rsid w:val="004A62D3"/>
    <w:rsid w:val="004B3605"/>
    <w:rsid w:val="004B3ED0"/>
    <w:rsid w:val="004B3FCC"/>
    <w:rsid w:val="004B649E"/>
    <w:rsid w:val="004B6F0F"/>
    <w:rsid w:val="004B7358"/>
    <w:rsid w:val="004C1118"/>
    <w:rsid w:val="004C200B"/>
    <w:rsid w:val="004C3E99"/>
    <w:rsid w:val="004C4395"/>
    <w:rsid w:val="004C54EE"/>
    <w:rsid w:val="004C5563"/>
    <w:rsid w:val="004C59F9"/>
    <w:rsid w:val="004C5ADA"/>
    <w:rsid w:val="004C7395"/>
    <w:rsid w:val="004C793A"/>
    <w:rsid w:val="004D044C"/>
    <w:rsid w:val="004D1A85"/>
    <w:rsid w:val="004D2A8C"/>
    <w:rsid w:val="004D2F70"/>
    <w:rsid w:val="004D482F"/>
    <w:rsid w:val="004D50D5"/>
    <w:rsid w:val="004D6D24"/>
    <w:rsid w:val="004D6E84"/>
    <w:rsid w:val="004D76C4"/>
    <w:rsid w:val="004E086B"/>
    <w:rsid w:val="004E3207"/>
    <w:rsid w:val="004E4328"/>
    <w:rsid w:val="004E4C75"/>
    <w:rsid w:val="004E5EB2"/>
    <w:rsid w:val="004E5FF9"/>
    <w:rsid w:val="004E6032"/>
    <w:rsid w:val="004E61A0"/>
    <w:rsid w:val="004E6B6A"/>
    <w:rsid w:val="004F02BC"/>
    <w:rsid w:val="004F0619"/>
    <w:rsid w:val="004F2582"/>
    <w:rsid w:val="004F457A"/>
    <w:rsid w:val="004F4F50"/>
    <w:rsid w:val="004F4FE7"/>
    <w:rsid w:val="004F5E72"/>
    <w:rsid w:val="00501212"/>
    <w:rsid w:val="0050173D"/>
    <w:rsid w:val="00501A89"/>
    <w:rsid w:val="00501B5D"/>
    <w:rsid w:val="005026ED"/>
    <w:rsid w:val="0050338C"/>
    <w:rsid w:val="005033AB"/>
    <w:rsid w:val="005068A0"/>
    <w:rsid w:val="0050768E"/>
    <w:rsid w:val="00510B7F"/>
    <w:rsid w:val="0051180F"/>
    <w:rsid w:val="00511F6E"/>
    <w:rsid w:val="00512CD9"/>
    <w:rsid w:val="00512E76"/>
    <w:rsid w:val="005133F3"/>
    <w:rsid w:val="00513549"/>
    <w:rsid w:val="00513CFC"/>
    <w:rsid w:val="0051405C"/>
    <w:rsid w:val="00514A4C"/>
    <w:rsid w:val="00515984"/>
    <w:rsid w:val="00516784"/>
    <w:rsid w:val="00517184"/>
    <w:rsid w:val="00517B3B"/>
    <w:rsid w:val="0052279F"/>
    <w:rsid w:val="00522C2F"/>
    <w:rsid w:val="00522CFD"/>
    <w:rsid w:val="00524CD5"/>
    <w:rsid w:val="0052530A"/>
    <w:rsid w:val="005263A3"/>
    <w:rsid w:val="005270B5"/>
    <w:rsid w:val="00527B7F"/>
    <w:rsid w:val="005304BD"/>
    <w:rsid w:val="00530581"/>
    <w:rsid w:val="005307A0"/>
    <w:rsid w:val="00533911"/>
    <w:rsid w:val="00533F4A"/>
    <w:rsid w:val="00534C44"/>
    <w:rsid w:val="0053519D"/>
    <w:rsid w:val="00535323"/>
    <w:rsid w:val="00535B5F"/>
    <w:rsid w:val="005369A3"/>
    <w:rsid w:val="005376B7"/>
    <w:rsid w:val="00540463"/>
    <w:rsid w:val="00540497"/>
    <w:rsid w:val="00541C17"/>
    <w:rsid w:val="005437E1"/>
    <w:rsid w:val="0054650B"/>
    <w:rsid w:val="00546B41"/>
    <w:rsid w:val="00546FBB"/>
    <w:rsid w:val="005470D8"/>
    <w:rsid w:val="00547E2B"/>
    <w:rsid w:val="00550DC0"/>
    <w:rsid w:val="00550FBE"/>
    <w:rsid w:val="005517F8"/>
    <w:rsid w:val="0055182E"/>
    <w:rsid w:val="00551A7B"/>
    <w:rsid w:val="00551ACE"/>
    <w:rsid w:val="005522CD"/>
    <w:rsid w:val="00552494"/>
    <w:rsid w:val="00553ED7"/>
    <w:rsid w:val="005547D9"/>
    <w:rsid w:val="005548AE"/>
    <w:rsid w:val="00554D10"/>
    <w:rsid w:val="00555AD6"/>
    <w:rsid w:val="00555E7B"/>
    <w:rsid w:val="00557266"/>
    <w:rsid w:val="00557D5B"/>
    <w:rsid w:val="005626A2"/>
    <w:rsid w:val="00562B26"/>
    <w:rsid w:val="00563528"/>
    <w:rsid w:val="00564A79"/>
    <w:rsid w:val="0056636D"/>
    <w:rsid w:val="0056713B"/>
    <w:rsid w:val="00567DA6"/>
    <w:rsid w:val="005701E9"/>
    <w:rsid w:val="00570F99"/>
    <w:rsid w:val="005713A3"/>
    <w:rsid w:val="00571AC5"/>
    <w:rsid w:val="0057245D"/>
    <w:rsid w:val="00572C52"/>
    <w:rsid w:val="00572DA9"/>
    <w:rsid w:val="0057409E"/>
    <w:rsid w:val="005741F6"/>
    <w:rsid w:val="00575457"/>
    <w:rsid w:val="00576DDD"/>
    <w:rsid w:val="00577C9B"/>
    <w:rsid w:val="00577FE1"/>
    <w:rsid w:val="0058023D"/>
    <w:rsid w:val="00580D78"/>
    <w:rsid w:val="00580E38"/>
    <w:rsid w:val="00580F83"/>
    <w:rsid w:val="005810EF"/>
    <w:rsid w:val="00582E35"/>
    <w:rsid w:val="00583672"/>
    <w:rsid w:val="00583820"/>
    <w:rsid w:val="0058404F"/>
    <w:rsid w:val="00584098"/>
    <w:rsid w:val="00585B77"/>
    <w:rsid w:val="00586471"/>
    <w:rsid w:val="00587AB0"/>
    <w:rsid w:val="00590EE3"/>
    <w:rsid w:val="005916FA"/>
    <w:rsid w:val="00591C4C"/>
    <w:rsid w:val="00592617"/>
    <w:rsid w:val="00593AEA"/>
    <w:rsid w:val="00593BD3"/>
    <w:rsid w:val="00594111"/>
    <w:rsid w:val="005953A9"/>
    <w:rsid w:val="00596E9E"/>
    <w:rsid w:val="00597010"/>
    <w:rsid w:val="00597D56"/>
    <w:rsid w:val="005A020F"/>
    <w:rsid w:val="005A12B2"/>
    <w:rsid w:val="005A2B04"/>
    <w:rsid w:val="005A2E4E"/>
    <w:rsid w:val="005A38EE"/>
    <w:rsid w:val="005A397E"/>
    <w:rsid w:val="005A45B1"/>
    <w:rsid w:val="005A5025"/>
    <w:rsid w:val="005A59E1"/>
    <w:rsid w:val="005A66F1"/>
    <w:rsid w:val="005A6E2C"/>
    <w:rsid w:val="005B28A4"/>
    <w:rsid w:val="005B3A71"/>
    <w:rsid w:val="005B5FAF"/>
    <w:rsid w:val="005C11B0"/>
    <w:rsid w:val="005C1B72"/>
    <w:rsid w:val="005C29FA"/>
    <w:rsid w:val="005C2B43"/>
    <w:rsid w:val="005C2C09"/>
    <w:rsid w:val="005C6131"/>
    <w:rsid w:val="005C6C17"/>
    <w:rsid w:val="005C6D34"/>
    <w:rsid w:val="005C6D45"/>
    <w:rsid w:val="005D0A24"/>
    <w:rsid w:val="005D0D3E"/>
    <w:rsid w:val="005D45FC"/>
    <w:rsid w:val="005D481C"/>
    <w:rsid w:val="005D4DD1"/>
    <w:rsid w:val="005D4E9B"/>
    <w:rsid w:val="005D50AC"/>
    <w:rsid w:val="005D593C"/>
    <w:rsid w:val="005E062A"/>
    <w:rsid w:val="005E12BF"/>
    <w:rsid w:val="005E527F"/>
    <w:rsid w:val="005E5834"/>
    <w:rsid w:val="005E78BB"/>
    <w:rsid w:val="005F044C"/>
    <w:rsid w:val="005F0DB5"/>
    <w:rsid w:val="005F17FF"/>
    <w:rsid w:val="005F2B4C"/>
    <w:rsid w:val="005F35D9"/>
    <w:rsid w:val="005F5498"/>
    <w:rsid w:val="005F652E"/>
    <w:rsid w:val="00600300"/>
    <w:rsid w:val="006004E3"/>
    <w:rsid w:val="006037F2"/>
    <w:rsid w:val="006041BE"/>
    <w:rsid w:val="0060428B"/>
    <w:rsid w:val="0060552C"/>
    <w:rsid w:val="00605BBE"/>
    <w:rsid w:val="00606075"/>
    <w:rsid w:val="00606EA6"/>
    <w:rsid w:val="00610324"/>
    <w:rsid w:val="00610E8B"/>
    <w:rsid w:val="00610ED5"/>
    <w:rsid w:val="006115D6"/>
    <w:rsid w:val="006120D9"/>
    <w:rsid w:val="00613929"/>
    <w:rsid w:val="00613DBF"/>
    <w:rsid w:val="00613E88"/>
    <w:rsid w:val="00614F97"/>
    <w:rsid w:val="006152F1"/>
    <w:rsid w:val="006156FB"/>
    <w:rsid w:val="00615FC8"/>
    <w:rsid w:val="00616621"/>
    <w:rsid w:val="00620BBC"/>
    <w:rsid w:val="006227DF"/>
    <w:rsid w:val="0062291D"/>
    <w:rsid w:val="00622BC3"/>
    <w:rsid w:val="00622E73"/>
    <w:rsid w:val="006239F5"/>
    <w:rsid w:val="00624D6D"/>
    <w:rsid w:val="00625899"/>
    <w:rsid w:val="006261E0"/>
    <w:rsid w:val="00627144"/>
    <w:rsid w:val="00627424"/>
    <w:rsid w:val="00630E5A"/>
    <w:rsid w:val="0063152C"/>
    <w:rsid w:val="0063169F"/>
    <w:rsid w:val="00631D0F"/>
    <w:rsid w:val="0063274E"/>
    <w:rsid w:val="00633676"/>
    <w:rsid w:val="00633B51"/>
    <w:rsid w:val="00635190"/>
    <w:rsid w:val="0063547D"/>
    <w:rsid w:val="00635A75"/>
    <w:rsid w:val="00635EB6"/>
    <w:rsid w:val="0063657F"/>
    <w:rsid w:val="00636A3C"/>
    <w:rsid w:val="00637EE3"/>
    <w:rsid w:val="00640FA5"/>
    <w:rsid w:val="006412C0"/>
    <w:rsid w:val="006417A8"/>
    <w:rsid w:val="00641D84"/>
    <w:rsid w:val="00642C90"/>
    <w:rsid w:val="00643673"/>
    <w:rsid w:val="00643717"/>
    <w:rsid w:val="00643A03"/>
    <w:rsid w:val="00643F20"/>
    <w:rsid w:val="00644BD2"/>
    <w:rsid w:val="00644FFF"/>
    <w:rsid w:val="006451F8"/>
    <w:rsid w:val="00645E54"/>
    <w:rsid w:val="006503C6"/>
    <w:rsid w:val="00650C58"/>
    <w:rsid w:val="00651732"/>
    <w:rsid w:val="00652032"/>
    <w:rsid w:val="006522A7"/>
    <w:rsid w:val="00653A70"/>
    <w:rsid w:val="00653C00"/>
    <w:rsid w:val="00655643"/>
    <w:rsid w:val="00655AE8"/>
    <w:rsid w:val="00655DE4"/>
    <w:rsid w:val="00656CF0"/>
    <w:rsid w:val="00656EF0"/>
    <w:rsid w:val="006623FF"/>
    <w:rsid w:val="006626CD"/>
    <w:rsid w:val="00663A85"/>
    <w:rsid w:val="0066483E"/>
    <w:rsid w:val="00665FAD"/>
    <w:rsid w:val="00666356"/>
    <w:rsid w:val="00666CAD"/>
    <w:rsid w:val="00667B82"/>
    <w:rsid w:val="006700F9"/>
    <w:rsid w:val="00670D2E"/>
    <w:rsid w:val="00671EC3"/>
    <w:rsid w:val="006720D9"/>
    <w:rsid w:val="00672B83"/>
    <w:rsid w:val="00673E90"/>
    <w:rsid w:val="006755DF"/>
    <w:rsid w:val="00675DC1"/>
    <w:rsid w:val="00680930"/>
    <w:rsid w:val="00680E60"/>
    <w:rsid w:val="00681ECE"/>
    <w:rsid w:val="00682F32"/>
    <w:rsid w:val="00686F61"/>
    <w:rsid w:val="00687F92"/>
    <w:rsid w:val="00690628"/>
    <w:rsid w:val="00691958"/>
    <w:rsid w:val="00692B27"/>
    <w:rsid w:val="00693287"/>
    <w:rsid w:val="006934F3"/>
    <w:rsid w:val="00693ED8"/>
    <w:rsid w:val="00694B2B"/>
    <w:rsid w:val="0069578B"/>
    <w:rsid w:val="006A041A"/>
    <w:rsid w:val="006A06AC"/>
    <w:rsid w:val="006A0872"/>
    <w:rsid w:val="006A10E1"/>
    <w:rsid w:val="006A307F"/>
    <w:rsid w:val="006A4B30"/>
    <w:rsid w:val="006A67A7"/>
    <w:rsid w:val="006A7DCF"/>
    <w:rsid w:val="006B0159"/>
    <w:rsid w:val="006B07DA"/>
    <w:rsid w:val="006B0ACC"/>
    <w:rsid w:val="006B162F"/>
    <w:rsid w:val="006B1670"/>
    <w:rsid w:val="006B1915"/>
    <w:rsid w:val="006B38F3"/>
    <w:rsid w:val="006B6C99"/>
    <w:rsid w:val="006C089E"/>
    <w:rsid w:val="006C2094"/>
    <w:rsid w:val="006C2D08"/>
    <w:rsid w:val="006C2E43"/>
    <w:rsid w:val="006C3285"/>
    <w:rsid w:val="006C3332"/>
    <w:rsid w:val="006C37D4"/>
    <w:rsid w:val="006C4CAF"/>
    <w:rsid w:val="006C619C"/>
    <w:rsid w:val="006D0648"/>
    <w:rsid w:val="006D0C5C"/>
    <w:rsid w:val="006D2C23"/>
    <w:rsid w:val="006D3173"/>
    <w:rsid w:val="006D3C00"/>
    <w:rsid w:val="006D4408"/>
    <w:rsid w:val="006D520C"/>
    <w:rsid w:val="006D589C"/>
    <w:rsid w:val="006D7981"/>
    <w:rsid w:val="006E0809"/>
    <w:rsid w:val="006E0EF0"/>
    <w:rsid w:val="006E0FCA"/>
    <w:rsid w:val="006E2652"/>
    <w:rsid w:val="006E2B88"/>
    <w:rsid w:val="006E2BC7"/>
    <w:rsid w:val="006E3D04"/>
    <w:rsid w:val="006E40B8"/>
    <w:rsid w:val="006E4350"/>
    <w:rsid w:val="006E47DB"/>
    <w:rsid w:val="006E4EDE"/>
    <w:rsid w:val="006E529C"/>
    <w:rsid w:val="006E5BBA"/>
    <w:rsid w:val="006F014A"/>
    <w:rsid w:val="006F16E2"/>
    <w:rsid w:val="006F39EF"/>
    <w:rsid w:val="006F3BE9"/>
    <w:rsid w:val="006F5708"/>
    <w:rsid w:val="006F59A6"/>
    <w:rsid w:val="006F66C5"/>
    <w:rsid w:val="006F6BD0"/>
    <w:rsid w:val="006F75E7"/>
    <w:rsid w:val="007006F0"/>
    <w:rsid w:val="00701150"/>
    <w:rsid w:val="00701157"/>
    <w:rsid w:val="00701614"/>
    <w:rsid w:val="00701A3F"/>
    <w:rsid w:val="0070357F"/>
    <w:rsid w:val="00703E1B"/>
    <w:rsid w:val="00704759"/>
    <w:rsid w:val="007058BE"/>
    <w:rsid w:val="00706AE1"/>
    <w:rsid w:val="00706B3C"/>
    <w:rsid w:val="00710CAF"/>
    <w:rsid w:val="00710D9D"/>
    <w:rsid w:val="00714C6A"/>
    <w:rsid w:val="00717343"/>
    <w:rsid w:val="00720BEF"/>
    <w:rsid w:val="00720CE8"/>
    <w:rsid w:val="00721150"/>
    <w:rsid w:val="00721229"/>
    <w:rsid w:val="007218EC"/>
    <w:rsid w:val="007219B9"/>
    <w:rsid w:val="00721EA9"/>
    <w:rsid w:val="00722985"/>
    <w:rsid w:val="00722F90"/>
    <w:rsid w:val="0072464F"/>
    <w:rsid w:val="00724B8A"/>
    <w:rsid w:val="00724CE0"/>
    <w:rsid w:val="007255F5"/>
    <w:rsid w:val="0073034B"/>
    <w:rsid w:val="0073061C"/>
    <w:rsid w:val="00732327"/>
    <w:rsid w:val="007326E1"/>
    <w:rsid w:val="00732DBB"/>
    <w:rsid w:val="007344C9"/>
    <w:rsid w:val="00734AF8"/>
    <w:rsid w:val="00735A1B"/>
    <w:rsid w:val="00735BF1"/>
    <w:rsid w:val="007365D6"/>
    <w:rsid w:val="00737C13"/>
    <w:rsid w:val="007402E1"/>
    <w:rsid w:val="00740B63"/>
    <w:rsid w:val="00741345"/>
    <w:rsid w:val="00742300"/>
    <w:rsid w:val="007442BC"/>
    <w:rsid w:val="00744566"/>
    <w:rsid w:val="00745557"/>
    <w:rsid w:val="00746F7F"/>
    <w:rsid w:val="00747098"/>
    <w:rsid w:val="00747819"/>
    <w:rsid w:val="00747822"/>
    <w:rsid w:val="00750EC9"/>
    <w:rsid w:val="0075217E"/>
    <w:rsid w:val="00752FFC"/>
    <w:rsid w:val="00755ABB"/>
    <w:rsid w:val="00755F2F"/>
    <w:rsid w:val="00756681"/>
    <w:rsid w:val="007566AD"/>
    <w:rsid w:val="00756CFF"/>
    <w:rsid w:val="0075798A"/>
    <w:rsid w:val="00757E00"/>
    <w:rsid w:val="0076026F"/>
    <w:rsid w:val="00761B92"/>
    <w:rsid w:val="00762FAA"/>
    <w:rsid w:val="007638C7"/>
    <w:rsid w:val="007639AD"/>
    <w:rsid w:val="00763E6F"/>
    <w:rsid w:val="00764317"/>
    <w:rsid w:val="00764B8A"/>
    <w:rsid w:val="00765163"/>
    <w:rsid w:val="00765719"/>
    <w:rsid w:val="0076699C"/>
    <w:rsid w:val="00766A95"/>
    <w:rsid w:val="00770719"/>
    <w:rsid w:val="0077091C"/>
    <w:rsid w:val="00771129"/>
    <w:rsid w:val="00772DC0"/>
    <w:rsid w:val="00772F43"/>
    <w:rsid w:val="007740B9"/>
    <w:rsid w:val="007743D6"/>
    <w:rsid w:val="00775C5B"/>
    <w:rsid w:val="00775E74"/>
    <w:rsid w:val="007760BC"/>
    <w:rsid w:val="00776FF1"/>
    <w:rsid w:val="007803B2"/>
    <w:rsid w:val="007803EB"/>
    <w:rsid w:val="0078072E"/>
    <w:rsid w:val="007813D2"/>
    <w:rsid w:val="0078434D"/>
    <w:rsid w:val="00784A91"/>
    <w:rsid w:val="00785FC3"/>
    <w:rsid w:val="00787925"/>
    <w:rsid w:val="007901E0"/>
    <w:rsid w:val="00790533"/>
    <w:rsid w:val="00790736"/>
    <w:rsid w:val="00790890"/>
    <w:rsid w:val="00792D55"/>
    <w:rsid w:val="00794B1B"/>
    <w:rsid w:val="007957FA"/>
    <w:rsid w:val="00795DCA"/>
    <w:rsid w:val="00795E76"/>
    <w:rsid w:val="00796A90"/>
    <w:rsid w:val="0079729F"/>
    <w:rsid w:val="00797F23"/>
    <w:rsid w:val="007A0A35"/>
    <w:rsid w:val="007A0AFA"/>
    <w:rsid w:val="007A0BD7"/>
    <w:rsid w:val="007A1637"/>
    <w:rsid w:val="007A27D0"/>
    <w:rsid w:val="007A2E27"/>
    <w:rsid w:val="007A3AE4"/>
    <w:rsid w:val="007A3F29"/>
    <w:rsid w:val="007A417F"/>
    <w:rsid w:val="007A464A"/>
    <w:rsid w:val="007A474B"/>
    <w:rsid w:val="007A4ED7"/>
    <w:rsid w:val="007A5103"/>
    <w:rsid w:val="007A5B42"/>
    <w:rsid w:val="007A625F"/>
    <w:rsid w:val="007A7568"/>
    <w:rsid w:val="007A7623"/>
    <w:rsid w:val="007B02F0"/>
    <w:rsid w:val="007B0651"/>
    <w:rsid w:val="007B2EB4"/>
    <w:rsid w:val="007B6204"/>
    <w:rsid w:val="007B6F94"/>
    <w:rsid w:val="007C05CF"/>
    <w:rsid w:val="007C1E64"/>
    <w:rsid w:val="007C2859"/>
    <w:rsid w:val="007C582D"/>
    <w:rsid w:val="007C6EC1"/>
    <w:rsid w:val="007C782B"/>
    <w:rsid w:val="007D0B2D"/>
    <w:rsid w:val="007D1102"/>
    <w:rsid w:val="007D16E9"/>
    <w:rsid w:val="007D204A"/>
    <w:rsid w:val="007D443A"/>
    <w:rsid w:val="007D4FD5"/>
    <w:rsid w:val="007D5A5E"/>
    <w:rsid w:val="007D70D7"/>
    <w:rsid w:val="007E0F90"/>
    <w:rsid w:val="007E1B2A"/>
    <w:rsid w:val="007E1C08"/>
    <w:rsid w:val="007E4B5A"/>
    <w:rsid w:val="007E5FA3"/>
    <w:rsid w:val="007F0C90"/>
    <w:rsid w:val="007F331A"/>
    <w:rsid w:val="007F3C3D"/>
    <w:rsid w:val="007F4361"/>
    <w:rsid w:val="007F4DF3"/>
    <w:rsid w:val="007F6C9D"/>
    <w:rsid w:val="007F71BA"/>
    <w:rsid w:val="007F76A5"/>
    <w:rsid w:val="007F7D8B"/>
    <w:rsid w:val="0080043F"/>
    <w:rsid w:val="008013BD"/>
    <w:rsid w:val="008016C7"/>
    <w:rsid w:val="00802752"/>
    <w:rsid w:val="008039FF"/>
    <w:rsid w:val="008049C6"/>
    <w:rsid w:val="00807440"/>
    <w:rsid w:val="00810717"/>
    <w:rsid w:val="00813577"/>
    <w:rsid w:val="00813A50"/>
    <w:rsid w:val="00814B1D"/>
    <w:rsid w:val="0081669D"/>
    <w:rsid w:val="00816E50"/>
    <w:rsid w:val="00821335"/>
    <w:rsid w:val="0082241B"/>
    <w:rsid w:val="008238A1"/>
    <w:rsid w:val="00824B1A"/>
    <w:rsid w:val="00824E42"/>
    <w:rsid w:val="0082547A"/>
    <w:rsid w:val="00825CFC"/>
    <w:rsid w:val="008261AD"/>
    <w:rsid w:val="008264E7"/>
    <w:rsid w:val="00826718"/>
    <w:rsid w:val="0082710B"/>
    <w:rsid w:val="008272D9"/>
    <w:rsid w:val="00830148"/>
    <w:rsid w:val="008308F9"/>
    <w:rsid w:val="0083216E"/>
    <w:rsid w:val="00832524"/>
    <w:rsid w:val="00833CEC"/>
    <w:rsid w:val="00834FE8"/>
    <w:rsid w:val="00835EC0"/>
    <w:rsid w:val="00836899"/>
    <w:rsid w:val="00836A47"/>
    <w:rsid w:val="00837B62"/>
    <w:rsid w:val="0084031C"/>
    <w:rsid w:val="008403C7"/>
    <w:rsid w:val="008404DE"/>
    <w:rsid w:val="0084092C"/>
    <w:rsid w:val="00841367"/>
    <w:rsid w:val="00841848"/>
    <w:rsid w:val="008422E7"/>
    <w:rsid w:val="00842427"/>
    <w:rsid w:val="00842B77"/>
    <w:rsid w:val="008436BD"/>
    <w:rsid w:val="00846971"/>
    <w:rsid w:val="00847607"/>
    <w:rsid w:val="008505D5"/>
    <w:rsid w:val="00850892"/>
    <w:rsid w:val="0085292E"/>
    <w:rsid w:val="00852A4F"/>
    <w:rsid w:val="00853977"/>
    <w:rsid w:val="0085501B"/>
    <w:rsid w:val="0085510F"/>
    <w:rsid w:val="008572A5"/>
    <w:rsid w:val="00857B6A"/>
    <w:rsid w:val="008601F7"/>
    <w:rsid w:val="00860FAC"/>
    <w:rsid w:val="00862DF5"/>
    <w:rsid w:val="00862F81"/>
    <w:rsid w:val="00863E5F"/>
    <w:rsid w:val="00864748"/>
    <w:rsid w:val="008647B3"/>
    <w:rsid w:val="00864EE0"/>
    <w:rsid w:val="00865AEC"/>
    <w:rsid w:val="008664C1"/>
    <w:rsid w:val="00866932"/>
    <w:rsid w:val="00867049"/>
    <w:rsid w:val="0086731C"/>
    <w:rsid w:val="00867AB5"/>
    <w:rsid w:val="00867EE4"/>
    <w:rsid w:val="00870DC8"/>
    <w:rsid w:val="00871DF7"/>
    <w:rsid w:val="0087257E"/>
    <w:rsid w:val="00873528"/>
    <w:rsid w:val="00874381"/>
    <w:rsid w:val="00874AF4"/>
    <w:rsid w:val="00874B30"/>
    <w:rsid w:val="00874F86"/>
    <w:rsid w:val="00875ACC"/>
    <w:rsid w:val="00881182"/>
    <w:rsid w:val="00883548"/>
    <w:rsid w:val="00884746"/>
    <w:rsid w:val="00885601"/>
    <w:rsid w:val="008865A6"/>
    <w:rsid w:val="0088700B"/>
    <w:rsid w:val="008870B8"/>
    <w:rsid w:val="00887C5F"/>
    <w:rsid w:val="00887EEA"/>
    <w:rsid w:val="008934E5"/>
    <w:rsid w:val="0089388F"/>
    <w:rsid w:val="00894D81"/>
    <w:rsid w:val="00895457"/>
    <w:rsid w:val="008954AA"/>
    <w:rsid w:val="008954AE"/>
    <w:rsid w:val="008954CA"/>
    <w:rsid w:val="0089565A"/>
    <w:rsid w:val="00895B59"/>
    <w:rsid w:val="00897506"/>
    <w:rsid w:val="008A0A6D"/>
    <w:rsid w:val="008A145F"/>
    <w:rsid w:val="008A1BB4"/>
    <w:rsid w:val="008A1FDD"/>
    <w:rsid w:val="008A2385"/>
    <w:rsid w:val="008A3CFC"/>
    <w:rsid w:val="008A487B"/>
    <w:rsid w:val="008A5108"/>
    <w:rsid w:val="008A62A4"/>
    <w:rsid w:val="008A6DF9"/>
    <w:rsid w:val="008A7401"/>
    <w:rsid w:val="008A7525"/>
    <w:rsid w:val="008A7A3A"/>
    <w:rsid w:val="008B0C83"/>
    <w:rsid w:val="008B0F99"/>
    <w:rsid w:val="008B380F"/>
    <w:rsid w:val="008B702F"/>
    <w:rsid w:val="008B778F"/>
    <w:rsid w:val="008B7FA3"/>
    <w:rsid w:val="008C0026"/>
    <w:rsid w:val="008C2772"/>
    <w:rsid w:val="008C2A68"/>
    <w:rsid w:val="008C3029"/>
    <w:rsid w:val="008C3701"/>
    <w:rsid w:val="008C380C"/>
    <w:rsid w:val="008C3897"/>
    <w:rsid w:val="008C416C"/>
    <w:rsid w:val="008C4306"/>
    <w:rsid w:val="008C433E"/>
    <w:rsid w:val="008C4813"/>
    <w:rsid w:val="008C63F3"/>
    <w:rsid w:val="008C6E29"/>
    <w:rsid w:val="008C7539"/>
    <w:rsid w:val="008C7FFD"/>
    <w:rsid w:val="008D15C6"/>
    <w:rsid w:val="008D1733"/>
    <w:rsid w:val="008D25C1"/>
    <w:rsid w:val="008D2990"/>
    <w:rsid w:val="008D2C6B"/>
    <w:rsid w:val="008D5642"/>
    <w:rsid w:val="008D5F06"/>
    <w:rsid w:val="008D6B03"/>
    <w:rsid w:val="008E0123"/>
    <w:rsid w:val="008E066D"/>
    <w:rsid w:val="008E09C0"/>
    <w:rsid w:val="008E0F48"/>
    <w:rsid w:val="008E1F1D"/>
    <w:rsid w:val="008E1F4A"/>
    <w:rsid w:val="008E2CC7"/>
    <w:rsid w:val="008E6926"/>
    <w:rsid w:val="008E7D2E"/>
    <w:rsid w:val="008F0760"/>
    <w:rsid w:val="008F10C7"/>
    <w:rsid w:val="008F24A5"/>
    <w:rsid w:val="008F4542"/>
    <w:rsid w:val="008F4628"/>
    <w:rsid w:val="008F46EF"/>
    <w:rsid w:val="008F4FA1"/>
    <w:rsid w:val="008F55E8"/>
    <w:rsid w:val="008F67FF"/>
    <w:rsid w:val="008F681E"/>
    <w:rsid w:val="008F68DA"/>
    <w:rsid w:val="0090047E"/>
    <w:rsid w:val="00900AF1"/>
    <w:rsid w:val="00902693"/>
    <w:rsid w:val="00902E86"/>
    <w:rsid w:val="00903271"/>
    <w:rsid w:val="0090373A"/>
    <w:rsid w:val="0090560F"/>
    <w:rsid w:val="009100B6"/>
    <w:rsid w:val="00911417"/>
    <w:rsid w:val="00912300"/>
    <w:rsid w:val="00912BE4"/>
    <w:rsid w:val="00913A75"/>
    <w:rsid w:val="00913F7B"/>
    <w:rsid w:val="00915619"/>
    <w:rsid w:val="00915F6C"/>
    <w:rsid w:val="0091627B"/>
    <w:rsid w:val="00916798"/>
    <w:rsid w:val="00916A2C"/>
    <w:rsid w:val="009226E5"/>
    <w:rsid w:val="00922912"/>
    <w:rsid w:val="0092375E"/>
    <w:rsid w:val="00924E68"/>
    <w:rsid w:val="009257B4"/>
    <w:rsid w:val="00925FCE"/>
    <w:rsid w:val="009273B6"/>
    <w:rsid w:val="00930EC7"/>
    <w:rsid w:val="00934C73"/>
    <w:rsid w:val="0093503C"/>
    <w:rsid w:val="009351FA"/>
    <w:rsid w:val="0093575E"/>
    <w:rsid w:val="00935FC2"/>
    <w:rsid w:val="00937BE6"/>
    <w:rsid w:val="0094065F"/>
    <w:rsid w:val="00940C7A"/>
    <w:rsid w:val="00941552"/>
    <w:rsid w:val="009416D1"/>
    <w:rsid w:val="00942C48"/>
    <w:rsid w:val="00944C04"/>
    <w:rsid w:val="009459DC"/>
    <w:rsid w:val="00947FA1"/>
    <w:rsid w:val="009506B9"/>
    <w:rsid w:val="009514FF"/>
    <w:rsid w:val="0095165A"/>
    <w:rsid w:val="0095208A"/>
    <w:rsid w:val="009521CE"/>
    <w:rsid w:val="009525C6"/>
    <w:rsid w:val="009530EF"/>
    <w:rsid w:val="00953551"/>
    <w:rsid w:val="00955C5C"/>
    <w:rsid w:val="00956610"/>
    <w:rsid w:val="00956F9B"/>
    <w:rsid w:val="00957517"/>
    <w:rsid w:val="009578D7"/>
    <w:rsid w:val="00960252"/>
    <w:rsid w:val="009619BB"/>
    <w:rsid w:val="00961B14"/>
    <w:rsid w:val="0096267C"/>
    <w:rsid w:val="00963A18"/>
    <w:rsid w:val="00963C5A"/>
    <w:rsid w:val="00964A99"/>
    <w:rsid w:val="00964D83"/>
    <w:rsid w:val="00965F7C"/>
    <w:rsid w:val="009665E2"/>
    <w:rsid w:val="009669EC"/>
    <w:rsid w:val="00967A19"/>
    <w:rsid w:val="009701A9"/>
    <w:rsid w:val="0097039E"/>
    <w:rsid w:val="00970B36"/>
    <w:rsid w:val="009711A1"/>
    <w:rsid w:val="00971F4B"/>
    <w:rsid w:val="00972816"/>
    <w:rsid w:val="00973CEC"/>
    <w:rsid w:val="009753C5"/>
    <w:rsid w:val="00975CB9"/>
    <w:rsid w:val="0097678A"/>
    <w:rsid w:val="00977737"/>
    <w:rsid w:val="009803E5"/>
    <w:rsid w:val="00980A56"/>
    <w:rsid w:val="00981299"/>
    <w:rsid w:val="00981E5F"/>
    <w:rsid w:val="0098202E"/>
    <w:rsid w:val="00983A63"/>
    <w:rsid w:val="0098416E"/>
    <w:rsid w:val="0098429B"/>
    <w:rsid w:val="00984E68"/>
    <w:rsid w:val="00985109"/>
    <w:rsid w:val="00985ED5"/>
    <w:rsid w:val="00987D31"/>
    <w:rsid w:val="00987E7F"/>
    <w:rsid w:val="00990B36"/>
    <w:rsid w:val="00990D46"/>
    <w:rsid w:val="00992B07"/>
    <w:rsid w:val="00993B42"/>
    <w:rsid w:val="0099711C"/>
    <w:rsid w:val="0099753C"/>
    <w:rsid w:val="009A02BC"/>
    <w:rsid w:val="009A051B"/>
    <w:rsid w:val="009A1015"/>
    <w:rsid w:val="009A1B18"/>
    <w:rsid w:val="009A28CE"/>
    <w:rsid w:val="009A323A"/>
    <w:rsid w:val="009A47FA"/>
    <w:rsid w:val="009A5387"/>
    <w:rsid w:val="009B07C3"/>
    <w:rsid w:val="009B1697"/>
    <w:rsid w:val="009B1B79"/>
    <w:rsid w:val="009B22F6"/>
    <w:rsid w:val="009B3421"/>
    <w:rsid w:val="009B3451"/>
    <w:rsid w:val="009B4014"/>
    <w:rsid w:val="009B5C4E"/>
    <w:rsid w:val="009B6CEC"/>
    <w:rsid w:val="009B7502"/>
    <w:rsid w:val="009B7E2B"/>
    <w:rsid w:val="009C07A9"/>
    <w:rsid w:val="009C13B1"/>
    <w:rsid w:val="009C3F82"/>
    <w:rsid w:val="009C4C92"/>
    <w:rsid w:val="009C5870"/>
    <w:rsid w:val="009C5B2E"/>
    <w:rsid w:val="009C6217"/>
    <w:rsid w:val="009D21EF"/>
    <w:rsid w:val="009D2485"/>
    <w:rsid w:val="009D4A22"/>
    <w:rsid w:val="009D62E8"/>
    <w:rsid w:val="009E0A51"/>
    <w:rsid w:val="009E0AED"/>
    <w:rsid w:val="009E1ADE"/>
    <w:rsid w:val="009E283A"/>
    <w:rsid w:val="009E3493"/>
    <w:rsid w:val="009E3D6D"/>
    <w:rsid w:val="009E41FB"/>
    <w:rsid w:val="009E46D4"/>
    <w:rsid w:val="009E48D3"/>
    <w:rsid w:val="009E53AE"/>
    <w:rsid w:val="009E7C6D"/>
    <w:rsid w:val="009E7F1D"/>
    <w:rsid w:val="009F3BCE"/>
    <w:rsid w:val="009F44D7"/>
    <w:rsid w:val="009F4CE7"/>
    <w:rsid w:val="009F5152"/>
    <w:rsid w:val="009F52EB"/>
    <w:rsid w:val="009F5CAB"/>
    <w:rsid w:val="009F745C"/>
    <w:rsid w:val="00A00340"/>
    <w:rsid w:val="00A005FA"/>
    <w:rsid w:val="00A01686"/>
    <w:rsid w:val="00A02AC1"/>
    <w:rsid w:val="00A04121"/>
    <w:rsid w:val="00A04309"/>
    <w:rsid w:val="00A0476C"/>
    <w:rsid w:val="00A04A21"/>
    <w:rsid w:val="00A052E0"/>
    <w:rsid w:val="00A054AB"/>
    <w:rsid w:val="00A05FF7"/>
    <w:rsid w:val="00A06347"/>
    <w:rsid w:val="00A06C9A"/>
    <w:rsid w:val="00A1049E"/>
    <w:rsid w:val="00A10979"/>
    <w:rsid w:val="00A12442"/>
    <w:rsid w:val="00A133AA"/>
    <w:rsid w:val="00A14055"/>
    <w:rsid w:val="00A14190"/>
    <w:rsid w:val="00A143D6"/>
    <w:rsid w:val="00A15286"/>
    <w:rsid w:val="00A1603B"/>
    <w:rsid w:val="00A16F05"/>
    <w:rsid w:val="00A174D7"/>
    <w:rsid w:val="00A17A6E"/>
    <w:rsid w:val="00A204E3"/>
    <w:rsid w:val="00A222FB"/>
    <w:rsid w:val="00A224E4"/>
    <w:rsid w:val="00A226B6"/>
    <w:rsid w:val="00A22745"/>
    <w:rsid w:val="00A22E1E"/>
    <w:rsid w:val="00A22EE8"/>
    <w:rsid w:val="00A23D6C"/>
    <w:rsid w:val="00A23DFC"/>
    <w:rsid w:val="00A24352"/>
    <w:rsid w:val="00A2496E"/>
    <w:rsid w:val="00A25565"/>
    <w:rsid w:val="00A25E61"/>
    <w:rsid w:val="00A26AFF"/>
    <w:rsid w:val="00A27F31"/>
    <w:rsid w:val="00A31995"/>
    <w:rsid w:val="00A32C77"/>
    <w:rsid w:val="00A33092"/>
    <w:rsid w:val="00A330C9"/>
    <w:rsid w:val="00A33417"/>
    <w:rsid w:val="00A34AC1"/>
    <w:rsid w:val="00A354B5"/>
    <w:rsid w:val="00A3637C"/>
    <w:rsid w:val="00A36821"/>
    <w:rsid w:val="00A36B00"/>
    <w:rsid w:val="00A4056B"/>
    <w:rsid w:val="00A40DCD"/>
    <w:rsid w:val="00A40DF9"/>
    <w:rsid w:val="00A418C6"/>
    <w:rsid w:val="00A41DBC"/>
    <w:rsid w:val="00A43E72"/>
    <w:rsid w:val="00A43EF7"/>
    <w:rsid w:val="00A45452"/>
    <w:rsid w:val="00A46B78"/>
    <w:rsid w:val="00A47965"/>
    <w:rsid w:val="00A47B52"/>
    <w:rsid w:val="00A47F9D"/>
    <w:rsid w:val="00A505B5"/>
    <w:rsid w:val="00A5259B"/>
    <w:rsid w:val="00A52803"/>
    <w:rsid w:val="00A52FAA"/>
    <w:rsid w:val="00A53863"/>
    <w:rsid w:val="00A54D7C"/>
    <w:rsid w:val="00A54EB2"/>
    <w:rsid w:val="00A554E0"/>
    <w:rsid w:val="00A55CD8"/>
    <w:rsid w:val="00A57A49"/>
    <w:rsid w:val="00A6096C"/>
    <w:rsid w:val="00A61AE9"/>
    <w:rsid w:val="00A6267D"/>
    <w:rsid w:val="00A62705"/>
    <w:rsid w:val="00A63174"/>
    <w:rsid w:val="00A651DA"/>
    <w:rsid w:val="00A678AD"/>
    <w:rsid w:val="00A70139"/>
    <w:rsid w:val="00A708A5"/>
    <w:rsid w:val="00A70BE6"/>
    <w:rsid w:val="00A70BEE"/>
    <w:rsid w:val="00A71A39"/>
    <w:rsid w:val="00A73C6D"/>
    <w:rsid w:val="00A74E81"/>
    <w:rsid w:val="00A7552D"/>
    <w:rsid w:val="00A76780"/>
    <w:rsid w:val="00A7788B"/>
    <w:rsid w:val="00A80258"/>
    <w:rsid w:val="00A8056F"/>
    <w:rsid w:val="00A808C9"/>
    <w:rsid w:val="00A83BBC"/>
    <w:rsid w:val="00A84C40"/>
    <w:rsid w:val="00A91577"/>
    <w:rsid w:val="00A91B19"/>
    <w:rsid w:val="00A95C98"/>
    <w:rsid w:val="00A963EA"/>
    <w:rsid w:val="00A9738F"/>
    <w:rsid w:val="00AA0A87"/>
    <w:rsid w:val="00AA158F"/>
    <w:rsid w:val="00AA186C"/>
    <w:rsid w:val="00AA1FA7"/>
    <w:rsid w:val="00AA2111"/>
    <w:rsid w:val="00AA46D1"/>
    <w:rsid w:val="00AA47CA"/>
    <w:rsid w:val="00AA494E"/>
    <w:rsid w:val="00AA577F"/>
    <w:rsid w:val="00AA5873"/>
    <w:rsid w:val="00AA703A"/>
    <w:rsid w:val="00AB2ED1"/>
    <w:rsid w:val="00AB4204"/>
    <w:rsid w:val="00AB5D6B"/>
    <w:rsid w:val="00AB6E71"/>
    <w:rsid w:val="00AB6EE7"/>
    <w:rsid w:val="00AC0FB4"/>
    <w:rsid w:val="00AC11DE"/>
    <w:rsid w:val="00AC1366"/>
    <w:rsid w:val="00AC2D7C"/>
    <w:rsid w:val="00AC31B3"/>
    <w:rsid w:val="00AC3261"/>
    <w:rsid w:val="00AC35A7"/>
    <w:rsid w:val="00AC404C"/>
    <w:rsid w:val="00AC4B7D"/>
    <w:rsid w:val="00AC58FB"/>
    <w:rsid w:val="00AC5962"/>
    <w:rsid w:val="00AC5EBD"/>
    <w:rsid w:val="00AC7E7E"/>
    <w:rsid w:val="00AD0138"/>
    <w:rsid w:val="00AD046A"/>
    <w:rsid w:val="00AD6C2D"/>
    <w:rsid w:val="00AD7100"/>
    <w:rsid w:val="00AD7587"/>
    <w:rsid w:val="00AD7D59"/>
    <w:rsid w:val="00AE01A7"/>
    <w:rsid w:val="00AE0B53"/>
    <w:rsid w:val="00AE0BAF"/>
    <w:rsid w:val="00AE0F4D"/>
    <w:rsid w:val="00AE24A9"/>
    <w:rsid w:val="00AE25E5"/>
    <w:rsid w:val="00AE2657"/>
    <w:rsid w:val="00AE354C"/>
    <w:rsid w:val="00AE4557"/>
    <w:rsid w:val="00AE4ADF"/>
    <w:rsid w:val="00AE4C3D"/>
    <w:rsid w:val="00AE4D45"/>
    <w:rsid w:val="00AE4D57"/>
    <w:rsid w:val="00AE54BD"/>
    <w:rsid w:val="00AE720A"/>
    <w:rsid w:val="00AE7324"/>
    <w:rsid w:val="00AE7910"/>
    <w:rsid w:val="00AF0E31"/>
    <w:rsid w:val="00AF1638"/>
    <w:rsid w:val="00AF16F4"/>
    <w:rsid w:val="00AF2ED4"/>
    <w:rsid w:val="00AF316D"/>
    <w:rsid w:val="00AF3342"/>
    <w:rsid w:val="00AF4D06"/>
    <w:rsid w:val="00AF5823"/>
    <w:rsid w:val="00AF6015"/>
    <w:rsid w:val="00AF782F"/>
    <w:rsid w:val="00B007CD"/>
    <w:rsid w:val="00B01DD0"/>
    <w:rsid w:val="00B0237E"/>
    <w:rsid w:val="00B03C9B"/>
    <w:rsid w:val="00B04080"/>
    <w:rsid w:val="00B043C2"/>
    <w:rsid w:val="00B04B70"/>
    <w:rsid w:val="00B060E3"/>
    <w:rsid w:val="00B06C73"/>
    <w:rsid w:val="00B06E36"/>
    <w:rsid w:val="00B07993"/>
    <w:rsid w:val="00B11A3F"/>
    <w:rsid w:val="00B12210"/>
    <w:rsid w:val="00B1247F"/>
    <w:rsid w:val="00B12502"/>
    <w:rsid w:val="00B137BA"/>
    <w:rsid w:val="00B13800"/>
    <w:rsid w:val="00B152A8"/>
    <w:rsid w:val="00B1544B"/>
    <w:rsid w:val="00B1608B"/>
    <w:rsid w:val="00B16657"/>
    <w:rsid w:val="00B176AE"/>
    <w:rsid w:val="00B179DC"/>
    <w:rsid w:val="00B20478"/>
    <w:rsid w:val="00B20DF3"/>
    <w:rsid w:val="00B2103B"/>
    <w:rsid w:val="00B22B53"/>
    <w:rsid w:val="00B22C8B"/>
    <w:rsid w:val="00B231EC"/>
    <w:rsid w:val="00B2356D"/>
    <w:rsid w:val="00B23B36"/>
    <w:rsid w:val="00B246D0"/>
    <w:rsid w:val="00B24E41"/>
    <w:rsid w:val="00B24E8A"/>
    <w:rsid w:val="00B26005"/>
    <w:rsid w:val="00B2610F"/>
    <w:rsid w:val="00B26226"/>
    <w:rsid w:val="00B30798"/>
    <w:rsid w:val="00B30B5C"/>
    <w:rsid w:val="00B345B2"/>
    <w:rsid w:val="00B345B6"/>
    <w:rsid w:val="00B34934"/>
    <w:rsid w:val="00B367E0"/>
    <w:rsid w:val="00B3765E"/>
    <w:rsid w:val="00B40645"/>
    <w:rsid w:val="00B40795"/>
    <w:rsid w:val="00B417FB"/>
    <w:rsid w:val="00B43357"/>
    <w:rsid w:val="00B44395"/>
    <w:rsid w:val="00B44E03"/>
    <w:rsid w:val="00B459A3"/>
    <w:rsid w:val="00B472D9"/>
    <w:rsid w:val="00B4745A"/>
    <w:rsid w:val="00B47467"/>
    <w:rsid w:val="00B47F0D"/>
    <w:rsid w:val="00B50F74"/>
    <w:rsid w:val="00B514EE"/>
    <w:rsid w:val="00B51C44"/>
    <w:rsid w:val="00B53026"/>
    <w:rsid w:val="00B5403B"/>
    <w:rsid w:val="00B546A4"/>
    <w:rsid w:val="00B556BC"/>
    <w:rsid w:val="00B560C2"/>
    <w:rsid w:val="00B564E4"/>
    <w:rsid w:val="00B61B3D"/>
    <w:rsid w:val="00B61B65"/>
    <w:rsid w:val="00B632C0"/>
    <w:rsid w:val="00B63466"/>
    <w:rsid w:val="00B64406"/>
    <w:rsid w:val="00B645FF"/>
    <w:rsid w:val="00B646E1"/>
    <w:rsid w:val="00B647DD"/>
    <w:rsid w:val="00B64C1D"/>
    <w:rsid w:val="00B64CBE"/>
    <w:rsid w:val="00B65B39"/>
    <w:rsid w:val="00B70730"/>
    <w:rsid w:val="00B70E4F"/>
    <w:rsid w:val="00B71A80"/>
    <w:rsid w:val="00B71B1A"/>
    <w:rsid w:val="00B71CF1"/>
    <w:rsid w:val="00B7329C"/>
    <w:rsid w:val="00B73336"/>
    <w:rsid w:val="00B74755"/>
    <w:rsid w:val="00B75AE0"/>
    <w:rsid w:val="00B77189"/>
    <w:rsid w:val="00B77191"/>
    <w:rsid w:val="00B773B3"/>
    <w:rsid w:val="00B7764E"/>
    <w:rsid w:val="00B8012C"/>
    <w:rsid w:val="00B82053"/>
    <w:rsid w:val="00B83CF1"/>
    <w:rsid w:val="00B84965"/>
    <w:rsid w:val="00B84CBB"/>
    <w:rsid w:val="00B8692C"/>
    <w:rsid w:val="00B86997"/>
    <w:rsid w:val="00B86DCD"/>
    <w:rsid w:val="00B906C2"/>
    <w:rsid w:val="00B91634"/>
    <w:rsid w:val="00B91831"/>
    <w:rsid w:val="00B91B02"/>
    <w:rsid w:val="00B95A1B"/>
    <w:rsid w:val="00B96695"/>
    <w:rsid w:val="00B96C26"/>
    <w:rsid w:val="00B974C1"/>
    <w:rsid w:val="00B97962"/>
    <w:rsid w:val="00BA0119"/>
    <w:rsid w:val="00BA1331"/>
    <w:rsid w:val="00BA15AC"/>
    <w:rsid w:val="00BA28E7"/>
    <w:rsid w:val="00BA3DEA"/>
    <w:rsid w:val="00BA68A0"/>
    <w:rsid w:val="00BA7017"/>
    <w:rsid w:val="00BA7FDF"/>
    <w:rsid w:val="00BB02CC"/>
    <w:rsid w:val="00BB1296"/>
    <w:rsid w:val="00BB187A"/>
    <w:rsid w:val="00BB1EC7"/>
    <w:rsid w:val="00BB233E"/>
    <w:rsid w:val="00BB434C"/>
    <w:rsid w:val="00BB50DC"/>
    <w:rsid w:val="00BB5476"/>
    <w:rsid w:val="00BB5A32"/>
    <w:rsid w:val="00BB71A5"/>
    <w:rsid w:val="00BB7E4A"/>
    <w:rsid w:val="00BC036B"/>
    <w:rsid w:val="00BC0CD3"/>
    <w:rsid w:val="00BC129F"/>
    <w:rsid w:val="00BC16F7"/>
    <w:rsid w:val="00BC19E4"/>
    <w:rsid w:val="00BC1A9A"/>
    <w:rsid w:val="00BC2AFB"/>
    <w:rsid w:val="00BC2DF5"/>
    <w:rsid w:val="00BC2EA2"/>
    <w:rsid w:val="00BC584F"/>
    <w:rsid w:val="00BC6964"/>
    <w:rsid w:val="00BC6D23"/>
    <w:rsid w:val="00BC6FF9"/>
    <w:rsid w:val="00BC7736"/>
    <w:rsid w:val="00BD00E5"/>
    <w:rsid w:val="00BD02CB"/>
    <w:rsid w:val="00BD0AF3"/>
    <w:rsid w:val="00BD3EAE"/>
    <w:rsid w:val="00BD544E"/>
    <w:rsid w:val="00BD65B7"/>
    <w:rsid w:val="00BD70BF"/>
    <w:rsid w:val="00BD77B1"/>
    <w:rsid w:val="00BE1E85"/>
    <w:rsid w:val="00BE450F"/>
    <w:rsid w:val="00BF0BF4"/>
    <w:rsid w:val="00BF1250"/>
    <w:rsid w:val="00BF1D14"/>
    <w:rsid w:val="00BF240D"/>
    <w:rsid w:val="00BF27F3"/>
    <w:rsid w:val="00BF4CF4"/>
    <w:rsid w:val="00BF5521"/>
    <w:rsid w:val="00BF6C77"/>
    <w:rsid w:val="00C004AF"/>
    <w:rsid w:val="00C005C6"/>
    <w:rsid w:val="00C014A2"/>
    <w:rsid w:val="00C02613"/>
    <w:rsid w:val="00C02AD5"/>
    <w:rsid w:val="00C030BF"/>
    <w:rsid w:val="00C034BE"/>
    <w:rsid w:val="00C03F76"/>
    <w:rsid w:val="00C04147"/>
    <w:rsid w:val="00C04510"/>
    <w:rsid w:val="00C04B92"/>
    <w:rsid w:val="00C06A09"/>
    <w:rsid w:val="00C06AF6"/>
    <w:rsid w:val="00C06F5B"/>
    <w:rsid w:val="00C071F3"/>
    <w:rsid w:val="00C0763F"/>
    <w:rsid w:val="00C076A0"/>
    <w:rsid w:val="00C10296"/>
    <w:rsid w:val="00C12594"/>
    <w:rsid w:val="00C127E7"/>
    <w:rsid w:val="00C13253"/>
    <w:rsid w:val="00C132AF"/>
    <w:rsid w:val="00C1336D"/>
    <w:rsid w:val="00C139D0"/>
    <w:rsid w:val="00C1472F"/>
    <w:rsid w:val="00C15221"/>
    <w:rsid w:val="00C17532"/>
    <w:rsid w:val="00C212A5"/>
    <w:rsid w:val="00C21330"/>
    <w:rsid w:val="00C219B2"/>
    <w:rsid w:val="00C22732"/>
    <w:rsid w:val="00C227CE"/>
    <w:rsid w:val="00C22C81"/>
    <w:rsid w:val="00C23ED2"/>
    <w:rsid w:val="00C23FDC"/>
    <w:rsid w:val="00C2527E"/>
    <w:rsid w:val="00C25A11"/>
    <w:rsid w:val="00C27691"/>
    <w:rsid w:val="00C31D67"/>
    <w:rsid w:val="00C31D6B"/>
    <w:rsid w:val="00C3368C"/>
    <w:rsid w:val="00C3532D"/>
    <w:rsid w:val="00C35FDC"/>
    <w:rsid w:val="00C363D9"/>
    <w:rsid w:val="00C37207"/>
    <w:rsid w:val="00C374DB"/>
    <w:rsid w:val="00C37A69"/>
    <w:rsid w:val="00C41299"/>
    <w:rsid w:val="00C4174C"/>
    <w:rsid w:val="00C41FD8"/>
    <w:rsid w:val="00C421C8"/>
    <w:rsid w:val="00C429BC"/>
    <w:rsid w:val="00C43171"/>
    <w:rsid w:val="00C434FB"/>
    <w:rsid w:val="00C439FD"/>
    <w:rsid w:val="00C44524"/>
    <w:rsid w:val="00C44D69"/>
    <w:rsid w:val="00C44EA9"/>
    <w:rsid w:val="00C450B6"/>
    <w:rsid w:val="00C45966"/>
    <w:rsid w:val="00C46665"/>
    <w:rsid w:val="00C5083A"/>
    <w:rsid w:val="00C51198"/>
    <w:rsid w:val="00C53896"/>
    <w:rsid w:val="00C54F48"/>
    <w:rsid w:val="00C55457"/>
    <w:rsid w:val="00C55C82"/>
    <w:rsid w:val="00C56B5B"/>
    <w:rsid w:val="00C57DBA"/>
    <w:rsid w:val="00C61744"/>
    <w:rsid w:val="00C61F04"/>
    <w:rsid w:val="00C62AE1"/>
    <w:rsid w:val="00C66C04"/>
    <w:rsid w:val="00C67424"/>
    <w:rsid w:val="00C67A9C"/>
    <w:rsid w:val="00C706F5"/>
    <w:rsid w:val="00C7160C"/>
    <w:rsid w:val="00C720D0"/>
    <w:rsid w:val="00C72468"/>
    <w:rsid w:val="00C7293D"/>
    <w:rsid w:val="00C72A79"/>
    <w:rsid w:val="00C72DB7"/>
    <w:rsid w:val="00C742CF"/>
    <w:rsid w:val="00C759D4"/>
    <w:rsid w:val="00C75B0D"/>
    <w:rsid w:val="00C765B5"/>
    <w:rsid w:val="00C76D15"/>
    <w:rsid w:val="00C77945"/>
    <w:rsid w:val="00C77E53"/>
    <w:rsid w:val="00C804DC"/>
    <w:rsid w:val="00C80E33"/>
    <w:rsid w:val="00C80F0B"/>
    <w:rsid w:val="00C82C12"/>
    <w:rsid w:val="00C831DA"/>
    <w:rsid w:val="00C84310"/>
    <w:rsid w:val="00C845D0"/>
    <w:rsid w:val="00C8497B"/>
    <w:rsid w:val="00C87C4B"/>
    <w:rsid w:val="00C90CA4"/>
    <w:rsid w:val="00C91B17"/>
    <w:rsid w:val="00C924E6"/>
    <w:rsid w:val="00C94D07"/>
    <w:rsid w:val="00C95ADC"/>
    <w:rsid w:val="00C964DE"/>
    <w:rsid w:val="00C9663A"/>
    <w:rsid w:val="00C97839"/>
    <w:rsid w:val="00C97F19"/>
    <w:rsid w:val="00CA183C"/>
    <w:rsid w:val="00CA19FE"/>
    <w:rsid w:val="00CA271D"/>
    <w:rsid w:val="00CA2801"/>
    <w:rsid w:val="00CA2B98"/>
    <w:rsid w:val="00CA5508"/>
    <w:rsid w:val="00CA6803"/>
    <w:rsid w:val="00CA74E5"/>
    <w:rsid w:val="00CA7BFC"/>
    <w:rsid w:val="00CB040C"/>
    <w:rsid w:val="00CB0E48"/>
    <w:rsid w:val="00CB1D99"/>
    <w:rsid w:val="00CB1E1A"/>
    <w:rsid w:val="00CB3C80"/>
    <w:rsid w:val="00CC1037"/>
    <w:rsid w:val="00CC129C"/>
    <w:rsid w:val="00CC1F9C"/>
    <w:rsid w:val="00CC2C69"/>
    <w:rsid w:val="00CC4272"/>
    <w:rsid w:val="00CC6130"/>
    <w:rsid w:val="00CC77B4"/>
    <w:rsid w:val="00CD0AC3"/>
    <w:rsid w:val="00CD0FF6"/>
    <w:rsid w:val="00CD1470"/>
    <w:rsid w:val="00CD1950"/>
    <w:rsid w:val="00CD1F08"/>
    <w:rsid w:val="00CD2023"/>
    <w:rsid w:val="00CD26D0"/>
    <w:rsid w:val="00CD66C9"/>
    <w:rsid w:val="00CE1CEE"/>
    <w:rsid w:val="00CE2411"/>
    <w:rsid w:val="00CE2679"/>
    <w:rsid w:val="00CE274C"/>
    <w:rsid w:val="00CE27BE"/>
    <w:rsid w:val="00CE2820"/>
    <w:rsid w:val="00CE4345"/>
    <w:rsid w:val="00CE52B9"/>
    <w:rsid w:val="00CE6E63"/>
    <w:rsid w:val="00CE78DC"/>
    <w:rsid w:val="00CF1AE9"/>
    <w:rsid w:val="00CF20C9"/>
    <w:rsid w:val="00CF21F9"/>
    <w:rsid w:val="00CF26F9"/>
    <w:rsid w:val="00CF49CD"/>
    <w:rsid w:val="00CF4F5B"/>
    <w:rsid w:val="00CF56D7"/>
    <w:rsid w:val="00CF5D54"/>
    <w:rsid w:val="00CF5D9B"/>
    <w:rsid w:val="00D00D77"/>
    <w:rsid w:val="00D0173B"/>
    <w:rsid w:val="00D02F78"/>
    <w:rsid w:val="00D030F5"/>
    <w:rsid w:val="00D03880"/>
    <w:rsid w:val="00D042BD"/>
    <w:rsid w:val="00D054E8"/>
    <w:rsid w:val="00D05E3C"/>
    <w:rsid w:val="00D06D77"/>
    <w:rsid w:val="00D0706C"/>
    <w:rsid w:val="00D076D9"/>
    <w:rsid w:val="00D10190"/>
    <w:rsid w:val="00D107CD"/>
    <w:rsid w:val="00D10990"/>
    <w:rsid w:val="00D11A28"/>
    <w:rsid w:val="00D16A39"/>
    <w:rsid w:val="00D178F7"/>
    <w:rsid w:val="00D17D80"/>
    <w:rsid w:val="00D17DB4"/>
    <w:rsid w:val="00D20A7E"/>
    <w:rsid w:val="00D20EE6"/>
    <w:rsid w:val="00D21B8C"/>
    <w:rsid w:val="00D21E9A"/>
    <w:rsid w:val="00D225C7"/>
    <w:rsid w:val="00D22612"/>
    <w:rsid w:val="00D244A4"/>
    <w:rsid w:val="00D257C1"/>
    <w:rsid w:val="00D26355"/>
    <w:rsid w:val="00D26557"/>
    <w:rsid w:val="00D27E7F"/>
    <w:rsid w:val="00D3008E"/>
    <w:rsid w:val="00D30305"/>
    <w:rsid w:val="00D30901"/>
    <w:rsid w:val="00D3094F"/>
    <w:rsid w:val="00D3163E"/>
    <w:rsid w:val="00D3194B"/>
    <w:rsid w:val="00D31F53"/>
    <w:rsid w:val="00D336FB"/>
    <w:rsid w:val="00D34122"/>
    <w:rsid w:val="00D34B46"/>
    <w:rsid w:val="00D361D9"/>
    <w:rsid w:val="00D37954"/>
    <w:rsid w:val="00D40791"/>
    <w:rsid w:val="00D409FB"/>
    <w:rsid w:val="00D40A86"/>
    <w:rsid w:val="00D414E5"/>
    <w:rsid w:val="00D426EA"/>
    <w:rsid w:val="00D427F4"/>
    <w:rsid w:val="00D436AE"/>
    <w:rsid w:val="00D43B6B"/>
    <w:rsid w:val="00D43F8E"/>
    <w:rsid w:val="00D44C5D"/>
    <w:rsid w:val="00D45236"/>
    <w:rsid w:val="00D47602"/>
    <w:rsid w:val="00D510AA"/>
    <w:rsid w:val="00D51226"/>
    <w:rsid w:val="00D51818"/>
    <w:rsid w:val="00D52291"/>
    <w:rsid w:val="00D54168"/>
    <w:rsid w:val="00D55E6F"/>
    <w:rsid w:val="00D560FD"/>
    <w:rsid w:val="00D57D63"/>
    <w:rsid w:val="00D60489"/>
    <w:rsid w:val="00D60B7A"/>
    <w:rsid w:val="00D61044"/>
    <w:rsid w:val="00D635B3"/>
    <w:rsid w:val="00D63E42"/>
    <w:rsid w:val="00D63EF2"/>
    <w:rsid w:val="00D6408D"/>
    <w:rsid w:val="00D6509E"/>
    <w:rsid w:val="00D66AE6"/>
    <w:rsid w:val="00D66DC9"/>
    <w:rsid w:val="00D70945"/>
    <w:rsid w:val="00D71A94"/>
    <w:rsid w:val="00D7236D"/>
    <w:rsid w:val="00D733BD"/>
    <w:rsid w:val="00D76199"/>
    <w:rsid w:val="00D76E5C"/>
    <w:rsid w:val="00D776CB"/>
    <w:rsid w:val="00D77E77"/>
    <w:rsid w:val="00D815EA"/>
    <w:rsid w:val="00D8270A"/>
    <w:rsid w:val="00D82B77"/>
    <w:rsid w:val="00D8359D"/>
    <w:rsid w:val="00D83F01"/>
    <w:rsid w:val="00D8556E"/>
    <w:rsid w:val="00D86A3E"/>
    <w:rsid w:val="00D87160"/>
    <w:rsid w:val="00D878E3"/>
    <w:rsid w:val="00D90810"/>
    <w:rsid w:val="00D91392"/>
    <w:rsid w:val="00D920FC"/>
    <w:rsid w:val="00D92190"/>
    <w:rsid w:val="00D93C9A"/>
    <w:rsid w:val="00D94902"/>
    <w:rsid w:val="00D94DDC"/>
    <w:rsid w:val="00D9685B"/>
    <w:rsid w:val="00D97D9B"/>
    <w:rsid w:val="00DA1273"/>
    <w:rsid w:val="00DA33ED"/>
    <w:rsid w:val="00DA356A"/>
    <w:rsid w:val="00DA4513"/>
    <w:rsid w:val="00DA5540"/>
    <w:rsid w:val="00DA560A"/>
    <w:rsid w:val="00DA62DC"/>
    <w:rsid w:val="00DA6501"/>
    <w:rsid w:val="00DB0B9A"/>
    <w:rsid w:val="00DB1488"/>
    <w:rsid w:val="00DB2673"/>
    <w:rsid w:val="00DB3698"/>
    <w:rsid w:val="00DB4C74"/>
    <w:rsid w:val="00DB4D6C"/>
    <w:rsid w:val="00DB4E3B"/>
    <w:rsid w:val="00DB569B"/>
    <w:rsid w:val="00DB5CF1"/>
    <w:rsid w:val="00DC1A3F"/>
    <w:rsid w:val="00DC2648"/>
    <w:rsid w:val="00DC3A14"/>
    <w:rsid w:val="00DC3EC3"/>
    <w:rsid w:val="00DC5C96"/>
    <w:rsid w:val="00DC5FEC"/>
    <w:rsid w:val="00DC6D57"/>
    <w:rsid w:val="00DC6E15"/>
    <w:rsid w:val="00DC6E22"/>
    <w:rsid w:val="00DD0E5F"/>
    <w:rsid w:val="00DD118F"/>
    <w:rsid w:val="00DD1443"/>
    <w:rsid w:val="00DD180A"/>
    <w:rsid w:val="00DD311C"/>
    <w:rsid w:val="00DD5850"/>
    <w:rsid w:val="00DD5FAF"/>
    <w:rsid w:val="00DD6018"/>
    <w:rsid w:val="00DD636D"/>
    <w:rsid w:val="00DE1797"/>
    <w:rsid w:val="00DE1B28"/>
    <w:rsid w:val="00DE1E39"/>
    <w:rsid w:val="00DE3AA2"/>
    <w:rsid w:val="00DE53AA"/>
    <w:rsid w:val="00DE7F30"/>
    <w:rsid w:val="00DF0581"/>
    <w:rsid w:val="00DF14E0"/>
    <w:rsid w:val="00DF2B8A"/>
    <w:rsid w:val="00DF437A"/>
    <w:rsid w:val="00DF4673"/>
    <w:rsid w:val="00DF5AF7"/>
    <w:rsid w:val="00DF5BFE"/>
    <w:rsid w:val="00DF5C5E"/>
    <w:rsid w:val="00DF5C72"/>
    <w:rsid w:val="00DF6A61"/>
    <w:rsid w:val="00DF7A0A"/>
    <w:rsid w:val="00E02D90"/>
    <w:rsid w:val="00E02EC4"/>
    <w:rsid w:val="00E02FB7"/>
    <w:rsid w:val="00E046FE"/>
    <w:rsid w:val="00E05107"/>
    <w:rsid w:val="00E06CAA"/>
    <w:rsid w:val="00E07C38"/>
    <w:rsid w:val="00E07D0B"/>
    <w:rsid w:val="00E10F9E"/>
    <w:rsid w:val="00E12DA6"/>
    <w:rsid w:val="00E13931"/>
    <w:rsid w:val="00E163AB"/>
    <w:rsid w:val="00E16610"/>
    <w:rsid w:val="00E17FF6"/>
    <w:rsid w:val="00E2122A"/>
    <w:rsid w:val="00E2172C"/>
    <w:rsid w:val="00E21CA0"/>
    <w:rsid w:val="00E24CDE"/>
    <w:rsid w:val="00E25D2A"/>
    <w:rsid w:val="00E25D69"/>
    <w:rsid w:val="00E2652B"/>
    <w:rsid w:val="00E27340"/>
    <w:rsid w:val="00E31F7C"/>
    <w:rsid w:val="00E31F7D"/>
    <w:rsid w:val="00E32DB3"/>
    <w:rsid w:val="00E34705"/>
    <w:rsid w:val="00E35038"/>
    <w:rsid w:val="00E35E94"/>
    <w:rsid w:val="00E36611"/>
    <w:rsid w:val="00E37B84"/>
    <w:rsid w:val="00E40384"/>
    <w:rsid w:val="00E41960"/>
    <w:rsid w:val="00E41AB4"/>
    <w:rsid w:val="00E41FAF"/>
    <w:rsid w:val="00E42068"/>
    <w:rsid w:val="00E42670"/>
    <w:rsid w:val="00E42BEC"/>
    <w:rsid w:val="00E439A4"/>
    <w:rsid w:val="00E44FB3"/>
    <w:rsid w:val="00E45D07"/>
    <w:rsid w:val="00E45FE2"/>
    <w:rsid w:val="00E46AD4"/>
    <w:rsid w:val="00E512A3"/>
    <w:rsid w:val="00E51678"/>
    <w:rsid w:val="00E52FCB"/>
    <w:rsid w:val="00E531DF"/>
    <w:rsid w:val="00E536F5"/>
    <w:rsid w:val="00E542C2"/>
    <w:rsid w:val="00E5603C"/>
    <w:rsid w:val="00E56118"/>
    <w:rsid w:val="00E565D5"/>
    <w:rsid w:val="00E57A54"/>
    <w:rsid w:val="00E57D3D"/>
    <w:rsid w:val="00E60273"/>
    <w:rsid w:val="00E61641"/>
    <w:rsid w:val="00E61870"/>
    <w:rsid w:val="00E61A7A"/>
    <w:rsid w:val="00E61BAF"/>
    <w:rsid w:val="00E62108"/>
    <w:rsid w:val="00E622D1"/>
    <w:rsid w:val="00E62B92"/>
    <w:rsid w:val="00E63AE2"/>
    <w:rsid w:val="00E640A6"/>
    <w:rsid w:val="00E6438A"/>
    <w:rsid w:val="00E6460E"/>
    <w:rsid w:val="00E650A2"/>
    <w:rsid w:val="00E673F5"/>
    <w:rsid w:val="00E674DD"/>
    <w:rsid w:val="00E67D1D"/>
    <w:rsid w:val="00E714CE"/>
    <w:rsid w:val="00E72E56"/>
    <w:rsid w:val="00E73DA3"/>
    <w:rsid w:val="00E751C2"/>
    <w:rsid w:val="00E7558D"/>
    <w:rsid w:val="00E80A8A"/>
    <w:rsid w:val="00E80D19"/>
    <w:rsid w:val="00E82CFE"/>
    <w:rsid w:val="00E82F4D"/>
    <w:rsid w:val="00E851CF"/>
    <w:rsid w:val="00E85386"/>
    <w:rsid w:val="00E874AC"/>
    <w:rsid w:val="00E87FAE"/>
    <w:rsid w:val="00E9027F"/>
    <w:rsid w:val="00E910C6"/>
    <w:rsid w:val="00E92C7E"/>
    <w:rsid w:val="00E93035"/>
    <w:rsid w:val="00E933A0"/>
    <w:rsid w:val="00E959F3"/>
    <w:rsid w:val="00E95B66"/>
    <w:rsid w:val="00E979BB"/>
    <w:rsid w:val="00EA135A"/>
    <w:rsid w:val="00EA3D86"/>
    <w:rsid w:val="00EA3FE4"/>
    <w:rsid w:val="00EA48FB"/>
    <w:rsid w:val="00EA5ED8"/>
    <w:rsid w:val="00EA6231"/>
    <w:rsid w:val="00EA62D8"/>
    <w:rsid w:val="00EA6AA6"/>
    <w:rsid w:val="00EA6BC9"/>
    <w:rsid w:val="00EA6DDD"/>
    <w:rsid w:val="00EA7557"/>
    <w:rsid w:val="00EB0696"/>
    <w:rsid w:val="00EB099F"/>
    <w:rsid w:val="00EB1BBF"/>
    <w:rsid w:val="00EB1E3F"/>
    <w:rsid w:val="00EB1FD2"/>
    <w:rsid w:val="00EB315E"/>
    <w:rsid w:val="00EB383C"/>
    <w:rsid w:val="00EB42DC"/>
    <w:rsid w:val="00EB7997"/>
    <w:rsid w:val="00EC1046"/>
    <w:rsid w:val="00EC2170"/>
    <w:rsid w:val="00EC2819"/>
    <w:rsid w:val="00EC31D7"/>
    <w:rsid w:val="00EC3237"/>
    <w:rsid w:val="00EC3B7A"/>
    <w:rsid w:val="00EC5A4F"/>
    <w:rsid w:val="00EC6727"/>
    <w:rsid w:val="00EC7DB4"/>
    <w:rsid w:val="00ED071F"/>
    <w:rsid w:val="00ED1836"/>
    <w:rsid w:val="00ED2DB6"/>
    <w:rsid w:val="00ED361D"/>
    <w:rsid w:val="00ED5523"/>
    <w:rsid w:val="00ED58DA"/>
    <w:rsid w:val="00ED5B15"/>
    <w:rsid w:val="00ED73E5"/>
    <w:rsid w:val="00EE0322"/>
    <w:rsid w:val="00EE1182"/>
    <w:rsid w:val="00EE2DD8"/>
    <w:rsid w:val="00EE2E20"/>
    <w:rsid w:val="00EE316D"/>
    <w:rsid w:val="00EE39F7"/>
    <w:rsid w:val="00EE3C64"/>
    <w:rsid w:val="00EE4255"/>
    <w:rsid w:val="00EE443D"/>
    <w:rsid w:val="00EE5544"/>
    <w:rsid w:val="00EE66FD"/>
    <w:rsid w:val="00EE6DFC"/>
    <w:rsid w:val="00EE7C13"/>
    <w:rsid w:val="00EF1605"/>
    <w:rsid w:val="00EF3382"/>
    <w:rsid w:val="00EF338D"/>
    <w:rsid w:val="00EF3698"/>
    <w:rsid w:val="00EF44EB"/>
    <w:rsid w:val="00EF45C0"/>
    <w:rsid w:val="00EF45DE"/>
    <w:rsid w:val="00EF4DD1"/>
    <w:rsid w:val="00EF528A"/>
    <w:rsid w:val="00EF7703"/>
    <w:rsid w:val="00F001E5"/>
    <w:rsid w:val="00F0081A"/>
    <w:rsid w:val="00F00948"/>
    <w:rsid w:val="00F02573"/>
    <w:rsid w:val="00F032C4"/>
    <w:rsid w:val="00F03630"/>
    <w:rsid w:val="00F03D64"/>
    <w:rsid w:val="00F05F33"/>
    <w:rsid w:val="00F10297"/>
    <w:rsid w:val="00F10FD8"/>
    <w:rsid w:val="00F1176D"/>
    <w:rsid w:val="00F140BB"/>
    <w:rsid w:val="00F141A5"/>
    <w:rsid w:val="00F142EC"/>
    <w:rsid w:val="00F1465F"/>
    <w:rsid w:val="00F1484B"/>
    <w:rsid w:val="00F15235"/>
    <w:rsid w:val="00F15A19"/>
    <w:rsid w:val="00F163D5"/>
    <w:rsid w:val="00F164FD"/>
    <w:rsid w:val="00F167C1"/>
    <w:rsid w:val="00F16CE2"/>
    <w:rsid w:val="00F17498"/>
    <w:rsid w:val="00F20BCF"/>
    <w:rsid w:val="00F21F46"/>
    <w:rsid w:val="00F22269"/>
    <w:rsid w:val="00F225E8"/>
    <w:rsid w:val="00F22861"/>
    <w:rsid w:val="00F228AF"/>
    <w:rsid w:val="00F23A95"/>
    <w:rsid w:val="00F24E20"/>
    <w:rsid w:val="00F25224"/>
    <w:rsid w:val="00F25A2A"/>
    <w:rsid w:val="00F26FCF"/>
    <w:rsid w:val="00F27078"/>
    <w:rsid w:val="00F271DB"/>
    <w:rsid w:val="00F27333"/>
    <w:rsid w:val="00F27568"/>
    <w:rsid w:val="00F2787F"/>
    <w:rsid w:val="00F279ED"/>
    <w:rsid w:val="00F30C45"/>
    <w:rsid w:val="00F30CB0"/>
    <w:rsid w:val="00F30DA8"/>
    <w:rsid w:val="00F326F4"/>
    <w:rsid w:val="00F35D66"/>
    <w:rsid w:val="00F35DF7"/>
    <w:rsid w:val="00F3649B"/>
    <w:rsid w:val="00F36DD9"/>
    <w:rsid w:val="00F37E5A"/>
    <w:rsid w:val="00F37F4A"/>
    <w:rsid w:val="00F40709"/>
    <w:rsid w:val="00F40DFD"/>
    <w:rsid w:val="00F40EBF"/>
    <w:rsid w:val="00F43A63"/>
    <w:rsid w:val="00F441F7"/>
    <w:rsid w:val="00F45E2F"/>
    <w:rsid w:val="00F47211"/>
    <w:rsid w:val="00F47B61"/>
    <w:rsid w:val="00F47B7A"/>
    <w:rsid w:val="00F47C84"/>
    <w:rsid w:val="00F50562"/>
    <w:rsid w:val="00F50701"/>
    <w:rsid w:val="00F50BD9"/>
    <w:rsid w:val="00F52413"/>
    <w:rsid w:val="00F524AF"/>
    <w:rsid w:val="00F52766"/>
    <w:rsid w:val="00F537EA"/>
    <w:rsid w:val="00F5554C"/>
    <w:rsid w:val="00F56604"/>
    <w:rsid w:val="00F57C0C"/>
    <w:rsid w:val="00F60195"/>
    <w:rsid w:val="00F60567"/>
    <w:rsid w:val="00F61DD4"/>
    <w:rsid w:val="00F621BA"/>
    <w:rsid w:val="00F629E2"/>
    <w:rsid w:val="00F632B9"/>
    <w:rsid w:val="00F646EC"/>
    <w:rsid w:val="00F647EF"/>
    <w:rsid w:val="00F6494D"/>
    <w:rsid w:val="00F6586B"/>
    <w:rsid w:val="00F66638"/>
    <w:rsid w:val="00F6753B"/>
    <w:rsid w:val="00F67A81"/>
    <w:rsid w:val="00F702A7"/>
    <w:rsid w:val="00F7074D"/>
    <w:rsid w:val="00F70845"/>
    <w:rsid w:val="00F70E80"/>
    <w:rsid w:val="00F71E22"/>
    <w:rsid w:val="00F73F96"/>
    <w:rsid w:val="00F745E0"/>
    <w:rsid w:val="00F75B9C"/>
    <w:rsid w:val="00F761E3"/>
    <w:rsid w:val="00F765F7"/>
    <w:rsid w:val="00F77546"/>
    <w:rsid w:val="00F8082B"/>
    <w:rsid w:val="00F812BD"/>
    <w:rsid w:val="00F81C3C"/>
    <w:rsid w:val="00F8200F"/>
    <w:rsid w:val="00F824A4"/>
    <w:rsid w:val="00F82661"/>
    <w:rsid w:val="00F82EDB"/>
    <w:rsid w:val="00F852D6"/>
    <w:rsid w:val="00F85366"/>
    <w:rsid w:val="00F85E19"/>
    <w:rsid w:val="00F92343"/>
    <w:rsid w:val="00F9262E"/>
    <w:rsid w:val="00F92CD7"/>
    <w:rsid w:val="00F949DF"/>
    <w:rsid w:val="00F94F00"/>
    <w:rsid w:val="00F95C26"/>
    <w:rsid w:val="00F96472"/>
    <w:rsid w:val="00F97527"/>
    <w:rsid w:val="00FA2086"/>
    <w:rsid w:val="00FA20A0"/>
    <w:rsid w:val="00FA2B89"/>
    <w:rsid w:val="00FA2CE0"/>
    <w:rsid w:val="00FA36ED"/>
    <w:rsid w:val="00FA385C"/>
    <w:rsid w:val="00FA597F"/>
    <w:rsid w:val="00FA6A67"/>
    <w:rsid w:val="00FB1085"/>
    <w:rsid w:val="00FB10E1"/>
    <w:rsid w:val="00FB1436"/>
    <w:rsid w:val="00FB17BE"/>
    <w:rsid w:val="00FB2DA9"/>
    <w:rsid w:val="00FB363D"/>
    <w:rsid w:val="00FB4FD5"/>
    <w:rsid w:val="00FB5CC9"/>
    <w:rsid w:val="00FB6083"/>
    <w:rsid w:val="00FB7A07"/>
    <w:rsid w:val="00FC2E8A"/>
    <w:rsid w:val="00FC458E"/>
    <w:rsid w:val="00FC4C6B"/>
    <w:rsid w:val="00FC5308"/>
    <w:rsid w:val="00FC5E24"/>
    <w:rsid w:val="00FC68E8"/>
    <w:rsid w:val="00FD1EF8"/>
    <w:rsid w:val="00FD202B"/>
    <w:rsid w:val="00FD389A"/>
    <w:rsid w:val="00FD49BD"/>
    <w:rsid w:val="00FD562A"/>
    <w:rsid w:val="00FD5B08"/>
    <w:rsid w:val="00FD635B"/>
    <w:rsid w:val="00FD6B5D"/>
    <w:rsid w:val="00FE06E2"/>
    <w:rsid w:val="00FE21D4"/>
    <w:rsid w:val="00FE26B6"/>
    <w:rsid w:val="00FE2D6E"/>
    <w:rsid w:val="00FE347F"/>
    <w:rsid w:val="00FE3A48"/>
    <w:rsid w:val="00FE3B42"/>
    <w:rsid w:val="00FE4A36"/>
    <w:rsid w:val="00FE5B1A"/>
    <w:rsid w:val="00FE5E76"/>
    <w:rsid w:val="00FE7AB3"/>
    <w:rsid w:val="00FE7B97"/>
    <w:rsid w:val="00FF10DB"/>
    <w:rsid w:val="00FF1428"/>
    <w:rsid w:val="00FF24B9"/>
    <w:rsid w:val="00FF3E51"/>
    <w:rsid w:val="00FF41F5"/>
    <w:rsid w:val="00FF44C0"/>
    <w:rsid w:val="00FF472F"/>
    <w:rsid w:val="00FF67F8"/>
    <w:rsid w:val="00FF7527"/>
    <w:rsid w:val="00FF7A95"/>
    <w:rsid w:val="00FF7E97"/>
    <w:rsid w:val="0147C91A"/>
    <w:rsid w:val="0164B651"/>
    <w:rsid w:val="09E8C1BB"/>
    <w:rsid w:val="0F97411D"/>
    <w:rsid w:val="13BE0A68"/>
    <w:rsid w:val="169D7AB2"/>
    <w:rsid w:val="19F4F048"/>
    <w:rsid w:val="1A1572C4"/>
    <w:rsid w:val="1B1DD2F8"/>
    <w:rsid w:val="1C97031F"/>
    <w:rsid w:val="1D4CC5FC"/>
    <w:rsid w:val="243D4B32"/>
    <w:rsid w:val="24A0AE08"/>
    <w:rsid w:val="25DB5981"/>
    <w:rsid w:val="2648D348"/>
    <w:rsid w:val="2B1D2396"/>
    <w:rsid w:val="2BFFDEC3"/>
    <w:rsid w:val="2E505EDC"/>
    <w:rsid w:val="2E5E8CDD"/>
    <w:rsid w:val="315EFE31"/>
    <w:rsid w:val="3181244F"/>
    <w:rsid w:val="3A0EF486"/>
    <w:rsid w:val="3A20FCFD"/>
    <w:rsid w:val="3D8C190F"/>
    <w:rsid w:val="3FACC5D8"/>
    <w:rsid w:val="423BC4A2"/>
    <w:rsid w:val="43FB6421"/>
    <w:rsid w:val="47F265B4"/>
    <w:rsid w:val="484DD868"/>
    <w:rsid w:val="4DD510EF"/>
    <w:rsid w:val="5635DA05"/>
    <w:rsid w:val="5C37944C"/>
    <w:rsid w:val="60C49934"/>
    <w:rsid w:val="638385BF"/>
    <w:rsid w:val="63D282B3"/>
    <w:rsid w:val="66F87512"/>
    <w:rsid w:val="698D9A38"/>
    <w:rsid w:val="69E592EA"/>
    <w:rsid w:val="69EB8783"/>
    <w:rsid w:val="6B150BAA"/>
    <w:rsid w:val="6C1DF7E3"/>
    <w:rsid w:val="6C6DF0A7"/>
    <w:rsid w:val="72851AA4"/>
    <w:rsid w:val="78B5C30E"/>
    <w:rsid w:val="7B10D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A6529"/>
  <w15:chartTrackingRefBased/>
  <w15:docId w15:val="{DD6C05D3-04DB-4C05-9B23-5D1398C1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B88"/>
    <w:pPr>
      <w:snapToGrid w:val="0"/>
      <w:spacing w:before="120" w:after="120" w:line="264" w:lineRule="auto"/>
    </w:pPr>
    <w:rPr>
      <w:rFonts w:ascii="Tahoma" w:hAnsi="Tahoma" w:cs="Tahoma"/>
      <w:sz w:val="20"/>
      <w:szCs w:val="20"/>
    </w:rPr>
  </w:style>
  <w:style w:type="paragraph" w:styleId="Heading1">
    <w:name w:val="heading 1"/>
    <w:basedOn w:val="Header"/>
    <w:next w:val="Normal"/>
    <w:link w:val="Heading1Char"/>
    <w:uiPriority w:val="9"/>
    <w:qFormat/>
    <w:rsid w:val="00EA62D8"/>
    <w:pPr>
      <w:outlineLvl w:val="0"/>
    </w:pPr>
    <w:rPr>
      <w:noProof/>
      <w:color w:val="FFFFFF" w:themeColor="background1"/>
      <w:sz w:val="40"/>
      <w:szCs w:val="40"/>
    </w:rPr>
  </w:style>
  <w:style w:type="paragraph" w:styleId="Heading2">
    <w:name w:val="heading 2"/>
    <w:aliases w:val="PW H2"/>
    <w:basedOn w:val="Normal"/>
    <w:next w:val="Normal"/>
    <w:link w:val="Heading2Char"/>
    <w:uiPriority w:val="9"/>
    <w:unhideWhenUsed/>
    <w:qFormat/>
    <w:rsid w:val="00B71B1A"/>
    <w:pPr>
      <w:keepNext/>
      <w:keepLines/>
      <w:spacing w:before="240" w:after="160"/>
      <w:outlineLvl w:val="1"/>
    </w:pPr>
    <w:rPr>
      <w:rFonts w:ascii="Arial" w:eastAsiaTheme="majorEastAsia" w:hAnsi="Arial" w:cs="Arial"/>
      <w:color w:val="000000" w:themeColor="text1"/>
      <w:sz w:val="28"/>
      <w:szCs w:val="28"/>
    </w:rPr>
  </w:style>
  <w:style w:type="paragraph" w:styleId="Heading3">
    <w:name w:val="heading 3"/>
    <w:basedOn w:val="ListParagraph"/>
    <w:next w:val="Normal"/>
    <w:link w:val="Heading3Char"/>
    <w:uiPriority w:val="9"/>
    <w:unhideWhenUsed/>
    <w:qFormat/>
    <w:rsid w:val="000A5310"/>
    <w:pPr>
      <w:framePr w:hSpace="180" w:wrap="around" w:vAnchor="text" w:hAnchor="margin" w:y="227"/>
      <w:numPr>
        <w:numId w:val="22"/>
      </w:numPr>
      <w:spacing w:before="0" w:after="0"/>
      <w:ind w:left="459" w:hanging="42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AC3261"/>
    <w:pPr>
      <w:ind w:left="720"/>
      <w:contextualSpacing/>
    </w:pPr>
  </w:style>
  <w:style w:type="paragraph" w:customStyle="1" w:styleId="SOAAGSHeading3">
    <w:name w:val="SOA AGS Heading 3"/>
    <w:basedOn w:val="Normal"/>
    <w:link w:val="SOAAGSHeading3Char"/>
    <w:qFormat/>
    <w:rsid w:val="001D3CD6"/>
    <w:pPr>
      <w:spacing w:after="0" w:line="276" w:lineRule="auto"/>
    </w:pPr>
    <w:rPr>
      <w:b/>
      <w:bCs/>
    </w:rPr>
  </w:style>
  <w:style w:type="character" w:customStyle="1" w:styleId="SOAAGSHeading3Char">
    <w:name w:val="SOA AGS Heading 3 Char"/>
    <w:basedOn w:val="DefaultParagraphFont"/>
    <w:link w:val="SOAAGSHeading3"/>
    <w:rsid w:val="001D3CD6"/>
    <w:rPr>
      <w:rFonts w:ascii="Tahoma" w:hAnsi="Tahoma" w:cs="Tahoma"/>
      <w:b/>
      <w:bCs/>
      <w:sz w:val="20"/>
      <w:szCs w:val="20"/>
    </w:rPr>
  </w:style>
  <w:style w:type="character" w:styleId="CommentReference">
    <w:name w:val="annotation reference"/>
    <w:basedOn w:val="DefaultParagraphFont"/>
    <w:uiPriority w:val="99"/>
    <w:semiHidden/>
    <w:unhideWhenUsed/>
    <w:rsid w:val="00BA7FDF"/>
    <w:rPr>
      <w:sz w:val="16"/>
      <w:szCs w:val="16"/>
    </w:rPr>
  </w:style>
  <w:style w:type="paragraph" w:styleId="CommentText">
    <w:name w:val="annotation text"/>
    <w:basedOn w:val="Normal"/>
    <w:link w:val="CommentTextChar"/>
    <w:uiPriority w:val="99"/>
    <w:unhideWhenUsed/>
    <w:rsid w:val="00BA7FDF"/>
    <w:pPr>
      <w:spacing w:line="240" w:lineRule="auto"/>
    </w:pPr>
  </w:style>
  <w:style w:type="character" w:customStyle="1" w:styleId="CommentTextChar">
    <w:name w:val="Comment Text Char"/>
    <w:basedOn w:val="DefaultParagraphFont"/>
    <w:link w:val="CommentText"/>
    <w:uiPriority w:val="99"/>
    <w:rsid w:val="00BA7FDF"/>
    <w:rPr>
      <w:sz w:val="20"/>
      <w:szCs w:val="20"/>
    </w:rPr>
  </w:style>
  <w:style w:type="paragraph" w:styleId="CommentSubject">
    <w:name w:val="annotation subject"/>
    <w:basedOn w:val="CommentText"/>
    <w:next w:val="CommentText"/>
    <w:link w:val="CommentSubjectChar"/>
    <w:uiPriority w:val="99"/>
    <w:semiHidden/>
    <w:unhideWhenUsed/>
    <w:rsid w:val="00BA7FDF"/>
    <w:rPr>
      <w:b/>
      <w:bCs/>
    </w:rPr>
  </w:style>
  <w:style w:type="character" w:customStyle="1" w:styleId="CommentSubjectChar">
    <w:name w:val="Comment Subject Char"/>
    <w:basedOn w:val="CommentTextChar"/>
    <w:link w:val="CommentSubject"/>
    <w:uiPriority w:val="99"/>
    <w:semiHidden/>
    <w:rsid w:val="00BA7FDF"/>
    <w:rPr>
      <w:b/>
      <w:bCs/>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80043F"/>
  </w:style>
  <w:style w:type="paragraph" w:styleId="Revision">
    <w:name w:val="Revision"/>
    <w:hidden/>
    <w:uiPriority w:val="99"/>
    <w:semiHidden/>
    <w:rsid w:val="00C0763F"/>
    <w:pPr>
      <w:spacing w:after="0" w:line="240" w:lineRule="auto"/>
    </w:pPr>
  </w:style>
  <w:style w:type="paragraph" w:styleId="Header">
    <w:name w:val="header"/>
    <w:basedOn w:val="Normal"/>
    <w:link w:val="HeaderChar"/>
    <w:uiPriority w:val="99"/>
    <w:unhideWhenUsed/>
    <w:rsid w:val="00887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0B8"/>
  </w:style>
  <w:style w:type="paragraph" w:styleId="Footer">
    <w:name w:val="footer"/>
    <w:basedOn w:val="Normal"/>
    <w:link w:val="FooterChar"/>
    <w:uiPriority w:val="99"/>
    <w:unhideWhenUsed/>
    <w:rsid w:val="00501A89"/>
    <w:pPr>
      <w:tabs>
        <w:tab w:val="right" w:pos="14459"/>
      </w:tabs>
      <w:spacing w:after="0" w:line="240" w:lineRule="auto"/>
      <w:ind w:firstLine="1701"/>
    </w:pPr>
    <w:rPr>
      <w:rFonts w:ascii="Arial" w:eastAsiaTheme="majorEastAsia" w:hAnsi="Arial" w:cs="Arial"/>
      <w:noProof/>
      <w:color w:val="FFFFFF" w:themeColor="background1"/>
      <w:spacing w:val="2"/>
    </w:rPr>
  </w:style>
  <w:style w:type="character" w:customStyle="1" w:styleId="FooterChar">
    <w:name w:val="Footer Char"/>
    <w:basedOn w:val="DefaultParagraphFont"/>
    <w:link w:val="Footer"/>
    <w:uiPriority w:val="99"/>
    <w:rsid w:val="00501A89"/>
    <w:rPr>
      <w:rFonts w:ascii="Arial" w:eastAsiaTheme="majorEastAsia" w:hAnsi="Arial" w:cs="Arial"/>
      <w:noProof/>
      <w:color w:val="FFFFFF" w:themeColor="background1"/>
      <w:spacing w:val="2"/>
      <w:sz w:val="20"/>
      <w:szCs w:val="20"/>
    </w:rPr>
  </w:style>
  <w:style w:type="character" w:customStyle="1" w:styleId="normaltextrun">
    <w:name w:val="normaltextrun"/>
    <w:basedOn w:val="DefaultParagraphFont"/>
    <w:rsid w:val="00C429BC"/>
  </w:style>
  <w:style w:type="character" w:customStyle="1" w:styleId="eop">
    <w:name w:val="eop"/>
    <w:basedOn w:val="DefaultParagraphFont"/>
    <w:rsid w:val="00C429BC"/>
  </w:style>
  <w:style w:type="character" w:customStyle="1" w:styleId="cf01">
    <w:name w:val="cf01"/>
    <w:basedOn w:val="DefaultParagraphFont"/>
    <w:rsid w:val="001F4FE1"/>
    <w:rPr>
      <w:rFonts w:ascii="Segoe UI" w:hAnsi="Segoe UI" w:cs="Segoe UI" w:hint="default"/>
      <w:sz w:val="18"/>
      <w:szCs w:val="18"/>
    </w:rPr>
  </w:style>
  <w:style w:type="paragraph" w:customStyle="1" w:styleId="pf0">
    <w:name w:val="pf0"/>
    <w:basedOn w:val="Normal"/>
    <w:rsid w:val="000C3A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C3A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A62D8"/>
    <w:rPr>
      <w:rFonts w:ascii="Tahoma" w:hAnsi="Tahoma" w:cs="Tahoma"/>
      <w:noProof/>
      <w:color w:val="FFFFFF" w:themeColor="background1"/>
      <w:sz w:val="40"/>
      <w:szCs w:val="40"/>
    </w:rPr>
  </w:style>
  <w:style w:type="paragraph" w:customStyle="1" w:styleId="Tabletext">
    <w:name w:val="Table text"/>
    <w:basedOn w:val="Normal"/>
    <w:qFormat/>
    <w:rsid w:val="00FF67F8"/>
    <w:pPr>
      <w:framePr w:hSpace="180" w:wrap="around" w:vAnchor="text" w:hAnchor="margin" w:y="227"/>
      <w:spacing w:before="60" w:after="60"/>
    </w:pPr>
    <w:rPr>
      <w:spacing w:val="-2"/>
      <w:sz w:val="18"/>
      <w:szCs w:val="18"/>
    </w:rPr>
  </w:style>
  <w:style w:type="paragraph" w:customStyle="1" w:styleId="Tablebullets">
    <w:name w:val="Table bullets"/>
    <w:basedOn w:val="ListParagraph"/>
    <w:qFormat/>
    <w:rsid w:val="0049483F"/>
    <w:pPr>
      <w:numPr>
        <w:numId w:val="1"/>
      </w:numPr>
      <w:spacing w:before="60" w:after="60"/>
      <w:ind w:left="208" w:hanging="208"/>
      <w:contextualSpacing w:val="0"/>
    </w:pPr>
    <w:rPr>
      <w:sz w:val="18"/>
      <w:szCs w:val="18"/>
    </w:rPr>
  </w:style>
  <w:style w:type="numbering" w:customStyle="1" w:styleId="CurrentList1">
    <w:name w:val="Current List1"/>
    <w:uiPriority w:val="99"/>
    <w:rsid w:val="00FE7AB3"/>
    <w:pPr>
      <w:numPr>
        <w:numId w:val="2"/>
      </w:numPr>
    </w:pPr>
  </w:style>
  <w:style w:type="paragraph" w:customStyle="1" w:styleId="Tablebulletindent">
    <w:name w:val="Table bullet indent"/>
    <w:basedOn w:val="ListParagraph"/>
    <w:qFormat/>
    <w:rsid w:val="00FE7AB3"/>
    <w:pPr>
      <w:numPr>
        <w:ilvl w:val="1"/>
        <w:numId w:val="3"/>
      </w:numPr>
      <w:spacing w:before="60" w:after="60"/>
      <w:ind w:left="532" w:hanging="224"/>
      <w:contextualSpacing w:val="0"/>
    </w:pPr>
  </w:style>
  <w:style w:type="character" w:customStyle="1" w:styleId="Heading2Char">
    <w:name w:val="Heading 2 Char"/>
    <w:aliases w:val="PW H2 Char"/>
    <w:basedOn w:val="DefaultParagraphFont"/>
    <w:link w:val="Heading2"/>
    <w:uiPriority w:val="9"/>
    <w:rsid w:val="00B71B1A"/>
    <w:rPr>
      <w:rFonts w:ascii="Arial" w:eastAsiaTheme="majorEastAsia" w:hAnsi="Arial" w:cs="Arial"/>
      <w:color w:val="000000" w:themeColor="text1"/>
      <w:sz w:val="28"/>
      <w:szCs w:val="28"/>
    </w:rPr>
  </w:style>
  <w:style w:type="numbering" w:customStyle="1" w:styleId="CurrentList2">
    <w:name w:val="Current List2"/>
    <w:uiPriority w:val="99"/>
    <w:rsid w:val="00AC58FB"/>
    <w:pPr>
      <w:numPr>
        <w:numId w:val="4"/>
      </w:numPr>
    </w:pPr>
  </w:style>
  <w:style w:type="paragraph" w:styleId="Title">
    <w:name w:val="Title"/>
    <w:basedOn w:val="Normal"/>
    <w:next w:val="Normal"/>
    <w:link w:val="TitleChar"/>
    <w:uiPriority w:val="10"/>
    <w:qFormat/>
    <w:rsid w:val="00EA62D8"/>
    <w:pPr>
      <w:spacing w:before="0" w:line="240" w:lineRule="auto"/>
    </w:pPr>
    <w:rPr>
      <w:rFonts w:eastAsiaTheme="majorEastAsia"/>
      <w:b/>
      <w:bCs/>
      <w:color w:val="FFFFFF" w:themeColor="background1"/>
      <w:spacing w:val="-10"/>
      <w:kern w:val="28"/>
      <w:sz w:val="72"/>
      <w:szCs w:val="72"/>
    </w:rPr>
  </w:style>
  <w:style w:type="character" w:customStyle="1" w:styleId="TitleChar">
    <w:name w:val="Title Char"/>
    <w:basedOn w:val="DefaultParagraphFont"/>
    <w:link w:val="Title"/>
    <w:uiPriority w:val="10"/>
    <w:rsid w:val="00EA62D8"/>
    <w:rPr>
      <w:rFonts w:ascii="Tahoma" w:eastAsiaTheme="majorEastAsia" w:hAnsi="Tahoma" w:cs="Tahoma"/>
      <w:b/>
      <w:bCs/>
      <w:color w:val="FFFFFF" w:themeColor="background1"/>
      <w:spacing w:val="-10"/>
      <w:kern w:val="28"/>
      <w:sz w:val="72"/>
      <w:szCs w:val="72"/>
    </w:rPr>
  </w:style>
  <w:style w:type="paragraph" w:customStyle="1" w:styleId="Heading1-White">
    <w:name w:val="Heading 1 - White"/>
    <w:basedOn w:val="Heading1"/>
    <w:qFormat/>
    <w:rsid w:val="00C212A5"/>
  </w:style>
  <w:style w:type="paragraph" w:customStyle="1" w:styleId="Tabletext-White">
    <w:name w:val="Table text - White"/>
    <w:basedOn w:val="Tabletext"/>
    <w:qFormat/>
    <w:rsid w:val="0049483F"/>
    <w:pPr>
      <w:framePr w:wrap="around"/>
    </w:pPr>
    <w:rPr>
      <w:color w:val="FFFFFF" w:themeColor="background1"/>
    </w:rPr>
  </w:style>
  <w:style w:type="paragraph" w:customStyle="1" w:styleId="Tablebullets-White">
    <w:name w:val="Table bullets - White"/>
    <w:basedOn w:val="Tablebullets"/>
    <w:qFormat/>
    <w:rsid w:val="0049483F"/>
    <w:rPr>
      <w:color w:val="FFFFFF" w:themeColor="background1"/>
    </w:rPr>
  </w:style>
  <w:style w:type="paragraph" w:styleId="NoSpacing">
    <w:name w:val="No Spacing"/>
    <w:uiPriority w:val="1"/>
    <w:qFormat/>
    <w:rsid w:val="0082241B"/>
    <w:pPr>
      <w:snapToGrid w:val="0"/>
      <w:spacing w:after="0" w:line="240" w:lineRule="auto"/>
    </w:pPr>
    <w:rPr>
      <w:rFonts w:ascii="Tahoma" w:hAnsi="Tahoma" w:cs="Tahoma"/>
      <w:sz w:val="20"/>
      <w:szCs w:val="20"/>
    </w:rPr>
  </w:style>
  <w:style w:type="character" w:customStyle="1" w:styleId="ui-provider">
    <w:name w:val="ui-provider"/>
    <w:basedOn w:val="DefaultParagraphFont"/>
    <w:rsid w:val="00BF6C77"/>
  </w:style>
  <w:style w:type="paragraph" w:styleId="FootnoteText">
    <w:name w:val="footnote text"/>
    <w:basedOn w:val="Normal"/>
    <w:link w:val="FootnoteTextChar"/>
    <w:uiPriority w:val="99"/>
    <w:semiHidden/>
    <w:unhideWhenUsed/>
    <w:rsid w:val="001B04BD"/>
    <w:pPr>
      <w:snapToGrid/>
      <w:spacing w:before="0" w:after="0" w:line="240" w:lineRule="auto"/>
    </w:pPr>
    <w:rPr>
      <w:rFonts w:asciiTheme="minorHAnsi" w:hAnsiTheme="minorHAnsi" w:cstheme="minorBidi"/>
    </w:rPr>
  </w:style>
  <w:style w:type="character" w:customStyle="1" w:styleId="FootnoteTextChar">
    <w:name w:val="Footnote Text Char"/>
    <w:basedOn w:val="DefaultParagraphFont"/>
    <w:link w:val="FootnoteText"/>
    <w:uiPriority w:val="99"/>
    <w:semiHidden/>
    <w:rsid w:val="001B04BD"/>
    <w:rPr>
      <w:sz w:val="20"/>
      <w:szCs w:val="20"/>
    </w:rPr>
  </w:style>
  <w:style w:type="character" w:styleId="FootnoteReference">
    <w:name w:val="footnote reference"/>
    <w:basedOn w:val="DefaultParagraphFont"/>
    <w:uiPriority w:val="99"/>
    <w:semiHidden/>
    <w:unhideWhenUsed/>
    <w:rsid w:val="001B04BD"/>
    <w:rPr>
      <w:vertAlign w:val="superscript"/>
    </w:rPr>
  </w:style>
  <w:style w:type="paragraph" w:styleId="Subtitle">
    <w:name w:val="Subtitle"/>
    <w:basedOn w:val="Title"/>
    <w:next w:val="Normal"/>
    <w:link w:val="SubtitleChar"/>
    <w:uiPriority w:val="11"/>
    <w:qFormat/>
    <w:rsid w:val="00EA62D8"/>
    <w:rPr>
      <w:b w:val="0"/>
      <w:bCs w:val="0"/>
    </w:rPr>
  </w:style>
  <w:style w:type="character" w:customStyle="1" w:styleId="SubtitleChar">
    <w:name w:val="Subtitle Char"/>
    <w:basedOn w:val="DefaultParagraphFont"/>
    <w:link w:val="Subtitle"/>
    <w:uiPriority w:val="11"/>
    <w:rsid w:val="00EA62D8"/>
    <w:rPr>
      <w:rFonts w:ascii="Tahoma" w:eastAsiaTheme="majorEastAsia" w:hAnsi="Tahoma" w:cs="Tahoma"/>
      <w:color w:val="FFFFFF" w:themeColor="background1"/>
      <w:spacing w:val="-10"/>
      <w:kern w:val="28"/>
      <w:sz w:val="72"/>
      <w:szCs w:val="72"/>
    </w:rPr>
  </w:style>
  <w:style w:type="paragraph" w:customStyle="1" w:styleId="HeadinginTable">
    <w:name w:val="Heading in Table"/>
    <w:basedOn w:val="Heading2"/>
    <w:qFormat/>
    <w:rsid w:val="004159D4"/>
    <w:pPr>
      <w:framePr w:hSpace="180" w:wrap="around" w:vAnchor="text" w:hAnchor="margin" w:y="227"/>
      <w:spacing w:before="120" w:after="120"/>
    </w:pPr>
  </w:style>
  <w:style w:type="character" w:customStyle="1" w:styleId="Heading3Char">
    <w:name w:val="Heading 3 Char"/>
    <w:basedOn w:val="DefaultParagraphFont"/>
    <w:link w:val="Heading3"/>
    <w:uiPriority w:val="9"/>
    <w:rsid w:val="000A5310"/>
    <w:rPr>
      <w:rFonts w:ascii="Tahoma" w:hAnsi="Tahoma" w:cs="Tahoma"/>
      <w:b/>
      <w:bCs/>
      <w:sz w:val="20"/>
      <w:szCs w:val="20"/>
    </w:rPr>
  </w:style>
  <w:style w:type="character" w:styleId="Mention">
    <w:name w:val="Mention"/>
    <w:basedOn w:val="DefaultParagraphFont"/>
    <w:uiPriority w:val="99"/>
    <w:unhideWhenUsed/>
    <w:rsid w:val="00E674DD"/>
    <w:rPr>
      <w:color w:val="2B579A"/>
      <w:shd w:val="clear" w:color="auto" w:fill="E1DFDD"/>
    </w:rPr>
  </w:style>
  <w:style w:type="character" w:styleId="Hyperlink">
    <w:name w:val="Hyperlink"/>
    <w:basedOn w:val="DefaultParagraphFont"/>
    <w:uiPriority w:val="99"/>
    <w:unhideWhenUsed/>
    <w:rsid w:val="00D9685B"/>
    <w:rPr>
      <w:color w:val="0563C1" w:themeColor="hyperlink"/>
      <w:u w:val="single"/>
    </w:rPr>
  </w:style>
  <w:style w:type="character" w:styleId="UnresolvedMention">
    <w:name w:val="Unresolved Mention"/>
    <w:basedOn w:val="DefaultParagraphFont"/>
    <w:uiPriority w:val="99"/>
    <w:semiHidden/>
    <w:unhideWhenUsed/>
    <w:rsid w:val="00D96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34043">
      <w:bodyDiv w:val="1"/>
      <w:marLeft w:val="0"/>
      <w:marRight w:val="0"/>
      <w:marTop w:val="0"/>
      <w:marBottom w:val="0"/>
      <w:divBdr>
        <w:top w:val="none" w:sz="0" w:space="0" w:color="auto"/>
        <w:left w:val="none" w:sz="0" w:space="0" w:color="auto"/>
        <w:bottom w:val="none" w:sz="0" w:space="0" w:color="auto"/>
        <w:right w:val="none" w:sz="0" w:space="0" w:color="auto"/>
      </w:divBdr>
    </w:div>
    <w:div w:id="204571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6.xml"/><Relationship Id="rId27"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14941E5-8F5B-4142-900F-2448B2B18BD9}">
    <t:Anchor>
      <t:Comment id="482184546"/>
    </t:Anchor>
    <t:History>
      <t:Event id="{6FD50CE8-5ADA-4058-8E64-1E7A53818823}" time="2026-05-01T14:20:45.885Z">
        <t:Attribution userId="S::laura.steward@kent.police.uk::cf3f7634-9ea8-42a1-bcaf-ab56de1d3216" userProvider="AD" userName="Laura Steward 46058010"/>
        <t:Anchor>
          <t:Comment id="482184546"/>
        </t:Anchor>
        <t:Create/>
      </t:Event>
      <t:Event id="{66DA3E1E-96CD-43D5-9FD0-58CC33CECE8E}" time="2026-05-01T14:20:45.885Z">
        <t:Attribution userId="S::laura.steward@kent.police.uk::cf3f7634-9ea8-42a1-bcaf-ab56de1d3216" userProvider="AD" userName="Laura Steward 46058010"/>
        <t:Anchor>
          <t:Comment id="482184546"/>
        </t:Anchor>
        <t:Assign userId="S::neil.wickens@kent.police.uk::03a474b0-d07b-4a46-aed6-54c4a548a1ec" userProvider="AD" userName="Neil Wickens 46052972"/>
      </t:Event>
      <t:Event id="{D3DA9147-5AC3-45D2-A3CA-528258C09ABF}" time="2026-05-01T14:20:45.885Z">
        <t:Attribution userId="S::laura.steward@kent.police.uk::cf3f7634-9ea8-42a1-bcaf-ab56de1d3216" userProvider="AD" userName="Laura Steward 46058010"/>
        <t:Anchor>
          <t:Comment id="482184546"/>
        </t:Anchor>
        <t:SetTitle title="@Neil Wickens 46052972 to update"/>
      </t:Event>
      <t:Event id="{88B55E5D-233E-4126-9320-F816816BCA49}" time="2026-05-06T14:17:39.5Z">
        <t:Attribution userId="S::neil.wickens@kent.police.uk::03a474b0-d07b-4a46-aed6-54c4a548a1ec" userProvider="AD" userName="Neil Wickens 46052972"/>
        <t:Progress percentComplete="100"/>
      </t:Event>
    </t:History>
  </t:Task>
  <t:Task id="{B447A0ED-7AC4-4479-9A18-00D319607E96}">
    <t:Anchor>
      <t:Comment id="504801962"/>
    </t:Anchor>
    <t:History>
      <t:Event id="{6FD50CE8-5ADA-4058-8E64-1E7A53818823}" time="2026-05-01T14:20:45.885Z">
        <t:Attribution userId="S::laura.steward@kent.police.uk::cf3f7634-9ea8-42a1-bcaf-ab56de1d3216" userProvider="AD" userName="Laura Steward 46058010"/>
        <t:Anchor>
          <t:Comment id="504801962"/>
        </t:Anchor>
        <t:Create/>
      </t:Event>
      <t:Event id="{66DA3E1E-96CD-43D5-9FD0-58CC33CECE8E}" time="2026-05-01T14:20:45.885Z">
        <t:Attribution userId="S::laura.steward@kent.police.uk::cf3f7634-9ea8-42a1-bcaf-ab56de1d3216" userProvider="AD" userName="Laura Steward 46058010"/>
        <t:Anchor>
          <t:Comment id="504801962"/>
        </t:Anchor>
        <t:Assign userId="S::neil.wickens@kent.police.uk::03a474b0-d07b-4a46-aed6-54c4a548a1ec" userProvider="AD" userName="Neil Wickens 46052972"/>
      </t:Event>
      <t:Event id="{D3DA9147-5AC3-45D2-A3CA-528258C09ABF}" time="2026-05-01T14:20:45.885Z">
        <t:Attribution userId="S::laura.steward@kent.police.uk::cf3f7634-9ea8-42a1-bcaf-ab56de1d3216" userProvider="AD" userName="Laura Steward 46058010"/>
        <t:Anchor>
          <t:Comment id="504801962"/>
        </t:Anchor>
        <t:SetTitle title="@Neil Wickens 46052972 to update"/>
      </t:Event>
      <t:Event id="{A9C55793-6807-432F-9BBA-DAD97E91C706}" time="2026-05-06T14:22:11.396Z">
        <t:Attribution userId="S::neil.wickens@kent.police.uk::03a474b0-d07b-4a46-aed6-54c4a548a1ec" userProvider="AD" userName="Neil Wickens 46052972"/>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SharedWithUsers xmlns="7a5b49a6-b746-41bd-866f-d8359e45cde9">
      <UserInfo>
        <DisplayName>Jonathan Castle 46062049</DisplayName>
        <AccountId>57</AccountId>
        <AccountType/>
      </UserInfo>
    </SharedWithUsers>
    <PaperNo_x002e_ xmlns="12027084-fd86-4dce-99a2-a4f647ec8a2b" xsi:nil="true"/>
    <Contactstrategy xmlns="12027084-fd86-4dce-99a2-a4f647ec8a2b" xsi:nil="true"/>
    <_Flow_SignoffStatus xmlns="12027084-fd86-4dce-99a2-a4f647ec8a2b" xsi:nil="true"/>
    <PersonalData xmlns="12027084-fd86-4dce-99a2-a4f647ec8a2b" xsi:nil="true"/>
    <ReviewDate xmlns="12027084-fd86-4dce-99a2-a4f647ec8a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FE82C-5511-4B2C-AE5D-4308D3DEDB1A}">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2.xml><?xml version="1.0" encoding="utf-8"?>
<ds:datastoreItem xmlns:ds="http://schemas.openxmlformats.org/officeDocument/2006/customXml" ds:itemID="{1FB336BF-948A-4C8A-9EA0-DE63351D4BD4}"/>
</file>

<file path=customXml/itemProps3.xml><?xml version="1.0" encoding="utf-8"?>
<ds:datastoreItem xmlns:ds="http://schemas.openxmlformats.org/officeDocument/2006/customXml" ds:itemID="{CBE149A3-D97F-408B-87F3-6480C7DF7677}">
  <ds:schemaRefs>
    <ds:schemaRef ds:uri="http://schemas.openxmlformats.org/officeDocument/2006/bibliography"/>
  </ds:schemaRefs>
</ds:datastoreItem>
</file>

<file path=customXml/itemProps4.xml><?xml version="1.0" encoding="utf-8"?>
<ds:datastoreItem xmlns:ds="http://schemas.openxmlformats.org/officeDocument/2006/customXml" ds:itemID="{0E550DCE-6645-4F98-8DC5-CAAAC2D65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7810</Words>
  <Characters>44518</Characters>
  <Application>Microsoft Office Word</Application>
  <DocSecurity>4</DocSecurity>
  <Lines>370</Lines>
  <Paragraphs>104</Paragraphs>
  <ScaleCrop>false</ScaleCrop>
  <Company/>
  <LinksUpToDate>false</LinksUpToDate>
  <CharactersWithSpaces>52224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Steward 46058010</dc:creator>
  <cp:keywords/>
  <dc:description/>
  <cp:lastModifiedBy>Alice Bodiam 46062466</cp:lastModifiedBy>
  <cp:revision>11</cp:revision>
  <cp:lastPrinted>2026-06-02T15:40:00Z</cp:lastPrinted>
  <dcterms:created xsi:type="dcterms:W3CDTF">2026-06-08T14:14:00Z</dcterms:created>
  <dcterms:modified xsi:type="dcterms:W3CDTF">2026-06-11T12:08:00Z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SIP_Label_8f716d1d-13e1-4569-9dd0-bef6621415c1_Enabled">
    <vt:lpwstr>true</vt:lpwstr>
  </property>
  <property fmtid="{D5CDD505-2E9C-101B-9397-08002B2CF9AE}" pid="4" name="MSIP_Label_8f716d1d-13e1-4569-9dd0-bef6621415c1_SetDate">
    <vt:lpwstr>2023-08-31T12:53:10Z</vt:lpwstr>
  </property>
  <property fmtid="{D5CDD505-2E9C-101B-9397-08002B2CF9AE}" pid="5" name="MSIP_Label_8f716d1d-13e1-4569-9dd0-bef6621415c1_Method">
    <vt:lpwstr>Standard</vt:lpwstr>
  </property>
  <property fmtid="{D5CDD505-2E9C-101B-9397-08002B2CF9AE}" pid="6" name="MSIP_Label_8f716d1d-13e1-4569-9dd0-bef6621415c1_Name">
    <vt:lpwstr>OFFICIAL</vt:lpwstr>
  </property>
  <property fmtid="{D5CDD505-2E9C-101B-9397-08002B2CF9AE}" pid="7" name="MSIP_Label_8f716d1d-13e1-4569-9dd0-bef6621415c1_SiteId">
    <vt:lpwstr>f31b07f0-9cf9-40db-964d-6ff986a97e3d</vt:lpwstr>
  </property>
  <property fmtid="{D5CDD505-2E9C-101B-9397-08002B2CF9AE}" pid="8" name="MSIP_Label_8f716d1d-13e1-4569-9dd0-bef6621415c1_ActionId">
    <vt:lpwstr>1f80b8f8-ea03-4403-bcf9-8ffe3f6005bc</vt:lpwstr>
  </property>
  <property fmtid="{D5CDD505-2E9C-101B-9397-08002B2CF9AE}" pid="9" name="MSIP_Label_8f716d1d-13e1-4569-9dd0-bef6621415c1_ContentBits">
    <vt:lpwstr>0</vt:lpwstr>
  </property>
  <property fmtid="{D5CDD505-2E9C-101B-9397-08002B2CF9AE}" pid="10" name="MediaServiceImageTags">
    <vt:lpwstr/>
  </property>
  <property fmtid="{D5CDD505-2E9C-101B-9397-08002B2CF9AE}" pid="11" name="docLang">
    <vt:lpwstr>en</vt:lpwstr>
  </property>
</Properties>
</file>