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9" w:type="dxa"/>
        <w:tblCellMar>
          <w:left w:w="0" w:type="dxa"/>
          <w:right w:w="0" w:type="dxa"/>
        </w:tblCellMar>
        <w:tblLook w:val="04A0" w:firstRow="1" w:lastRow="0" w:firstColumn="1" w:lastColumn="0" w:noHBand="0" w:noVBand="1"/>
      </w:tblPr>
      <w:tblGrid>
        <w:gridCol w:w="8262"/>
        <w:gridCol w:w="1507"/>
      </w:tblGrid>
      <w:tr w:rsidR="009903B1" w:rsidRPr="009903B1" w14:paraId="40008EF6" w14:textId="77777777" w:rsidTr="009903B1">
        <w:trPr>
          <w:trHeight w:val="257"/>
        </w:trPr>
        <w:tc>
          <w:tcPr>
            <w:tcW w:w="8262" w:type="dxa"/>
            <w:tcMar>
              <w:top w:w="0" w:type="dxa"/>
              <w:left w:w="108" w:type="dxa"/>
              <w:bottom w:w="0" w:type="dxa"/>
              <w:right w:w="108" w:type="dxa"/>
            </w:tcMar>
            <w:hideMark/>
          </w:tcPr>
          <w:p w14:paraId="1D11BDC8" w14:textId="77777777" w:rsidR="009903B1" w:rsidRPr="009903B1" w:rsidRDefault="009903B1" w:rsidP="009903B1"/>
        </w:tc>
        <w:tc>
          <w:tcPr>
            <w:tcW w:w="1507" w:type="dxa"/>
            <w:noWrap/>
            <w:tcMar>
              <w:top w:w="0" w:type="dxa"/>
              <w:left w:w="108" w:type="dxa"/>
              <w:bottom w:w="0" w:type="dxa"/>
              <w:right w:w="108" w:type="dxa"/>
            </w:tcMar>
            <w:hideMark/>
          </w:tcPr>
          <w:p w14:paraId="4CAA6564" w14:textId="77777777" w:rsidR="009903B1" w:rsidRPr="009903B1" w:rsidRDefault="009903B1" w:rsidP="009903B1">
            <w:pPr>
              <w:rPr>
                <w:b/>
                <w:bCs/>
              </w:rPr>
            </w:pPr>
            <w:r w:rsidRPr="009903B1">
              <w:rPr>
                <w:b/>
                <w:bCs/>
              </w:rPr>
              <w:t>£</w:t>
            </w:r>
          </w:p>
        </w:tc>
      </w:tr>
      <w:tr w:rsidR="009903B1" w:rsidRPr="009903B1" w14:paraId="433B0C9A" w14:textId="77777777" w:rsidTr="009903B1">
        <w:trPr>
          <w:trHeight w:val="257"/>
        </w:trPr>
        <w:tc>
          <w:tcPr>
            <w:tcW w:w="8262" w:type="dxa"/>
            <w:tcMar>
              <w:top w:w="0" w:type="dxa"/>
              <w:left w:w="108" w:type="dxa"/>
              <w:bottom w:w="0" w:type="dxa"/>
              <w:right w:w="108" w:type="dxa"/>
            </w:tcMar>
            <w:hideMark/>
          </w:tcPr>
          <w:p w14:paraId="707940D7" w14:textId="77777777" w:rsidR="009903B1" w:rsidRPr="009903B1" w:rsidRDefault="009903B1" w:rsidP="009903B1">
            <w:pPr>
              <w:rPr>
                <w:b/>
                <w:bCs/>
              </w:rPr>
            </w:pPr>
            <w:r w:rsidRPr="009903B1">
              <w:rPr>
                <w:b/>
                <w:bCs/>
              </w:rPr>
              <w:t>Provision for Outstanding Debt at 31/3/2025</w:t>
            </w:r>
          </w:p>
        </w:tc>
        <w:tc>
          <w:tcPr>
            <w:tcW w:w="1507" w:type="dxa"/>
            <w:noWrap/>
            <w:tcMar>
              <w:top w:w="0" w:type="dxa"/>
              <w:left w:w="108" w:type="dxa"/>
              <w:bottom w:w="0" w:type="dxa"/>
              <w:right w:w="108" w:type="dxa"/>
            </w:tcMar>
            <w:hideMark/>
          </w:tcPr>
          <w:p w14:paraId="76B97143" w14:textId="77777777" w:rsidR="009903B1" w:rsidRPr="009903B1" w:rsidRDefault="009903B1" w:rsidP="009903B1">
            <w:pPr>
              <w:rPr>
                <w:b/>
                <w:bCs/>
              </w:rPr>
            </w:pPr>
            <w:r w:rsidRPr="009903B1">
              <w:rPr>
                <w:b/>
                <w:bCs/>
              </w:rPr>
              <w:t xml:space="preserve">192,562.38 </w:t>
            </w:r>
          </w:p>
        </w:tc>
      </w:tr>
      <w:tr w:rsidR="009903B1" w:rsidRPr="009903B1" w14:paraId="490AF59A" w14:textId="77777777" w:rsidTr="009903B1">
        <w:trPr>
          <w:trHeight w:val="257"/>
        </w:trPr>
        <w:tc>
          <w:tcPr>
            <w:tcW w:w="8262" w:type="dxa"/>
            <w:tcMar>
              <w:top w:w="0" w:type="dxa"/>
              <w:left w:w="108" w:type="dxa"/>
              <w:bottom w:w="0" w:type="dxa"/>
              <w:right w:w="108" w:type="dxa"/>
            </w:tcMar>
            <w:hideMark/>
          </w:tcPr>
          <w:p w14:paraId="4B5F5420" w14:textId="77777777" w:rsidR="009903B1" w:rsidRPr="009903B1" w:rsidRDefault="009903B1" w:rsidP="009903B1">
            <w:r w:rsidRPr="009903B1">
              <w:t>Write-offs of debt in 2025/26</w:t>
            </w:r>
          </w:p>
        </w:tc>
        <w:tc>
          <w:tcPr>
            <w:tcW w:w="1507" w:type="dxa"/>
            <w:noWrap/>
            <w:tcMar>
              <w:top w:w="0" w:type="dxa"/>
              <w:left w:w="108" w:type="dxa"/>
              <w:bottom w:w="0" w:type="dxa"/>
              <w:right w:w="108" w:type="dxa"/>
            </w:tcMar>
            <w:hideMark/>
          </w:tcPr>
          <w:p w14:paraId="232B23D9" w14:textId="77777777" w:rsidR="009903B1" w:rsidRPr="009903B1" w:rsidRDefault="009903B1" w:rsidP="009903B1"/>
        </w:tc>
      </w:tr>
      <w:tr w:rsidR="009903B1" w:rsidRPr="009903B1" w14:paraId="5580F12D" w14:textId="77777777" w:rsidTr="009903B1">
        <w:trPr>
          <w:trHeight w:val="1289"/>
        </w:trPr>
        <w:tc>
          <w:tcPr>
            <w:tcW w:w="8262" w:type="dxa"/>
            <w:tcMar>
              <w:top w:w="0" w:type="dxa"/>
              <w:left w:w="108" w:type="dxa"/>
              <w:bottom w:w="0" w:type="dxa"/>
              <w:right w:w="108" w:type="dxa"/>
            </w:tcMar>
            <w:hideMark/>
          </w:tcPr>
          <w:p w14:paraId="447CF082" w14:textId="77777777" w:rsidR="009903B1" w:rsidRPr="009903B1" w:rsidRDefault="009903B1" w:rsidP="009903B1">
            <w:r w:rsidRPr="009903B1">
              <w:t xml:space="preserve">Justice Support Services - This was for a recharge for cost of surveys completed on behalf of Kent Police. This debt was part of the settlement reached with JSS and their administrators in 2025/26 and therefore this </w:t>
            </w:r>
            <w:proofErr w:type="gramStart"/>
            <w:r w:rsidRPr="009903B1">
              <w:t>particular debt</w:t>
            </w:r>
            <w:proofErr w:type="gramEnd"/>
            <w:r w:rsidRPr="009903B1">
              <w:t xml:space="preserve"> was written off</w:t>
            </w:r>
          </w:p>
        </w:tc>
        <w:tc>
          <w:tcPr>
            <w:tcW w:w="1507" w:type="dxa"/>
            <w:shd w:val="clear" w:color="auto" w:fill="DDEBF7"/>
            <w:noWrap/>
            <w:tcMar>
              <w:top w:w="0" w:type="dxa"/>
              <w:left w:w="108" w:type="dxa"/>
              <w:bottom w:w="0" w:type="dxa"/>
              <w:right w:w="108" w:type="dxa"/>
            </w:tcMar>
            <w:hideMark/>
          </w:tcPr>
          <w:p w14:paraId="082383B8" w14:textId="77777777" w:rsidR="009903B1" w:rsidRPr="009903B1" w:rsidRDefault="009903B1" w:rsidP="009903B1">
            <w:r w:rsidRPr="009903B1">
              <w:t xml:space="preserve">-103,584.51 </w:t>
            </w:r>
          </w:p>
        </w:tc>
      </w:tr>
      <w:tr w:rsidR="009903B1" w:rsidRPr="009903B1" w14:paraId="5B2EA3EF" w14:textId="77777777" w:rsidTr="009903B1">
        <w:trPr>
          <w:trHeight w:val="257"/>
        </w:trPr>
        <w:tc>
          <w:tcPr>
            <w:tcW w:w="8262" w:type="dxa"/>
            <w:tcMar>
              <w:top w:w="0" w:type="dxa"/>
              <w:left w:w="108" w:type="dxa"/>
              <w:bottom w:w="0" w:type="dxa"/>
              <w:right w:w="108" w:type="dxa"/>
            </w:tcMar>
            <w:hideMark/>
          </w:tcPr>
          <w:p w14:paraId="4EB12230" w14:textId="77777777" w:rsidR="009903B1" w:rsidRPr="009903B1" w:rsidRDefault="009903B1" w:rsidP="009903B1">
            <w:r w:rsidRPr="009903B1">
              <w:t>10 debts less than £100 (average age of debt over 3.5 years)</w:t>
            </w:r>
          </w:p>
        </w:tc>
        <w:tc>
          <w:tcPr>
            <w:tcW w:w="1507" w:type="dxa"/>
            <w:noWrap/>
            <w:tcMar>
              <w:top w:w="0" w:type="dxa"/>
              <w:left w:w="108" w:type="dxa"/>
              <w:bottom w:w="0" w:type="dxa"/>
              <w:right w:w="108" w:type="dxa"/>
            </w:tcMar>
            <w:hideMark/>
          </w:tcPr>
          <w:p w14:paraId="7C797947" w14:textId="77777777" w:rsidR="009903B1" w:rsidRPr="009903B1" w:rsidRDefault="009903B1" w:rsidP="009903B1">
            <w:r w:rsidRPr="009903B1">
              <w:t xml:space="preserve">-382.70 </w:t>
            </w:r>
          </w:p>
        </w:tc>
      </w:tr>
      <w:tr w:rsidR="009903B1" w:rsidRPr="009903B1" w14:paraId="63969813" w14:textId="77777777" w:rsidTr="009903B1">
        <w:trPr>
          <w:trHeight w:val="257"/>
        </w:trPr>
        <w:tc>
          <w:tcPr>
            <w:tcW w:w="8262" w:type="dxa"/>
            <w:tcMar>
              <w:top w:w="0" w:type="dxa"/>
              <w:left w:w="108" w:type="dxa"/>
              <w:bottom w:w="0" w:type="dxa"/>
              <w:right w:w="108" w:type="dxa"/>
            </w:tcMar>
            <w:hideMark/>
          </w:tcPr>
          <w:p w14:paraId="2753ED81" w14:textId="77777777" w:rsidR="009903B1" w:rsidRPr="009903B1" w:rsidRDefault="009903B1" w:rsidP="009903B1">
            <w:r w:rsidRPr="009903B1">
              <w:t>14 debts less than £1,000 but higher than £100 (average age of debt over 3.5 years)</w:t>
            </w:r>
          </w:p>
        </w:tc>
        <w:tc>
          <w:tcPr>
            <w:tcW w:w="1507" w:type="dxa"/>
            <w:noWrap/>
            <w:tcMar>
              <w:top w:w="0" w:type="dxa"/>
              <w:left w:w="108" w:type="dxa"/>
              <w:bottom w:w="0" w:type="dxa"/>
              <w:right w:w="108" w:type="dxa"/>
            </w:tcMar>
            <w:hideMark/>
          </w:tcPr>
          <w:p w14:paraId="59CB33FF" w14:textId="77777777" w:rsidR="009903B1" w:rsidRPr="009903B1" w:rsidRDefault="009903B1" w:rsidP="009903B1">
            <w:r w:rsidRPr="009903B1">
              <w:t xml:space="preserve">-4,800.75 </w:t>
            </w:r>
          </w:p>
        </w:tc>
      </w:tr>
      <w:tr w:rsidR="009903B1" w:rsidRPr="009903B1" w14:paraId="1A66029C" w14:textId="77777777" w:rsidTr="009903B1">
        <w:trPr>
          <w:trHeight w:val="257"/>
        </w:trPr>
        <w:tc>
          <w:tcPr>
            <w:tcW w:w="8262" w:type="dxa"/>
            <w:tcMar>
              <w:top w:w="0" w:type="dxa"/>
              <w:left w:w="108" w:type="dxa"/>
              <w:bottom w:w="0" w:type="dxa"/>
              <w:right w:w="108" w:type="dxa"/>
            </w:tcMar>
            <w:hideMark/>
          </w:tcPr>
          <w:p w14:paraId="2354F3F6" w14:textId="77777777" w:rsidR="009903B1" w:rsidRPr="009903B1" w:rsidRDefault="009903B1" w:rsidP="009903B1">
            <w:r w:rsidRPr="009903B1">
              <w:t>1 debt (over 5 years old)</w:t>
            </w:r>
          </w:p>
        </w:tc>
        <w:tc>
          <w:tcPr>
            <w:tcW w:w="1507" w:type="dxa"/>
            <w:noWrap/>
            <w:tcMar>
              <w:top w:w="0" w:type="dxa"/>
              <w:left w:w="108" w:type="dxa"/>
              <w:bottom w:w="0" w:type="dxa"/>
              <w:right w:w="108" w:type="dxa"/>
            </w:tcMar>
            <w:hideMark/>
          </w:tcPr>
          <w:p w14:paraId="0D1FDCCB" w14:textId="77777777" w:rsidR="009903B1" w:rsidRPr="009903B1" w:rsidRDefault="009903B1" w:rsidP="009903B1">
            <w:r w:rsidRPr="009903B1">
              <w:t xml:space="preserve">-1,470.00 </w:t>
            </w:r>
          </w:p>
        </w:tc>
      </w:tr>
      <w:tr w:rsidR="009903B1" w:rsidRPr="009903B1" w14:paraId="03A2F466" w14:textId="77777777" w:rsidTr="009903B1">
        <w:trPr>
          <w:trHeight w:val="257"/>
        </w:trPr>
        <w:tc>
          <w:tcPr>
            <w:tcW w:w="8262" w:type="dxa"/>
            <w:tcBorders>
              <w:top w:val="single" w:sz="8" w:space="0" w:color="auto"/>
              <w:left w:val="nil"/>
              <w:bottom w:val="nil"/>
              <w:right w:val="nil"/>
            </w:tcBorders>
            <w:tcMar>
              <w:top w:w="0" w:type="dxa"/>
              <w:left w:w="108" w:type="dxa"/>
              <w:bottom w:w="0" w:type="dxa"/>
              <w:right w:w="108" w:type="dxa"/>
            </w:tcMar>
            <w:hideMark/>
          </w:tcPr>
          <w:p w14:paraId="567ECA40" w14:textId="77777777" w:rsidR="009903B1" w:rsidRPr="009903B1" w:rsidRDefault="009903B1" w:rsidP="009903B1">
            <w:pPr>
              <w:rPr>
                <w:b/>
                <w:bCs/>
              </w:rPr>
            </w:pPr>
            <w:r w:rsidRPr="009903B1">
              <w:rPr>
                <w:b/>
                <w:bCs/>
              </w:rPr>
              <w:t>Total write offs in 2025/26</w:t>
            </w:r>
          </w:p>
        </w:tc>
        <w:tc>
          <w:tcPr>
            <w:tcW w:w="1507" w:type="dxa"/>
            <w:tcBorders>
              <w:top w:val="single" w:sz="8" w:space="0" w:color="auto"/>
              <w:left w:val="nil"/>
              <w:bottom w:val="nil"/>
              <w:right w:val="nil"/>
            </w:tcBorders>
            <w:noWrap/>
            <w:tcMar>
              <w:top w:w="0" w:type="dxa"/>
              <w:left w:w="108" w:type="dxa"/>
              <w:bottom w:w="0" w:type="dxa"/>
              <w:right w:w="108" w:type="dxa"/>
            </w:tcMar>
            <w:hideMark/>
          </w:tcPr>
          <w:p w14:paraId="5921E033" w14:textId="77777777" w:rsidR="009903B1" w:rsidRPr="009903B1" w:rsidRDefault="009903B1" w:rsidP="009903B1">
            <w:pPr>
              <w:rPr>
                <w:b/>
                <w:bCs/>
              </w:rPr>
            </w:pPr>
            <w:r w:rsidRPr="009903B1">
              <w:rPr>
                <w:b/>
                <w:bCs/>
              </w:rPr>
              <w:t xml:space="preserve">-110,237.96 </w:t>
            </w:r>
          </w:p>
        </w:tc>
      </w:tr>
      <w:tr w:rsidR="009903B1" w:rsidRPr="009903B1" w14:paraId="1F331F0D" w14:textId="77777777" w:rsidTr="009903B1">
        <w:trPr>
          <w:trHeight w:val="257"/>
        </w:trPr>
        <w:tc>
          <w:tcPr>
            <w:tcW w:w="8262" w:type="dxa"/>
            <w:tcMar>
              <w:top w:w="0" w:type="dxa"/>
              <w:left w:w="108" w:type="dxa"/>
              <w:bottom w:w="0" w:type="dxa"/>
              <w:right w:w="108" w:type="dxa"/>
            </w:tcMar>
            <w:hideMark/>
          </w:tcPr>
          <w:p w14:paraId="1D86A7CD" w14:textId="77777777" w:rsidR="009903B1" w:rsidRPr="009903B1" w:rsidRDefault="009903B1" w:rsidP="009903B1">
            <w:pPr>
              <w:rPr>
                <w:b/>
                <w:bCs/>
              </w:rPr>
            </w:pPr>
          </w:p>
        </w:tc>
        <w:tc>
          <w:tcPr>
            <w:tcW w:w="1507" w:type="dxa"/>
            <w:noWrap/>
            <w:tcMar>
              <w:top w:w="0" w:type="dxa"/>
              <w:left w:w="108" w:type="dxa"/>
              <w:bottom w:w="0" w:type="dxa"/>
              <w:right w:w="108" w:type="dxa"/>
            </w:tcMar>
            <w:hideMark/>
          </w:tcPr>
          <w:p w14:paraId="51E02688" w14:textId="77777777" w:rsidR="009903B1" w:rsidRPr="009903B1" w:rsidRDefault="009903B1" w:rsidP="009903B1"/>
        </w:tc>
      </w:tr>
      <w:tr w:rsidR="009903B1" w:rsidRPr="009903B1" w14:paraId="2411CCD6" w14:textId="77777777" w:rsidTr="009903B1">
        <w:trPr>
          <w:trHeight w:val="515"/>
        </w:trPr>
        <w:tc>
          <w:tcPr>
            <w:tcW w:w="8262" w:type="dxa"/>
            <w:tcMar>
              <w:top w:w="0" w:type="dxa"/>
              <w:left w:w="108" w:type="dxa"/>
              <w:bottom w:w="0" w:type="dxa"/>
              <w:right w:w="108" w:type="dxa"/>
            </w:tcMar>
            <w:hideMark/>
          </w:tcPr>
          <w:p w14:paraId="073B01EE" w14:textId="77777777" w:rsidR="009903B1" w:rsidRPr="009903B1" w:rsidRDefault="009903B1" w:rsidP="009903B1">
            <w:r w:rsidRPr="009903B1">
              <w:t>Where provision for write offs was greater than the write off</w:t>
            </w:r>
          </w:p>
        </w:tc>
        <w:tc>
          <w:tcPr>
            <w:tcW w:w="1507" w:type="dxa"/>
            <w:noWrap/>
            <w:tcMar>
              <w:top w:w="0" w:type="dxa"/>
              <w:left w:w="108" w:type="dxa"/>
              <w:bottom w:w="0" w:type="dxa"/>
              <w:right w:w="108" w:type="dxa"/>
            </w:tcMar>
            <w:hideMark/>
          </w:tcPr>
          <w:p w14:paraId="7DC5B085" w14:textId="77777777" w:rsidR="009903B1" w:rsidRPr="009903B1" w:rsidRDefault="009903B1" w:rsidP="009903B1">
            <w:r w:rsidRPr="009903B1">
              <w:t xml:space="preserve">3,020.43 </w:t>
            </w:r>
          </w:p>
        </w:tc>
      </w:tr>
      <w:tr w:rsidR="009903B1" w:rsidRPr="009903B1" w14:paraId="07E9F63D" w14:textId="77777777" w:rsidTr="009903B1">
        <w:trPr>
          <w:trHeight w:val="257"/>
        </w:trPr>
        <w:tc>
          <w:tcPr>
            <w:tcW w:w="8262" w:type="dxa"/>
            <w:tcMar>
              <w:top w:w="0" w:type="dxa"/>
              <w:left w:w="108" w:type="dxa"/>
              <w:bottom w:w="0" w:type="dxa"/>
              <w:right w:w="108" w:type="dxa"/>
            </w:tcMar>
            <w:hideMark/>
          </w:tcPr>
          <w:p w14:paraId="59EC0495" w14:textId="77777777" w:rsidR="009903B1" w:rsidRPr="009903B1" w:rsidRDefault="009903B1" w:rsidP="009903B1">
            <w:r w:rsidRPr="009903B1">
              <w:t>Reduction where provision made for invoices now paid</w:t>
            </w:r>
          </w:p>
        </w:tc>
        <w:tc>
          <w:tcPr>
            <w:tcW w:w="1507" w:type="dxa"/>
            <w:noWrap/>
            <w:tcMar>
              <w:top w:w="0" w:type="dxa"/>
              <w:left w:w="108" w:type="dxa"/>
              <w:bottom w:w="0" w:type="dxa"/>
              <w:right w:w="108" w:type="dxa"/>
            </w:tcMar>
            <w:hideMark/>
          </w:tcPr>
          <w:p w14:paraId="4E78B5F9" w14:textId="77777777" w:rsidR="009903B1" w:rsidRPr="009903B1" w:rsidRDefault="009903B1" w:rsidP="009903B1">
            <w:r w:rsidRPr="009903B1">
              <w:t xml:space="preserve">-55,862.64 </w:t>
            </w:r>
          </w:p>
        </w:tc>
      </w:tr>
      <w:tr w:rsidR="009903B1" w:rsidRPr="009903B1" w14:paraId="1EBBF1B1" w14:textId="77777777" w:rsidTr="009903B1">
        <w:trPr>
          <w:trHeight w:val="257"/>
        </w:trPr>
        <w:tc>
          <w:tcPr>
            <w:tcW w:w="8262" w:type="dxa"/>
            <w:tcMar>
              <w:top w:w="0" w:type="dxa"/>
              <w:left w:w="108" w:type="dxa"/>
              <w:bottom w:w="0" w:type="dxa"/>
              <w:right w:w="108" w:type="dxa"/>
            </w:tcMar>
            <w:hideMark/>
          </w:tcPr>
          <w:p w14:paraId="35984167" w14:textId="77777777" w:rsidR="009903B1" w:rsidRPr="009903B1" w:rsidRDefault="009903B1" w:rsidP="009903B1">
            <w:r w:rsidRPr="009903B1">
              <w:t>New provision raised for new dets raised in 2025/26</w:t>
            </w:r>
          </w:p>
        </w:tc>
        <w:tc>
          <w:tcPr>
            <w:tcW w:w="1507" w:type="dxa"/>
            <w:noWrap/>
            <w:tcMar>
              <w:top w:w="0" w:type="dxa"/>
              <w:left w:w="108" w:type="dxa"/>
              <w:bottom w:w="0" w:type="dxa"/>
              <w:right w:w="108" w:type="dxa"/>
            </w:tcMar>
            <w:hideMark/>
          </w:tcPr>
          <w:p w14:paraId="2D11CB96" w14:textId="77777777" w:rsidR="009903B1" w:rsidRPr="009903B1" w:rsidRDefault="009903B1" w:rsidP="009903B1">
            <w:r w:rsidRPr="009903B1">
              <w:t xml:space="preserve">9,029.97 </w:t>
            </w:r>
          </w:p>
        </w:tc>
      </w:tr>
      <w:tr w:rsidR="009903B1" w:rsidRPr="009903B1" w14:paraId="012A5939" w14:textId="77777777" w:rsidTr="009903B1">
        <w:trPr>
          <w:trHeight w:val="257"/>
        </w:trPr>
        <w:tc>
          <w:tcPr>
            <w:tcW w:w="8262" w:type="dxa"/>
            <w:tcBorders>
              <w:top w:val="single" w:sz="8" w:space="0" w:color="auto"/>
              <w:left w:val="nil"/>
              <w:bottom w:val="single" w:sz="8" w:space="0" w:color="auto"/>
              <w:right w:val="nil"/>
            </w:tcBorders>
            <w:tcMar>
              <w:top w:w="0" w:type="dxa"/>
              <w:left w:w="108" w:type="dxa"/>
              <w:bottom w:w="0" w:type="dxa"/>
              <w:right w:w="108" w:type="dxa"/>
            </w:tcMar>
            <w:hideMark/>
          </w:tcPr>
          <w:p w14:paraId="2B33CF9F" w14:textId="77777777" w:rsidR="009903B1" w:rsidRPr="009903B1" w:rsidRDefault="009903B1" w:rsidP="009903B1">
            <w:pPr>
              <w:rPr>
                <w:b/>
                <w:bCs/>
              </w:rPr>
            </w:pPr>
            <w:r w:rsidRPr="009903B1">
              <w:rPr>
                <w:b/>
                <w:bCs/>
              </w:rPr>
              <w:t>Provision for Outstanding Debt at 31/3/2026</w:t>
            </w:r>
          </w:p>
        </w:tc>
        <w:tc>
          <w:tcPr>
            <w:tcW w:w="1507" w:type="dxa"/>
            <w:tcBorders>
              <w:top w:val="single" w:sz="8" w:space="0" w:color="auto"/>
              <w:left w:val="nil"/>
              <w:bottom w:val="single" w:sz="8" w:space="0" w:color="auto"/>
              <w:right w:val="nil"/>
            </w:tcBorders>
            <w:noWrap/>
            <w:tcMar>
              <w:top w:w="0" w:type="dxa"/>
              <w:left w:w="108" w:type="dxa"/>
              <w:bottom w:w="0" w:type="dxa"/>
              <w:right w:w="108" w:type="dxa"/>
            </w:tcMar>
            <w:hideMark/>
          </w:tcPr>
          <w:p w14:paraId="7DB0C2B3" w14:textId="77777777" w:rsidR="009903B1" w:rsidRPr="009903B1" w:rsidRDefault="009903B1" w:rsidP="009903B1">
            <w:pPr>
              <w:rPr>
                <w:b/>
                <w:bCs/>
              </w:rPr>
            </w:pPr>
            <w:r w:rsidRPr="009903B1">
              <w:rPr>
                <w:b/>
                <w:bCs/>
              </w:rPr>
              <w:t xml:space="preserve">38,512.18 </w:t>
            </w:r>
          </w:p>
        </w:tc>
      </w:tr>
    </w:tbl>
    <w:p w14:paraId="50AD8D7D" w14:textId="77777777" w:rsidR="009903B1" w:rsidRPr="009903B1" w:rsidRDefault="009903B1" w:rsidP="009903B1"/>
    <w:p w14:paraId="2D19CD94" w14:textId="77777777" w:rsidR="009903B1" w:rsidRPr="009903B1" w:rsidRDefault="009903B1" w:rsidP="009903B1">
      <w:r w:rsidRPr="009903B1">
        <w:t>Outstanding debts are dealt with by Business Services. In brief their procedure is to chase debtors fortnightly (Kent &amp; Essex do not chase debts for less than £50.00). There are three reminder letters can be sent out for the Employee Debtors. If payment not received within a reasonable period refer to Revenue Manager. Should payment not be received then refer to Legal or write off depending on the value and nature of the invoice. All supporting paperwork should be supplied. Should an invoice be written off the authorisation levels are as follows:</w:t>
      </w:r>
    </w:p>
    <w:p w14:paraId="51F06B8D" w14:textId="77777777" w:rsidR="009903B1" w:rsidRPr="009903B1" w:rsidRDefault="009903B1" w:rsidP="009903B1">
      <w:r w:rsidRPr="009903B1">
        <w:t>To approve the write-off of bad debts, in consultation with the CC CFO or the PCC CFO, up to the level shown below. Amounts for write-off above this value must be referred to the PCC for approval, supported by a written report explaining the reason(s) for the write-off. </w:t>
      </w:r>
    </w:p>
    <w:tbl>
      <w:tblPr>
        <w:tblW w:w="5839"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7"/>
        <w:gridCol w:w="4252"/>
      </w:tblGrid>
      <w:tr w:rsidR="009903B1" w:rsidRPr="009903B1" w14:paraId="6BBF438D" w14:textId="77777777">
        <w:trPr>
          <w:trHeight w:val="300"/>
        </w:trPr>
        <w:tc>
          <w:tcPr>
            <w:tcW w:w="1587" w:type="dxa"/>
            <w:tcBorders>
              <w:top w:val="single" w:sz="8" w:space="0" w:color="auto"/>
              <w:left w:val="single" w:sz="8" w:space="0" w:color="auto"/>
              <w:bottom w:val="single" w:sz="8" w:space="0" w:color="auto"/>
              <w:right w:val="single" w:sz="8" w:space="0" w:color="auto"/>
            </w:tcBorders>
            <w:hideMark/>
          </w:tcPr>
          <w:p w14:paraId="29F6BA4C" w14:textId="0696015B" w:rsidR="009903B1" w:rsidRPr="009903B1" w:rsidRDefault="009903B1" w:rsidP="009903B1">
            <w:r w:rsidRPr="009903B1">
              <w:t> Up to £25,000 </w:t>
            </w:r>
          </w:p>
        </w:tc>
        <w:tc>
          <w:tcPr>
            <w:tcW w:w="4252" w:type="dxa"/>
            <w:tcBorders>
              <w:top w:val="single" w:sz="8" w:space="0" w:color="auto"/>
              <w:left w:val="nil"/>
              <w:bottom w:val="single" w:sz="8" w:space="0" w:color="auto"/>
              <w:right w:val="single" w:sz="8" w:space="0" w:color="auto"/>
            </w:tcBorders>
            <w:hideMark/>
          </w:tcPr>
          <w:p w14:paraId="7955CDA6" w14:textId="77777777" w:rsidR="009903B1" w:rsidRPr="009903B1" w:rsidRDefault="009903B1" w:rsidP="009903B1">
            <w:r w:rsidRPr="009903B1">
              <w:t>by the CC CFO </w:t>
            </w:r>
          </w:p>
        </w:tc>
      </w:tr>
      <w:tr w:rsidR="009903B1" w:rsidRPr="009903B1" w14:paraId="63357361" w14:textId="77777777">
        <w:trPr>
          <w:trHeight w:val="300"/>
        </w:trPr>
        <w:tc>
          <w:tcPr>
            <w:tcW w:w="1587" w:type="dxa"/>
            <w:tcBorders>
              <w:top w:val="nil"/>
              <w:left w:val="single" w:sz="8" w:space="0" w:color="auto"/>
              <w:bottom w:val="single" w:sz="8" w:space="0" w:color="auto"/>
              <w:right w:val="single" w:sz="8" w:space="0" w:color="auto"/>
            </w:tcBorders>
            <w:hideMark/>
          </w:tcPr>
          <w:p w14:paraId="238F67F1" w14:textId="77777777" w:rsidR="009903B1" w:rsidRPr="009903B1" w:rsidRDefault="009903B1" w:rsidP="009903B1">
            <w:r w:rsidRPr="009903B1">
              <w:t>Over £25,000 </w:t>
            </w:r>
          </w:p>
        </w:tc>
        <w:tc>
          <w:tcPr>
            <w:tcW w:w="4252" w:type="dxa"/>
            <w:tcBorders>
              <w:top w:val="nil"/>
              <w:left w:val="nil"/>
              <w:bottom w:val="single" w:sz="8" w:space="0" w:color="auto"/>
              <w:right w:val="single" w:sz="8" w:space="0" w:color="auto"/>
            </w:tcBorders>
            <w:hideMark/>
          </w:tcPr>
          <w:p w14:paraId="4F935BCC" w14:textId="77777777" w:rsidR="009903B1" w:rsidRPr="009903B1" w:rsidRDefault="009903B1" w:rsidP="009903B1">
            <w:r w:rsidRPr="009903B1">
              <w:t>by the PCC-CFO notified by the CC CFO </w:t>
            </w:r>
          </w:p>
        </w:tc>
      </w:tr>
    </w:tbl>
    <w:p w14:paraId="14983B04" w14:textId="77777777" w:rsidR="009903B1" w:rsidRPr="009903B1" w:rsidRDefault="009903B1" w:rsidP="009903B1">
      <w:r w:rsidRPr="009903B1">
        <w:t> </w:t>
      </w:r>
    </w:p>
    <w:p w14:paraId="6D66F831" w14:textId="77777777" w:rsidR="001A752D" w:rsidRDefault="001A752D"/>
    <w:sectPr w:rsidR="001A752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686B9" w14:textId="77777777" w:rsidR="00ED5F3A" w:rsidRDefault="00ED5F3A" w:rsidP="009903B1">
      <w:pPr>
        <w:spacing w:after="0" w:line="240" w:lineRule="auto"/>
      </w:pPr>
      <w:r>
        <w:separator/>
      </w:r>
    </w:p>
  </w:endnote>
  <w:endnote w:type="continuationSeparator" w:id="0">
    <w:p w14:paraId="5D13646B" w14:textId="77777777" w:rsidR="00ED5F3A" w:rsidRDefault="00ED5F3A" w:rsidP="00990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7A3F" w14:textId="449B9C42" w:rsidR="009903B1" w:rsidRDefault="00990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E746" w14:textId="452D401C" w:rsidR="009903B1" w:rsidRDefault="009903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F988" w14:textId="4E943A1F" w:rsidR="009903B1" w:rsidRDefault="00990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43F3E" w14:textId="77777777" w:rsidR="00ED5F3A" w:rsidRDefault="00ED5F3A" w:rsidP="009903B1">
      <w:pPr>
        <w:spacing w:after="0" w:line="240" w:lineRule="auto"/>
      </w:pPr>
      <w:r>
        <w:separator/>
      </w:r>
    </w:p>
  </w:footnote>
  <w:footnote w:type="continuationSeparator" w:id="0">
    <w:p w14:paraId="4CD2F65C" w14:textId="77777777" w:rsidR="00ED5F3A" w:rsidRDefault="00ED5F3A" w:rsidP="00990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A5" w14:textId="520BB919" w:rsidR="009903B1" w:rsidRDefault="000016AC">
    <w:pPr>
      <w:pStyle w:val="Header"/>
    </w:pPr>
    <w:r>
      <w:rPr>
        <w:noProof/>
      </w:rPr>
      <mc:AlternateContent>
        <mc:Choice Requires="wps">
          <w:drawing>
            <wp:anchor distT="0" distB="0" distL="0" distR="0" simplePos="0" relativeHeight="251659264" behindDoc="0" locked="0" layoutInCell="1" allowOverlap="1" wp14:anchorId="26C8DFE8" wp14:editId="22B76796">
              <wp:simplePos x="635" y="635"/>
              <wp:positionH relativeFrom="page">
                <wp:align>center</wp:align>
              </wp:positionH>
              <wp:positionV relativeFrom="page">
                <wp:align>top</wp:align>
              </wp:positionV>
              <wp:extent cx="1139190" cy="370205"/>
              <wp:effectExtent l="0" t="0" r="3810" b="10795"/>
              <wp:wrapNone/>
              <wp:docPr id="1626321097" name="Text Box 8"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9190" cy="370205"/>
                      </a:xfrm>
                      <a:prstGeom prst="rect">
                        <a:avLst/>
                      </a:prstGeom>
                      <a:noFill/>
                      <a:ln>
                        <a:noFill/>
                      </a:ln>
                    </wps:spPr>
                    <wps:txbx>
                      <w:txbxContent>
                        <w:p w14:paraId="2A9CBCEE" w14:textId="5A08D1E0" w:rsidR="000016AC" w:rsidRPr="000016AC" w:rsidRDefault="000016AC" w:rsidP="000016AC">
                          <w:pPr>
                            <w:spacing w:after="0"/>
                            <w:rPr>
                              <w:rFonts w:ascii="Aptos" w:eastAsia="Aptos" w:hAnsi="Aptos" w:cs="Aptos"/>
                              <w:noProof/>
                              <w:color w:val="0000FF"/>
                              <w:sz w:val="20"/>
                              <w:szCs w:val="20"/>
                            </w:rPr>
                          </w:pPr>
                          <w:r w:rsidRPr="000016AC">
                            <w:rPr>
                              <w:rFonts w:ascii="Aptos" w:eastAsia="Aptos" w:hAnsi="Aptos" w:cs="Aptos"/>
                              <w:noProof/>
                              <w:color w:val="0000FF"/>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C8DFE8" id="_x0000_t202" coordsize="21600,21600" o:spt="202" path="m,l,21600r21600,l21600,xe">
              <v:stroke joinstyle="miter"/>
              <v:path gradientshapeok="t" o:connecttype="rect"/>
            </v:shapetype>
            <v:shape id="Text Box 8" o:spid="_x0000_s1026" type="#_x0000_t202" alt="OFFICIAL-SENSITIVE" style="position:absolute;margin-left:0;margin-top:0;width:89.7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" filled="f" stroked="f">
              <v:fill o:detectmouseclick="t"/>
              <v:textbox style="mso-fit-shape-to-text:t" inset="0,15pt,0,0">
                <w:txbxContent>
                  <w:p w14:paraId="2A9CBCEE" w14:textId="5A08D1E0" w:rsidR="000016AC" w:rsidRPr="000016AC" w:rsidRDefault="000016AC" w:rsidP="000016AC">
                    <w:pPr>
                      <w:spacing w:after="0"/>
                      <w:rPr>
                        <w:rFonts w:ascii="Aptos" w:eastAsia="Aptos" w:hAnsi="Aptos" w:cs="Aptos"/>
                        <w:noProof/>
                        <w:color w:val="0000FF"/>
                        <w:sz w:val="20"/>
                        <w:szCs w:val="20"/>
                      </w:rPr>
                    </w:pPr>
                    <w:r w:rsidRPr="000016AC">
                      <w:rPr>
                        <w:rFonts w:ascii="Aptos" w:eastAsia="Aptos" w:hAnsi="Aptos" w:cs="Aptos"/>
                        <w:noProof/>
                        <w:color w:val="0000FF"/>
                        <w:sz w:val="20"/>
                        <w:szCs w:val="2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8F11" w14:textId="330B243F" w:rsidR="009903B1" w:rsidRDefault="000016AC">
    <w:pPr>
      <w:pStyle w:val="Header"/>
    </w:pPr>
    <w:r>
      <w:rPr>
        <w:noProof/>
      </w:rPr>
      <mc:AlternateContent>
        <mc:Choice Requires="wps">
          <w:drawing>
            <wp:anchor distT="0" distB="0" distL="0" distR="0" simplePos="0" relativeHeight="251660288" behindDoc="0" locked="0" layoutInCell="1" allowOverlap="1" wp14:anchorId="4D7A629F" wp14:editId="76554E5E">
              <wp:simplePos x="914400" y="447675"/>
              <wp:positionH relativeFrom="page">
                <wp:align>center</wp:align>
              </wp:positionH>
              <wp:positionV relativeFrom="page">
                <wp:align>top</wp:align>
              </wp:positionV>
              <wp:extent cx="1139190" cy="370205"/>
              <wp:effectExtent l="0" t="0" r="3810" b="10795"/>
              <wp:wrapNone/>
              <wp:docPr id="618741310" name="Text Box 9"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9190" cy="370205"/>
                      </a:xfrm>
                      <a:prstGeom prst="rect">
                        <a:avLst/>
                      </a:prstGeom>
                      <a:noFill/>
                      <a:ln>
                        <a:noFill/>
                      </a:ln>
                    </wps:spPr>
                    <wps:txbx>
                      <w:txbxContent>
                        <w:p w14:paraId="37EBC13A" w14:textId="6A60AFD9" w:rsidR="000016AC" w:rsidRPr="000016AC" w:rsidRDefault="000016AC" w:rsidP="000016AC">
                          <w:pPr>
                            <w:spacing w:after="0"/>
                            <w:rPr>
                              <w:rFonts w:ascii="Aptos" w:eastAsia="Aptos" w:hAnsi="Aptos" w:cs="Aptos"/>
                              <w:noProof/>
                              <w:color w:val="0000FF"/>
                              <w:sz w:val="20"/>
                              <w:szCs w:val="20"/>
                            </w:rPr>
                          </w:pPr>
                          <w:r w:rsidRPr="000016AC">
                            <w:rPr>
                              <w:rFonts w:ascii="Aptos" w:eastAsia="Aptos" w:hAnsi="Aptos" w:cs="Aptos"/>
                              <w:noProof/>
                              <w:color w:val="0000FF"/>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7A629F" id="_x0000_t202" coordsize="21600,21600" o:spt="202" path="m,l,21600r21600,l21600,xe">
              <v:stroke joinstyle="miter"/>
              <v:path gradientshapeok="t" o:connecttype="rect"/>
            </v:shapetype>
            <v:shape id="Text Box 9" o:spid="_x0000_s1027" type="#_x0000_t202" alt="OFFICIAL-SENSITIVE" style="position:absolute;margin-left:0;margin-top:0;width:89.7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" filled="f" stroked="f">
              <v:fill o:detectmouseclick="t"/>
              <v:textbox style="mso-fit-shape-to-text:t" inset="0,15pt,0,0">
                <w:txbxContent>
                  <w:p w14:paraId="37EBC13A" w14:textId="6A60AFD9" w:rsidR="000016AC" w:rsidRPr="000016AC" w:rsidRDefault="000016AC" w:rsidP="000016AC">
                    <w:pPr>
                      <w:spacing w:after="0"/>
                      <w:rPr>
                        <w:rFonts w:ascii="Aptos" w:eastAsia="Aptos" w:hAnsi="Aptos" w:cs="Aptos"/>
                        <w:noProof/>
                        <w:color w:val="0000FF"/>
                        <w:sz w:val="20"/>
                        <w:szCs w:val="20"/>
                      </w:rPr>
                    </w:pPr>
                    <w:r w:rsidRPr="000016AC">
                      <w:rPr>
                        <w:rFonts w:ascii="Aptos" w:eastAsia="Aptos" w:hAnsi="Aptos" w:cs="Aptos"/>
                        <w:noProof/>
                        <w:color w:val="0000FF"/>
                        <w:sz w:val="20"/>
                        <w:szCs w:val="20"/>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BF6D" w14:textId="66D77929" w:rsidR="009903B1" w:rsidRDefault="000016AC">
    <w:pPr>
      <w:pStyle w:val="Header"/>
    </w:pPr>
    <w:r>
      <w:rPr>
        <w:noProof/>
      </w:rPr>
      <mc:AlternateContent>
        <mc:Choice Requires="wps">
          <w:drawing>
            <wp:anchor distT="0" distB="0" distL="0" distR="0" simplePos="0" relativeHeight="251658240" behindDoc="0" locked="0" layoutInCell="1" allowOverlap="1" wp14:anchorId="73500F4E" wp14:editId="50769D73">
              <wp:simplePos x="635" y="635"/>
              <wp:positionH relativeFrom="page">
                <wp:align>center</wp:align>
              </wp:positionH>
              <wp:positionV relativeFrom="page">
                <wp:align>top</wp:align>
              </wp:positionV>
              <wp:extent cx="1139190" cy="370205"/>
              <wp:effectExtent l="0" t="0" r="3810" b="10795"/>
              <wp:wrapNone/>
              <wp:docPr id="1324322446" name="Text Box 7"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9190" cy="370205"/>
                      </a:xfrm>
                      <a:prstGeom prst="rect">
                        <a:avLst/>
                      </a:prstGeom>
                      <a:noFill/>
                      <a:ln>
                        <a:noFill/>
                      </a:ln>
                    </wps:spPr>
                    <wps:txbx>
                      <w:txbxContent>
                        <w:p w14:paraId="7108EF65" w14:textId="7ED4E8A1" w:rsidR="000016AC" w:rsidRPr="000016AC" w:rsidRDefault="000016AC" w:rsidP="000016AC">
                          <w:pPr>
                            <w:spacing w:after="0"/>
                            <w:rPr>
                              <w:rFonts w:ascii="Aptos" w:eastAsia="Aptos" w:hAnsi="Aptos" w:cs="Aptos"/>
                              <w:noProof/>
                              <w:color w:val="0000FF"/>
                              <w:sz w:val="20"/>
                              <w:szCs w:val="20"/>
                            </w:rPr>
                          </w:pPr>
                          <w:r w:rsidRPr="000016AC">
                            <w:rPr>
                              <w:rFonts w:ascii="Aptos" w:eastAsia="Aptos" w:hAnsi="Aptos" w:cs="Aptos"/>
                              <w:noProof/>
                              <w:color w:val="0000FF"/>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500F4E" id="_x0000_t202" coordsize="21600,21600" o:spt="202" path="m,l,21600r21600,l21600,xe">
              <v:stroke joinstyle="miter"/>
              <v:path gradientshapeok="t" o:connecttype="rect"/>
            </v:shapetype>
            <v:shape id="Text Box 7" o:spid="_x0000_s1028" type="#_x0000_t202" alt="OFFICIAL-SENSITIVE" style="position:absolute;margin-left:0;margin-top:0;width:89.7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" filled="f" stroked="f">
              <v:fill o:detectmouseclick="t"/>
              <v:textbox style="mso-fit-shape-to-text:t" inset="0,15pt,0,0">
                <w:txbxContent>
                  <w:p w14:paraId="7108EF65" w14:textId="7ED4E8A1" w:rsidR="000016AC" w:rsidRPr="000016AC" w:rsidRDefault="000016AC" w:rsidP="000016AC">
                    <w:pPr>
                      <w:spacing w:after="0"/>
                      <w:rPr>
                        <w:rFonts w:ascii="Aptos" w:eastAsia="Aptos" w:hAnsi="Aptos" w:cs="Aptos"/>
                        <w:noProof/>
                        <w:color w:val="0000FF"/>
                        <w:sz w:val="20"/>
                        <w:szCs w:val="20"/>
                      </w:rPr>
                    </w:pPr>
                    <w:r w:rsidRPr="000016AC">
                      <w:rPr>
                        <w:rFonts w:ascii="Aptos" w:eastAsia="Aptos" w:hAnsi="Aptos" w:cs="Aptos"/>
                        <w:noProof/>
                        <w:color w:val="0000FF"/>
                        <w:sz w:val="20"/>
                        <w:szCs w:val="20"/>
                      </w:rPr>
                      <w:t>OFFICIAL-SENSITIVE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B1"/>
    <w:rsid w:val="000016AC"/>
    <w:rsid w:val="001A752D"/>
    <w:rsid w:val="009903B1"/>
    <w:rsid w:val="00DF50EA"/>
    <w:rsid w:val="00ED5F3A"/>
    <w:rsid w:val="00F72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F186"/>
  <w15:chartTrackingRefBased/>
  <w15:docId w15:val="{BF4937ED-A79C-48E1-B066-8A889AB9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3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3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3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3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3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3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3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3B1"/>
    <w:rPr>
      <w:rFonts w:eastAsiaTheme="majorEastAsia" w:cstheme="majorBidi"/>
      <w:color w:val="272727" w:themeColor="text1" w:themeTint="D8"/>
    </w:rPr>
  </w:style>
  <w:style w:type="paragraph" w:styleId="Title">
    <w:name w:val="Title"/>
    <w:basedOn w:val="Normal"/>
    <w:next w:val="Normal"/>
    <w:link w:val="TitleChar"/>
    <w:uiPriority w:val="10"/>
    <w:qFormat/>
    <w:rsid w:val="00990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3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3B1"/>
    <w:pPr>
      <w:spacing w:before="160"/>
      <w:jc w:val="center"/>
    </w:pPr>
    <w:rPr>
      <w:i/>
      <w:iCs/>
      <w:color w:val="404040" w:themeColor="text1" w:themeTint="BF"/>
    </w:rPr>
  </w:style>
  <w:style w:type="character" w:customStyle="1" w:styleId="QuoteChar">
    <w:name w:val="Quote Char"/>
    <w:basedOn w:val="DefaultParagraphFont"/>
    <w:link w:val="Quote"/>
    <w:uiPriority w:val="29"/>
    <w:rsid w:val="009903B1"/>
    <w:rPr>
      <w:i/>
      <w:iCs/>
      <w:color w:val="404040" w:themeColor="text1" w:themeTint="BF"/>
    </w:rPr>
  </w:style>
  <w:style w:type="paragraph" w:styleId="ListParagraph">
    <w:name w:val="List Paragraph"/>
    <w:basedOn w:val="Normal"/>
    <w:uiPriority w:val="34"/>
    <w:qFormat/>
    <w:rsid w:val="009903B1"/>
    <w:pPr>
      <w:ind w:left="720"/>
      <w:contextualSpacing/>
    </w:pPr>
  </w:style>
  <w:style w:type="character" w:styleId="IntenseEmphasis">
    <w:name w:val="Intense Emphasis"/>
    <w:basedOn w:val="DefaultParagraphFont"/>
    <w:uiPriority w:val="21"/>
    <w:qFormat/>
    <w:rsid w:val="009903B1"/>
    <w:rPr>
      <w:i/>
      <w:iCs/>
      <w:color w:val="0F4761" w:themeColor="accent1" w:themeShade="BF"/>
    </w:rPr>
  </w:style>
  <w:style w:type="paragraph" w:styleId="IntenseQuote">
    <w:name w:val="Intense Quote"/>
    <w:basedOn w:val="Normal"/>
    <w:next w:val="Normal"/>
    <w:link w:val="IntenseQuoteChar"/>
    <w:uiPriority w:val="30"/>
    <w:qFormat/>
    <w:rsid w:val="00990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3B1"/>
    <w:rPr>
      <w:i/>
      <w:iCs/>
      <w:color w:val="0F4761" w:themeColor="accent1" w:themeShade="BF"/>
    </w:rPr>
  </w:style>
  <w:style w:type="character" w:styleId="IntenseReference">
    <w:name w:val="Intense Reference"/>
    <w:basedOn w:val="DefaultParagraphFont"/>
    <w:uiPriority w:val="32"/>
    <w:qFormat/>
    <w:rsid w:val="009903B1"/>
    <w:rPr>
      <w:b/>
      <w:bCs/>
      <w:smallCaps/>
      <w:color w:val="0F4761" w:themeColor="accent1" w:themeShade="BF"/>
      <w:spacing w:val="5"/>
    </w:rPr>
  </w:style>
  <w:style w:type="paragraph" w:styleId="Header">
    <w:name w:val="header"/>
    <w:basedOn w:val="Normal"/>
    <w:link w:val="HeaderChar"/>
    <w:uiPriority w:val="99"/>
    <w:unhideWhenUsed/>
    <w:rsid w:val="009903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3B1"/>
  </w:style>
  <w:style w:type="paragraph" w:styleId="Footer">
    <w:name w:val="footer"/>
    <w:basedOn w:val="Normal"/>
    <w:link w:val="FooterChar"/>
    <w:uiPriority w:val="99"/>
    <w:unhideWhenUsed/>
    <w:rsid w:val="009903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32" ma:contentTypeDescription="Create a new document." ma:contentTypeScope="" ma:versionID="980068b4d01fee19dd97d3c513366efc">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2ee32ba1e2b07256d10017ef0aeac5d9"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element ref="ns2:Contactstrategy"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element name="Contactstrategy" ma:index="31" nillable="true" ma:displayName="Notes" ma:format="Dropdown" ma:internalName="Contactstrategy">
      <xsd:simpleType>
        <xsd:restriction base="dms:Note">
          <xsd:maxLength value="255"/>
        </xsd:restriction>
      </xsd:simpleType>
    </xsd:element>
    <xsd:element name="_ApprovalAssignedTo" ma:index="32"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3"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4"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5"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PaperNo_x002e_ xmlns="12027084-fd86-4dce-99a2-a4f647ec8a2b" xsi:nil="true"/>
    <Contactstrategy xmlns="12027084-fd86-4dce-99a2-a4f647ec8a2b" xsi:nil="true"/>
    <_Flow_SignoffStatus xmlns="12027084-fd86-4dce-99a2-a4f647ec8a2b" xsi:nil="true"/>
    <PersonalData xmlns="12027084-fd86-4dce-99a2-a4f647ec8a2b" xsi:nil="true"/>
    <ReviewDate xmlns="12027084-fd86-4dce-99a2-a4f647ec8a2b" xsi:nil="true"/>
  </documentManagement>
</p:properties>
</file>

<file path=customXml/itemProps1.xml><?xml version="1.0" encoding="utf-8"?>
<ds:datastoreItem xmlns:ds="http://schemas.openxmlformats.org/officeDocument/2006/customXml" ds:itemID="{67A6363C-831C-4807-BB5E-D3BF4E9653AA}"/>
</file>

<file path=customXml/itemProps2.xml><?xml version="1.0" encoding="utf-8"?>
<ds:datastoreItem xmlns:ds="http://schemas.openxmlformats.org/officeDocument/2006/customXml" ds:itemID="{60506EFE-7202-4817-A962-C6014F8FF9F1}"/>
</file>

<file path=customXml/itemProps3.xml><?xml version="1.0" encoding="utf-8"?>
<ds:datastoreItem xmlns:ds="http://schemas.openxmlformats.org/officeDocument/2006/customXml" ds:itemID="{EAE558F9-DC0B-4207-86A8-E2A89EB712B8}"/>
</file>

<file path=docProps/app.xml><?xml version="1.0" encoding="utf-8"?>
<Properties xmlns="http://schemas.openxmlformats.org/officeDocument/2006/extended-properties" xmlns:vt="http://schemas.openxmlformats.org/officeDocument/2006/docPropsVTypes">
  <Template>Normal.dotm</Template>
  <TotalTime>2</TotalTime>
  <Pages>2</Pages>
  <Words>300</Words>
  <Characters>1478</Characters>
  <Application>Microsoft Office Word</Application>
  <DocSecurity>0</DocSecurity>
  <Lines>49</Lines>
  <Paragraphs>34</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Castle 46062049</dc:creator>
  <cp:keywords/>
  <dc:description/>
  <cp:lastModifiedBy>Jonathan Castle 46062049</cp:lastModifiedBy>
  <cp:revision>2</cp:revision>
  <dcterms:created xsi:type="dcterms:W3CDTF">2026-06-10T11:38:00Z</dcterms:created>
  <dcterms:modified xsi:type="dcterms:W3CDTF">2026-06-10T11:40:00Z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4eef8e8e,60efb0c9,24e13e3e</vt:lpwstr>
  </property>
  <property fmtid="{D5CDD505-2E9C-101B-9397-08002B2CF9AE}" pid="3" name="ClassificationContentMarkingHeaderFontProps">
    <vt:lpwstr>#0000ff,10,Aptos</vt:lpwstr>
  </property>
  <property fmtid="{D5CDD505-2E9C-101B-9397-08002B2CF9AE}" pid="4" name="ClassificationContentMarkingHeaderText">
    <vt:lpwstr>OFFICIAL-SENSITIVE</vt:lpwstr>
  </property>
  <property fmtid="{D5CDD505-2E9C-101B-9397-08002B2CF9AE}" pid="5" name="MSIP_Label_d5784c3e-2333-4ef0-855e-6363cc5b542a_Enabled">
    <vt:lpwstr>true</vt:lpwstr>
  </property>
  <property fmtid="{D5CDD505-2E9C-101B-9397-08002B2CF9AE}" pid="6" name="MSIP_Label_d5784c3e-2333-4ef0-855e-6363cc5b542a_SetDate">
    <vt:lpwstr>2026-06-10T11:39:57Z</vt:lpwstr>
  </property>
  <property fmtid="{D5CDD505-2E9C-101B-9397-08002B2CF9AE}" pid="7" name="MSIP_Label_d5784c3e-2333-4ef0-855e-6363cc5b542a_Method">
    <vt:lpwstr>Privileged</vt:lpwstr>
  </property>
  <property fmtid="{D5CDD505-2E9C-101B-9397-08002B2CF9AE}" pid="8" name="MSIP_Label_d5784c3e-2333-4ef0-855e-6363cc5b542a_Name">
    <vt:lpwstr>(Protective Marking Only)</vt:lpwstr>
  </property>
  <property fmtid="{D5CDD505-2E9C-101B-9397-08002B2CF9AE}" pid="9" name="MSIP_Label_d5784c3e-2333-4ef0-855e-6363cc5b542a_SiteId">
    <vt:lpwstr>f31b07f0-9cf9-40db-964d-6ff986a97e3d</vt:lpwstr>
  </property>
  <property fmtid="{D5CDD505-2E9C-101B-9397-08002B2CF9AE}" pid="10" name="MSIP_Label_d5784c3e-2333-4ef0-855e-6363cc5b542a_ActionId">
    <vt:lpwstr>f42f799c-ab22-4b9c-9646-7b4c0247b62b</vt:lpwstr>
  </property>
  <property fmtid="{D5CDD505-2E9C-101B-9397-08002B2CF9AE}" pid="11" name="MSIP_Label_d5784c3e-2333-4ef0-855e-6363cc5b542a_ContentBits">
    <vt:lpwstr>1</vt:lpwstr>
  </property>
  <property fmtid="{D5CDD505-2E9C-101B-9397-08002B2CF9AE}" pid="12" name="MSIP_Label_d5784c3e-2333-4ef0-855e-6363cc5b542a_Tag">
    <vt:lpwstr>10, 0, 1, 1</vt:lpwstr>
  </property>
  <property fmtid="{D5CDD505-2E9C-101B-9397-08002B2CF9AE}" pid="13" name="ContentTypeId">
    <vt:lpwstr>0x01010079BD18C2CDB33D469BF3422450248DD0</vt:lpwstr>
  </property>
</Properties>
</file>